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422411">
      <w:pPr>
        <w:spacing w:line="240" w:lineRule="auto"/>
        <w:ind w:firstLine="0" w:firstLineChars="0"/>
        <w:rPr>
          <w:rFonts w:hint="default" w:ascii="Times New Roman" w:hAnsi="Times New Roman" w:eastAsia="宋体" w:cs="Times New Roman"/>
          <w:color w:val="4874CB" w:themeColor="accent1"/>
          <w:sz w:val="36"/>
          <w:szCs w:val="36"/>
          <w:u w:val="none" w:color="auto"/>
          <w:lang w:val="en-US" w:eastAsia="zh-CN"/>
          <w14:textFill>
            <w14:solidFill>
              <w14:schemeClr w14:val="accent1"/>
            </w14:solidFill>
          </w14:textFill>
        </w:rPr>
      </w:pPr>
    </w:p>
    <w:p w14:paraId="3EB2F27E">
      <w:pPr>
        <w:spacing w:line="240" w:lineRule="auto"/>
        <w:ind w:firstLine="0" w:firstLineChars="0"/>
        <w:rPr>
          <w:rFonts w:hint="default" w:ascii="Times New Roman" w:hAnsi="Times New Roman" w:eastAsia="宋体" w:cs="Times New Roman"/>
          <w:color w:val="4874CB" w:themeColor="accent1"/>
          <w:sz w:val="36"/>
          <w:szCs w:val="36"/>
          <w:u w:val="none" w:color="auto"/>
          <w:lang w:val="en-US" w:eastAsia="zh-CN"/>
          <w14:textFill>
            <w14:solidFill>
              <w14:schemeClr w14:val="accent1"/>
            </w14:solidFill>
          </w14:textFill>
        </w:rPr>
      </w:pPr>
    </w:p>
    <w:p w14:paraId="081FBFD1">
      <w:pPr>
        <w:spacing w:line="240" w:lineRule="auto"/>
        <w:ind w:firstLine="0" w:firstLineChars="0"/>
        <w:rPr>
          <w:rFonts w:ascii="Times New Roman" w:hAnsi="Times New Roman" w:eastAsia="宋体" w:cs="Times New Roman"/>
          <w:color w:val="4874CB" w:themeColor="accent1"/>
          <w:sz w:val="36"/>
          <w:szCs w:val="36"/>
          <w:u w:val="none" w:color="auto"/>
          <w14:textFill>
            <w14:solidFill>
              <w14:schemeClr w14:val="accent1"/>
            </w14:solidFill>
          </w14:textFill>
        </w:rPr>
      </w:pPr>
    </w:p>
    <w:p w14:paraId="4BA6491B">
      <w:pPr>
        <w:bidi w:val="0"/>
        <w:rPr>
          <w:color w:val="4874CB" w:themeColor="accent1"/>
          <w14:textFill>
            <w14:solidFill>
              <w14:schemeClr w14:val="accent1"/>
            </w14:solidFill>
          </w14:textFill>
        </w:rPr>
      </w:pPr>
    </w:p>
    <w:p w14:paraId="6D444E13">
      <w:pPr>
        <w:spacing w:line="240" w:lineRule="auto"/>
        <w:ind w:firstLine="0" w:firstLineChars="0"/>
        <w:rPr>
          <w:rFonts w:ascii="Times New Roman" w:hAnsi="Times New Roman" w:eastAsia="宋体" w:cs="Times New Roman"/>
          <w:color w:val="4874CB" w:themeColor="accent1"/>
          <w:sz w:val="36"/>
          <w:szCs w:val="36"/>
          <w:u w:val="none" w:color="auto"/>
          <w14:textFill>
            <w14:solidFill>
              <w14:schemeClr w14:val="accent1"/>
            </w14:solidFill>
          </w14:textFill>
        </w:rPr>
      </w:pPr>
    </w:p>
    <w:p w14:paraId="2FF934A1">
      <w:pPr>
        <w:bidi w:val="0"/>
        <w:rPr>
          <w:color w:val="4874CB" w:themeColor="accent1"/>
          <w14:textFill>
            <w14:solidFill>
              <w14:schemeClr w14:val="accent1"/>
            </w14:solidFill>
          </w14:textFill>
        </w:rPr>
      </w:pPr>
      <w:bookmarkStart w:id="0" w:name="_Toc12852"/>
      <w:bookmarkStart w:id="1" w:name="_Toc29258"/>
    </w:p>
    <w:bookmarkEnd w:id="0"/>
    <w:bookmarkEnd w:id="1"/>
    <w:p w14:paraId="72381BCF">
      <w:pPr>
        <w:adjustRightInd w:val="0"/>
        <w:snapToGrid w:val="0"/>
        <w:spacing w:line="240" w:lineRule="auto"/>
        <w:ind w:firstLine="0" w:firstLineChars="0"/>
        <w:jc w:val="center"/>
        <w:outlineLvl w:val="0"/>
        <w:rPr>
          <w:rFonts w:ascii="Times New Roman" w:hAnsi="Times New Roman" w:eastAsia="宋体" w:cs="Times New Roman"/>
          <w:b/>
          <w:color w:val="auto"/>
          <w:sz w:val="72"/>
          <w:szCs w:val="72"/>
          <w:u w:val="none" w:color="auto"/>
        </w:rPr>
      </w:pPr>
      <w:bookmarkStart w:id="2" w:name="_Toc17971"/>
      <w:r>
        <w:rPr>
          <w:rFonts w:ascii="Times New Roman" w:hAnsi="Times New Roman" w:eastAsia="宋体" w:cs="Times New Roman"/>
          <w:b/>
          <w:color w:val="auto"/>
          <w:sz w:val="72"/>
          <w:szCs w:val="72"/>
          <w:u w:val="none" w:color="auto"/>
        </w:rPr>
        <w:t>建设项目环境影响报告表</w:t>
      </w:r>
      <w:bookmarkEnd w:id="2"/>
    </w:p>
    <w:p w14:paraId="68B8685A">
      <w:pPr>
        <w:adjustRightInd w:val="0"/>
        <w:snapToGrid w:val="0"/>
        <w:spacing w:before="192" w:beforeLines="80" w:line="240" w:lineRule="auto"/>
        <w:ind w:firstLine="0" w:firstLineChars="0"/>
        <w:jc w:val="center"/>
        <w:rPr>
          <w:rFonts w:ascii="Times New Roman" w:hAnsi="Times New Roman" w:eastAsia="宋体" w:cs="Times New Roman"/>
          <w:b/>
          <w:color w:val="auto"/>
          <w:sz w:val="48"/>
          <w:szCs w:val="48"/>
          <w:u w:val="none" w:color="auto"/>
        </w:rPr>
      </w:pPr>
      <w:r>
        <w:rPr>
          <w:rFonts w:hint="eastAsia" w:ascii="Times New Roman" w:hAnsi="Times New Roman" w:eastAsia="宋体" w:cs="Times New Roman"/>
          <w:b/>
          <w:color w:val="auto"/>
          <w:sz w:val="48"/>
          <w:szCs w:val="48"/>
          <w:u w:val="none" w:color="auto"/>
          <w:lang w:eastAsia="zh-CN"/>
        </w:rPr>
        <w:t>（</w:t>
      </w:r>
      <w:r>
        <w:rPr>
          <w:rFonts w:ascii="Times New Roman" w:hAnsi="Times New Roman" w:eastAsia="宋体" w:cs="Times New Roman"/>
          <w:b/>
          <w:color w:val="auto"/>
          <w:sz w:val="48"/>
          <w:szCs w:val="48"/>
          <w:u w:val="none" w:color="auto"/>
        </w:rPr>
        <w:t>污染影响类）</w:t>
      </w:r>
    </w:p>
    <w:p w14:paraId="3A4AC747">
      <w:pPr>
        <w:adjustRightInd w:val="0"/>
        <w:snapToGrid w:val="0"/>
        <w:spacing w:line="288" w:lineRule="auto"/>
        <w:ind w:firstLine="0" w:firstLineChars="0"/>
        <w:jc w:val="center"/>
        <w:rPr>
          <w:rFonts w:ascii="Times New Roman" w:hAnsi="Times New Roman" w:eastAsia="宋体" w:cs="Times New Roman"/>
          <w:b/>
          <w:color w:val="auto"/>
          <w:kern w:val="44"/>
          <w:sz w:val="44"/>
          <w:szCs w:val="44"/>
          <w:u w:val="none" w:color="auto"/>
        </w:rPr>
      </w:pPr>
    </w:p>
    <w:p w14:paraId="3CB7D12C">
      <w:pPr>
        <w:spacing w:line="240" w:lineRule="auto"/>
        <w:ind w:firstLine="0" w:firstLineChars="0"/>
        <w:jc w:val="center"/>
        <w:rPr>
          <w:rFonts w:ascii="Times New Roman" w:hAnsi="Times New Roman" w:eastAsia="宋体" w:cs="Times New Roman"/>
          <w:b/>
          <w:color w:val="auto"/>
          <w:sz w:val="52"/>
          <w:szCs w:val="52"/>
          <w:u w:val="none" w:color="auto"/>
        </w:rPr>
      </w:pPr>
    </w:p>
    <w:p w14:paraId="7AEA4B6D">
      <w:pPr>
        <w:spacing w:line="240" w:lineRule="auto"/>
        <w:ind w:firstLine="1040" w:firstLineChars="0"/>
        <w:rPr>
          <w:rFonts w:ascii="Times New Roman" w:hAnsi="Times New Roman" w:eastAsia="宋体" w:cs="Times New Roman"/>
          <w:b/>
          <w:color w:val="auto"/>
          <w:sz w:val="44"/>
          <w:szCs w:val="44"/>
          <w:u w:val="none" w:color="auto"/>
        </w:rPr>
      </w:pPr>
    </w:p>
    <w:p w14:paraId="002A97D9">
      <w:pPr>
        <w:spacing w:line="240" w:lineRule="auto"/>
        <w:ind w:firstLine="1040" w:firstLineChars="0"/>
        <w:rPr>
          <w:rFonts w:ascii="Times New Roman" w:hAnsi="Times New Roman" w:eastAsia="宋体" w:cs="Times New Roman"/>
          <w:b/>
          <w:color w:val="auto"/>
          <w:sz w:val="44"/>
          <w:szCs w:val="44"/>
          <w:u w:val="none" w:color="auto"/>
        </w:rPr>
      </w:pPr>
    </w:p>
    <w:p w14:paraId="453A4A1E">
      <w:pPr>
        <w:spacing w:line="240" w:lineRule="auto"/>
        <w:ind w:firstLine="0" w:firstLineChars="0"/>
        <w:rPr>
          <w:rFonts w:ascii="Times New Roman" w:hAnsi="Times New Roman" w:eastAsia="宋体" w:cs="Times New Roman"/>
          <w:b/>
          <w:color w:val="auto"/>
          <w:sz w:val="44"/>
          <w:szCs w:val="44"/>
          <w:u w:val="none" w:color="auto"/>
        </w:rPr>
      </w:pPr>
    </w:p>
    <w:p w14:paraId="07936CC8">
      <w:pPr>
        <w:spacing w:line="240" w:lineRule="auto"/>
        <w:ind w:firstLine="1040" w:firstLineChars="0"/>
        <w:rPr>
          <w:rFonts w:ascii="Times New Roman" w:hAnsi="Times New Roman" w:eastAsia="宋体" w:cs="Times New Roman"/>
          <w:b/>
          <w:color w:val="auto"/>
          <w:sz w:val="44"/>
          <w:szCs w:val="44"/>
          <w:u w:val="none" w:color="auto"/>
        </w:rPr>
      </w:pPr>
    </w:p>
    <w:p w14:paraId="1F923DEB">
      <w:pPr>
        <w:adjustRightInd w:val="0"/>
        <w:snapToGrid w:val="0"/>
        <w:spacing w:line="360" w:lineRule="auto"/>
        <w:ind w:left="2249" w:leftChars="0" w:hanging="2249" w:hangingChars="700"/>
        <w:jc w:val="center"/>
        <w:rPr>
          <w:rFonts w:hint="eastAsia" w:ascii="Times New Roman" w:hAnsi="Times New Roman" w:eastAsia="宋体" w:cs="Times New Roman"/>
          <w:b/>
          <w:color w:val="auto"/>
          <w:sz w:val="32"/>
          <w:szCs w:val="32"/>
          <w:u w:val="none" w:color="auto"/>
        </w:rPr>
      </w:pPr>
      <w:r>
        <w:rPr>
          <w:rFonts w:hint="eastAsia" w:ascii="Times New Roman" w:hAnsi="Times New Roman" w:eastAsia="宋体" w:cs="Times New Roman"/>
          <w:b/>
          <w:color w:val="auto"/>
          <w:sz w:val="32"/>
          <w:szCs w:val="32"/>
          <w:u w:val="none" w:color="auto"/>
        </w:rPr>
        <w:t>项</w:t>
      </w:r>
      <w:r>
        <w:rPr>
          <w:rFonts w:hint="eastAsia" w:cs="Times New Roman"/>
          <w:b/>
          <w:color w:val="auto"/>
          <w:sz w:val="32"/>
          <w:szCs w:val="32"/>
          <w:u w:val="none" w:color="auto"/>
          <w:lang w:val="en-US" w:eastAsia="zh-CN"/>
        </w:rPr>
        <w:t xml:space="preserve"> </w:t>
      </w:r>
      <w:r>
        <w:rPr>
          <w:rFonts w:hint="eastAsia" w:ascii="Times New Roman" w:hAnsi="Times New Roman" w:eastAsia="宋体" w:cs="Times New Roman"/>
          <w:b/>
          <w:color w:val="auto"/>
          <w:sz w:val="32"/>
          <w:szCs w:val="32"/>
          <w:u w:val="none" w:color="auto"/>
        </w:rPr>
        <w:t>目</w:t>
      </w:r>
      <w:r>
        <w:rPr>
          <w:rFonts w:hint="eastAsia" w:cs="Times New Roman"/>
          <w:b/>
          <w:color w:val="auto"/>
          <w:sz w:val="32"/>
          <w:szCs w:val="32"/>
          <w:u w:val="none" w:color="auto"/>
          <w:lang w:val="en-US" w:eastAsia="zh-CN"/>
        </w:rPr>
        <w:t xml:space="preserve"> </w:t>
      </w:r>
      <w:r>
        <w:rPr>
          <w:rFonts w:hint="eastAsia" w:ascii="Times New Roman" w:hAnsi="Times New Roman" w:eastAsia="宋体" w:cs="Times New Roman"/>
          <w:b/>
          <w:color w:val="auto"/>
          <w:sz w:val="32"/>
          <w:szCs w:val="32"/>
          <w:u w:val="none" w:color="auto"/>
        </w:rPr>
        <w:t>名</w:t>
      </w:r>
      <w:r>
        <w:rPr>
          <w:rFonts w:hint="eastAsia" w:cs="Times New Roman"/>
          <w:b/>
          <w:color w:val="auto"/>
          <w:sz w:val="32"/>
          <w:szCs w:val="32"/>
          <w:u w:val="none" w:color="auto"/>
          <w:lang w:val="en-US" w:eastAsia="zh-CN"/>
        </w:rPr>
        <w:t xml:space="preserve"> </w:t>
      </w:r>
      <w:r>
        <w:rPr>
          <w:rFonts w:hint="eastAsia" w:ascii="Times New Roman" w:hAnsi="Times New Roman" w:eastAsia="宋体" w:cs="Times New Roman"/>
          <w:b/>
          <w:color w:val="auto"/>
          <w:sz w:val="32"/>
          <w:szCs w:val="32"/>
          <w:u w:val="none" w:color="auto"/>
        </w:rPr>
        <w:t>称</w:t>
      </w:r>
      <w:r>
        <w:rPr>
          <w:rFonts w:hint="eastAsia" w:cs="Times New Roman"/>
          <w:b/>
          <w:color w:val="auto"/>
          <w:sz w:val="32"/>
          <w:szCs w:val="32"/>
          <w:u w:val="none" w:color="auto"/>
          <w:lang w:val="en-US" w:eastAsia="zh-CN"/>
        </w:rPr>
        <w:t xml:space="preserve"> </w:t>
      </w:r>
      <w:r>
        <w:rPr>
          <w:rFonts w:hint="eastAsia" w:ascii="Times New Roman" w:hAnsi="Times New Roman" w:eastAsia="宋体" w:cs="Times New Roman"/>
          <w:b/>
          <w:color w:val="auto"/>
          <w:sz w:val="32"/>
          <w:szCs w:val="32"/>
          <w:u w:val="none" w:color="auto"/>
        </w:rPr>
        <w:t>：</w:t>
      </w:r>
      <w:r>
        <w:rPr>
          <w:rFonts w:hint="eastAsia" w:cs="Times New Roman"/>
          <w:b/>
          <w:color w:val="auto"/>
          <w:sz w:val="32"/>
          <w:szCs w:val="32"/>
          <w:u w:val="single" w:color="auto"/>
          <w:lang w:val="en-US" w:eastAsia="zh-CN"/>
        </w:rPr>
        <w:t>年产2万吨复合肥料、3万吨掺混肥料生产线建设项目</w:t>
      </w:r>
    </w:p>
    <w:p w14:paraId="5B128AF3">
      <w:pPr>
        <w:adjustRightInd w:val="0"/>
        <w:snapToGrid w:val="0"/>
        <w:spacing w:line="360" w:lineRule="auto"/>
        <w:ind w:left="0" w:leftChars="0" w:firstLine="0" w:firstLineChars="0"/>
        <w:jc w:val="both"/>
        <w:rPr>
          <w:rFonts w:hint="default" w:ascii="Times New Roman" w:hAnsi="Times New Roman" w:eastAsia="宋体" w:cs="Times New Roman"/>
          <w:b/>
          <w:color w:val="auto"/>
          <w:sz w:val="32"/>
          <w:szCs w:val="32"/>
          <w:u w:val="single" w:color="auto"/>
          <w:lang w:val="en-US" w:eastAsia="zh-CN"/>
        </w:rPr>
      </w:pPr>
      <w:r>
        <w:rPr>
          <w:rFonts w:hint="eastAsia" w:ascii="Times New Roman" w:hAnsi="Times New Roman" w:eastAsia="宋体" w:cs="Times New Roman"/>
          <w:b/>
          <w:color w:val="auto"/>
          <w:sz w:val="32"/>
          <w:szCs w:val="32"/>
          <w:u w:val="none" w:color="auto"/>
        </w:rPr>
        <w:t>建设单位（盖章）：</w:t>
      </w:r>
      <w:r>
        <w:rPr>
          <w:rFonts w:hint="eastAsia" w:cs="Times New Roman"/>
          <w:b/>
          <w:color w:val="auto"/>
          <w:sz w:val="32"/>
          <w:szCs w:val="32"/>
          <w:u w:val="single" w:color="auto"/>
          <w:lang w:val="en-US" w:eastAsia="zh-CN"/>
        </w:rPr>
        <w:t xml:space="preserve">    湖南鑫澳兴农业科技有限公司  </w:t>
      </w:r>
      <w:r>
        <w:rPr>
          <w:rFonts w:hint="eastAsia" w:ascii="Times New Roman" w:hAnsi="Times New Roman" w:eastAsia="宋体" w:cs="Times New Roman"/>
          <w:b/>
          <w:color w:val="auto"/>
          <w:sz w:val="32"/>
          <w:szCs w:val="32"/>
          <w:u w:val="single" w:color="auto"/>
        </w:rPr>
        <w:t xml:space="preserve"> </w:t>
      </w:r>
      <w:r>
        <w:rPr>
          <w:rFonts w:hint="eastAsia" w:cs="Times New Roman"/>
          <w:b/>
          <w:color w:val="auto"/>
          <w:sz w:val="32"/>
          <w:szCs w:val="32"/>
          <w:u w:val="single" w:color="auto"/>
          <w:lang w:val="en-US" w:eastAsia="zh-CN"/>
        </w:rPr>
        <w:t xml:space="preserve">    </w:t>
      </w:r>
    </w:p>
    <w:p w14:paraId="338EFF5C">
      <w:pPr>
        <w:adjustRightInd w:val="0"/>
        <w:snapToGrid w:val="0"/>
        <w:spacing w:line="360" w:lineRule="auto"/>
        <w:ind w:left="0" w:leftChars="0" w:firstLine="0" w:firstLineChars="0"/>
        <w:jc w:val="both"/>
        <w:rPr>
          <w:rFonts w:hint="default" w:ascii="Times New Roman" w:hAnsi="Times New Roman" w:eastAsia="宋体" w:cs="Times New Roman"/>
          <w:b/>
          <w:color w:val="auto"/>
          <w:sz w:val="32"/>
          <w:szCs w:val="32"/>
          <w:u w:val="thick" w:color="auto"/>
          <w:lang w:val="en-US" w:eastAsia="zh-CN"/>
        </w:rPr>
      </w:pPr>
      <w:r>
        <w:rPr>
          <w:rFonts w:hint="eastAsia" w:cs="Times New Roman"/>
          <w:b/>
          <w:color w:val="auto"/>
          <w:sz w:val="32"/>
          <w:szCs w:val="32"/>
          <w:u w:val="none" w:color="auto"/>
          <w:lang w:val="en-US" w:eastAsia="zh-CN"/>
        </w:rPr>
        <w:t>编 制 日 期 ：</w:t>
      </w:r>
      <w:r>
        <w:rPr>
          <w:rFonts w:hint="eastAsia" w:cs="Times New Roman"/>
          <w:b/>
          <w:color w:val="auto"/>
          <w:sz w:val="32"/>
          <w:szCs w:val="32"/>
          <w:u w:val="single" w:color="auto"/>
          <w:lang w:val="en-US" w:eastAsia="zh-CN"/>
        </w:rPr>
        <w:t xml:space="preserve">               2026年7月         </w:t>
      </w:r>
      <w:r>
        <w:rPr>
          <w:rFonts w:hint="eastAsia" w:ascii="Times New Roman" w:hAnsi="Times New Roman" w:eastAsia="宋体" w:cs="Times New Roman"/>
          <w:b/>
          <w:color w:val="auto"/>
          <w:sz w:val="32"/>
          <w:szCs w:val="32"/>
          <w:u w:val="single" w:color="auto"/>
        </w:rPr>
        <w:t xml:space="preserve"> </w:t>
      </w:r>
      <w:r>
        <w:rPr>
          <w:rFonts w:hint="eastAsia" w:cs="Times New Roman"/>
          <w:b/>
          <w:color w:val="auto"/>
          <w:sz w:val="32"/>
          <w:szCs w:val="32"/>
          <w:u w:val="single" w:color="auto"/>
          <w:lang w:val="en-US" w:eastAsia="zh-CN"/>
        </w:rPr>
        <w:t xml:space="preserve">     </w:t>
      </w:r>
    </w:p>
    <w:p w14:paraId="4AF6DA6F">
      <w:pPr>
        <w:adjustRightInd w:val="0"/>
        <w:snapToGrid w:val="0"/>
        <w:spacing w:line="360" w:lineRule="auto"/>
        <w:ind w:firstLine="964" w:firstLineChars="300"/>
        <w:jc w:val="both"/>
        <w:rPr>
          <w:rFonts w:hint="default" w:ascii="Times New Roman" w:hAnsi="Times New Roman" w:eastAsia="宋体" w:cs="Times New Roman"/>
          <w:b/>
          <w:color w:val="auto"/>
          <w:sz w:val="32"/>
          <w:szCs w:val="32"/>
          <w:u w:val="none" w:color="auto"/>
          <w:lang w:val="en-US" w:eastAsia="zh-CN"/>
        </w:rPr>
      </w:pPr>
      <w:r>
        <w:rPr>
          <w:rFonts w:hint="eastAsia" w:cs="Times New Roman"/>
          <w:b/>
          <w:color w:val="auto"/>
          <w:sz w:val="32"/>
          <w:szCs w:val="32"/>
          <w:u w:val="none" w:color="auto"/>
          <w:lang w:val="en-US" w:eastAsia="zh-CN"/>
        </w:rPr>
        <w:t xml:space="preserve">        </w:t>
      </w:r>
    </w:p>
    <w:p w14:paraId="3B4C6670">
      <w:pPr>
        <w:adjustRightInd w:val="0"/>
        <w:snapToGrid w:val="0"/>
        <w:spacing w:line="288" w:lineRule="auto"/>
        <w:ind w:firstLine="1040" w:firstLineChars="0"/>
        <w:rPr>
          <w:rFonts w:ascii="Times New Roman" w:hAnsi="Times New Roman" w:eastAsia="宋体" w:cs="Times New Roman"/>
          <w:b/>
          <w:color w:val="auto"/>
          <w:sz w:val="36"/>
          <w:szCs w:val="36"/>
          <w:u w:val="none" w:color="auto"/>
        </w:rPr>
      </w:pPr>
      <w:bookmarkStart w:id="3" w:name="_Hlk57884087"/>
    </w:p>
    <w:bookmarkEnd w:id="3"/>
    <w:p w14:paraId="194AFA9B">
      <w:pPr>
        <w:adjustRightInd w:val="0"/>
        <w:snapToGrid w:val="0"/>
        <w:spacing w:line="288" w:lineRule="auto"/>
        <w:ind w:firstLine="0" w:firstLineChars="0"/>
        <w:jc w:val="both"/>
        <w:rPr>
          <w:rFonts w:ascii="Times New Roman" w:hAnsi="Times New Roman" w:eastAsia="宋体" w:cs="Times New Roman"/>
          <w:b/>
          <w:color w:val="auto"/>
          <w:sz w:val="36"/>
          <w:szCs w:val="36"/>
          <w:u w:val="none" w:color="auto"/>
        </w:rPr>
      </w:pPr>
    </w:p>
    <w:p w14:paraId="097CC32C">
      <w:pPr>
        <w:widowControl/>
        <w:bidi w:val="0"/>
        <w:spacing w:line="240" w:lineRule="auto"/>
        <w:ind w:firstLine="0" w:firstLineChars="0"/>
        <w:jc w:val="center"/>
        <w:outlineLvl w:val="0"/>
        <w:rPr>
          <w:rFonts w:ascii="Times New Roman" w:hAnsi="Times New Roman" w:eastAsia="宋体" w:cs="Times New Roman"/>
          <w:b/>
          <w:color w:val="auto"/>
          <w:kern w:val="2"/>
          <w:sz w:val="36"/>
          <w:szCs w:val="36"/>
          <w:u w:val="none" w:color="auto"/>
          <w:lang w:val="en-US" w:eastAsia="zh-CN" w:bidi="ar-SA"/>
        </w:rPr>
        <w:sectPr>
          <w:pgSz w:w="11906" w:h="16838"/>
          <w:pgMar w:top="1440" w:right="1800" w:bottom="1440" w:left="1800" w:header="851" w:footer="992" w:gutter="0"/>
          <w:cols w:space="425" w:num="1"/>
          <w:docGrid w:type="lines" w:linePitch="312" w:charSpace="0"/>
        </w:sectPr>
      </w:pPr>
      <w:r>
        <w:rPr>
          <w:rFonts w:ascii="Times New Roman" w:hAnsi="Times New Roman" w:eastAsia="宋体" w:cs="Times New Roman"/>
          <w:b/>
          <w:color w:val="auto"/>
          <w:kern w:val="2"/>
          <w:sz w:val="36"/>
          <w:szCs w:val="36"/>
          <w:u w:val="none" w:color="auto"/>
          <w:lang w:val="en-US" w:eastAsia="zh-CN" w:bidi="ar-SA"/>
        </w:rPr>
        <w:t>中华人民共和国生态环境部制</w:t>
      </w:r>
    </w:p>
    <w:p w14:paraId="31F4D9A4">
      <w:pPr>
        <w:widowControl/>
        <w:bidi w:val="0"/>
        <w:spacing w:line="240" w:lineRule="auto"/>
        <w:ind w:firstLine="0" w:firstLineChars="0"/>
        <w:jc w:val="center"/>
        <w:outlineLvl w:val="0"/>
        <w:rPr>
          <w:rFonts w:ascii="Times New Roman" w:hAnsi="Times New Roman" w:eastAsia="宋体" w:cs="Times New Roman"/>
          <w:b/>
          <w:color w:val="auto"/>
          <w:kern w:val="2"/>
          <w:sz w:val="36"/>
          <w:szCs w:val="36"/>
          <w:u w:val="none" w:color="auto"/>
          <w:lang w:val="en-US" w:eastAsia="zh-CN" w:bidi="ar-SA"/>
        </w:rPr>
        <w:sectPr>
          <w:pgSz w:w="11906" w:h="16838"/>
          <w:pgMar w:top="1440" w:right="1800" w:bottom="1440" w:left="1800" w:header="851" w:footer="992" w:gutter="0"/>
          <w:cols w:space="425" w:num="1"/>
          <w:docGrid w:type="lines" w:linePitch="312" w:charSpace="0"/>
        </w:sectPr>
      </w:pPr>
    </w:p>
    <w:p w14:paraId="32844F6D">
      <w:pPr>
        <w:widowControl/>
        <w:bidi w:val="0"/>
        <w:spacing w:line="240" w:lineRule="auto"/>
        <w:ind w:firstLine="0" w:firstLineChars="0"/>
        <w:jc w:val="center"/>
        <w:outlineLvl w:val="0"/>
        <w:rPr>
          <w:rFonts w:ascii="Times New Roman" w:hAnsi="Times New Roman" w:eastAsia="宋体" w:cs="Times New Roman"/>
          <w:b/>
          <w:color w:val="auto"/>
          <w:kern w:val="2"/>
          <w:sz w:val="36"/>
          <w:szCs w:val="36"/>
          <w:u w:val="none" w:color="auto"/>
          <w:lang w:val="en-US" w:eastAsia="zh-CN" w:bidi="ar-SA"/>
        </w:rPr>
        <w:sectPr>
          <w:pgSz w:w="11906" w:h="16838"/>
          <w:pgMar w:top="1440" w:right="1800" w:bottom="1440" w:left="1800" w:header="851" w:footer="992" w:gutter="0"/>
          <w:cols w:space="425" w:num="1"/>
          <w:docGrid w:type="lines" w:linePitch="312" w:charSpace="0"/>
        </w:sectPr>
      </w:pPr>
    </w:p>
    <w:p w14:paraId="5F17C96D">
      <w:pPr>
        <w:adjustRightInd w:val="0"/>
        <w:snapToGrid w:val="0"/>
        <w:spacing w:line="288" w:lineRule="auto"/>
        <w:ind w:firstLine="0" w:firstLineChars="0"/>
        <w:jc w:val="both"/>
        <w:rPr>
          <w:rFonts w:ascii="Times New Roman" w:hAnsi="Times New Roman" w:eastAsia="宋体" w:cs="Times New Roman"/>
          <w:b/>
          <w:color w:val="auto"/>
          <w:sz w:val="36"/>
          <w:szCs w:val="36"/>
          <w:u w:val="none" w:color="auto"/>
        </w:rPr>
        <w:sectPr>
          <w:pgSz w:w="11906" w:h="16838"/>
          <w:pgMar w:top="1440" w:right="1800" w:bottom="1440" w:left="1800" w:header="851" w:footer="992" w:gutter="0"/>
          <w:cols w:space="425" w:num="1"/>
          <w:docGrid w:type="lines" w:linePitch="312" w:charSpace="0"/>
        </w:sectPr>
      </w:pPr>
    </w:p>
    <w:p w14:paraId="67CDD291">
      <w:pPr>
        <w:ind w:left="0" w:leftChars="0" w:firstLine="0" w:firstLineChars="0"/>
      </w:pPr>
    </w:p>
    <w:sdt>
      <w:sdtPr>
        <w:rPr>
          <w:rFonts w:ascii="宋体" w:hAnsi="宋体" w:eastAsia="宋体" w:cs="Times New Roman"/>
          <w:b/>
          <w:bCs/>
          <w:color w:val="auto"/>
          <w:kern w:val="2"/>
          <w:sz w:val="32"/>
          <w:szCs w:val="32"/>
          <w:lang w:val="en-US" w:eastAsia="zh-CN" w:bidi="ar-SA"/>
        </w:rPr>
        <w:id w:val="147472210"/>
        <w15:color w:val="DBDBDB"/>
        <w:docPartObj>
          <w:docPartGallery w:val="Table of Contents"/>
          <w:docPartUnique/>
        </w:docPartObj>
      </w:sdtPr>
      <w:sdtEndPr>
        <w:rPr>
          <w:rFonts w:hint="eastAsia" w:ascii="Times New Roman" w:hAnsi="Times New Roman" w:eastAsia="宋体" w:cs="Times New Roman"/>
          <w:b/>
          <w:bCs/>
          <w:color w:val="auto"/>
          <w:kern w:val="2"/>
          <w:sz w:val="24"/>
          <w:szCs w:val="24"/>
          <w:lang w:val="en-US" w:eastAsia="zh-CN" w:bidi="ar-SA"/>
        </w:rPr>
      </w:sdtEndPr>
      <w:sdtContent>
        <w:p w14:paraId="6084A1AD">
          <w:pPr>
            <w:ind w:firstLine="643" w:firstLineChars="200"/>
            <w:jc w:val="center"/>
            <w:rPr>
              <w:color w:val="auto"/>
            </w:rPr>
          </w:pPr>
          <w:r>
            <w:rPr>
              <w:rFonts w:ascii="宋体" w:hAnsi="宋体" w:eastAsia="宋体"/>
              <w:b/>
              <w:bCs/>
              <w:color w:val="auto"/>
              <w:sz w:val="32"/>
              <w:szCs w:val="32"/>
            </w:rPr>
            <w:t>目录</w:t>
          </w:r>
          <w:r>
            <w:rPr>
              <w:rFonts w:hint="eastAsia"/>
              <w:color w:val="auto"/>
              <w:sz w:val="28"/>
              <w:szCs w:val="28"/>
              <w:lang w:val="en-US" w:eastAsia="zh-CN"/>
            </w:rPr>
            <w:fldChar w:fldCharType="begin"/>
          </w:r>
          <w:r>
            <w:rPr>
              <w:rFonts w:hint="eastAsia"/>
              <w:color w:val="auto"/>
              <w:sz w:val="28"/>
              <w:szCs w:val="28"/>
              <w:lang w:val="en-US" w:eastAsia="zh-CN"/>
            </w:rPr>
            <w:instrText xml:space="preserve">TOC \o "1-1" \h \u </w:instrText>
          </w:r>
          <w:r>
            <w:rPr>
              <w:rFonts w:hint="eastAsia"/>
              <w:color w:val="auto"/>
              <w:sz w:val="28"/>
              <w:szCs w:val="28"/>
              <w:lang w:val="en-US" w:eastAsia="zh-CN"/>
            </w:rPr>
            <w:fldChar w:fldCharType="separate"/>
          </w:r>
        </w:p>
        <w:p w14:paraId="3CA40AFB">
          <w:pPr>
            <w:pStyle w:val="10"/>
            <w:tabs>
              <w:tab w:val="right" w:leader="dot" w:pos="8306"/>
            </w:tabs>
            <w:rPr>
              <w:b/>
              <w:bCs/>
              <w:color w:val="auto"/>
            </w:rPr>
          </w:pPr>
          <w:r>
            <w:rPr>
              <w:rFonts w:hint="eastAsia"/>
              <w:b/>
              <w:bCs/>
              <w:color w:val="auto"/>
              <w:szCs w:val="28"/>
              <w:lang w:val="en-US" w:eastAsia="zh-CN"/>
            </w:rPr>
            <w:fldChar w:fldCharType="begin"/>
          </w:r>
          <w:r>
            <w:rPr>
              <w:rFonts w:hint="eastAsia"/>
              <w:b/>
              <w:bCs/>
              <w:color w:val="auto"/>
              <w:szCs w:val="28"/>
              <w:lang w:val="en-US" w:eastAsia="zh-CN"/>
            </w:rPr>
            <w:instrText xml:space="preserve"> HYPERLINK \l _Toc9985 </w:instrText>
          </w:r>
          <w:r>
            <w:rPr>
              <w:rFonts w:hint="eastAsia"/>
              <w:b/>
              <w:bCs/>
              <w:color w:val="auto"/>
              <w:szCs w:val="28"/>
              <w:lang w:val="en-US" w:eastAsia="zh-CN"/>
            </w:rPr>
            <w:fldChar w:fldCharType="separate"/>
          </w:r>
          <w:r>
            <w:rPr>
              <w:rFonts w:hint="default" w:ascii="Times New Roman" w:hAnsi="Times New Roman" w:eastAsia="宋体" w:cs="Times New Roman"/>
              <w:b/>
              <w:bCs/>
              <w:color w:val="auto"/>
            </w:rPr>
            <w:t>一、建设项目基本情况</w:t>
          </w:r>
          <w:r>
            <w:rPr>
              <w:b/>
              <w:bCs/>
              <w:color w:val="auto"/>
            </w:rPr>
            <w:tab/>
          </w:r>
          <w:r>
            <w:rPr>
              <w:b/>
              <w:bCs/>
              <w:color w:val="auto"/>
            </w:rPr>
            <w:fldChar w:fldCharType="begin"/>
          </w:r>
          <w:r>
            <w:rPr>
              <w:b/>
              <w:bCs/>
              <w:color w:val="auto"/>
            </w:rPr>
            <w:instrText xml:space="preserve"> PAGEREF _Toc9985 \h </w:instrText>
          </w:r>
          <w:r>
            <w:rPr>
              <w:b/>
              <w:bCs/>
              <w:color w:val="auto"/>
            </w:rPr>
            <w:fldChar w:fldCharType="separate"/>
          </w:r>
          <w:r>
            <w:rPr>
              <w:b/>
              <w:bCs/>
              <w:color w:val="auto"/>
            </w:rPr>
            <w:t>1</w:t>
          </w:r>
          <w:r>
            <w:rPr>
              <w:b/>
              <w:bCs/>
              <w:color w:val="auto"/>
            </w:rPr>
            <w:fldChar w:fldCharType="end"/>
          </w:r>
          <w:r>
            <w:rPr>
              <w:rFonts w:hint="eastAsia"/>
              <w:b/>
              <w:bCs/>
              <w:color w:val="auto"/>
              <w:szCs w:val="28"/>
              <w:lang w:val="en-US" w:eastAsia="zh-CN"/>
            </w:rPr>
            <w:fldChar w:fldCharType="end"/>
          </w:r>
        </w:p>
        <w:p w14:paraId="419F9ED6">
          <w:pPr>
            <w:pStyle w:val="10"/>
            <w:tabs>
              <w:tab w:val="right" w:leader="dot" w:pos="8306"/>
            </w:tabs>
            <w:rPr>
              <w:rFonts w:hint="default"/>
              <w:b/>
              <w:bCs/>
              <w:color w:val="auto"/>
              <w:lang w:val="en-US"/>
            </w:rPr>
          </w:pPr>
          <w:r>
            <w:rPr>
              <w:rFonts w:hint="eastAsia"/>
              <w:b/>
              <w:bCs/>
              <w:color w:val="auto"/>
              <w:szCs w:val="28"/>
              <w:lang w:val="en-US" w:eastAsia="zh-CN"/>
            </w:rPr>
            <w:fldChar w:fldCharType="begin"/>
          </w:r>
          <w:r>
            <w:rPr>
              <w:rFonts w:hint="eastAsia"/>
              <w:b/>
              <w:bCs/>
              <w:color w:val="auto"/>
              <w:szCs w:val="28"/>
              <w:lang w:val="en-US" w:eastAsia="zh-CN"/>
            </w:rPr>
            <w:instrText xml:space="preserve"> HYPERLINK \l _Toc21316 </w:instrText>
          </w:r>
          <w:r>
            <w:rPr>
              <w:rFonts w:hint="eastAsia"/>
              <w:b/>
              <w:bCs/>
              <w:color w:val="auto"/>
              <w:szCs w:val="28"/>
              <w:lang w:val="en-US" w:eastAsia="zh-CN"/>
            </w:rPr>
            <w:fldChar w:fldCharType="separate"/>
          </w:r>
          <w:r>
            <w:rPr>
              <w:rFonts w:hint="default" w:ascii="Times New Roman" w:hAnsi="Times New Roman" w:eastAsia="宋体" w:cs="Times New Roman"/>
              <w:b/>
              <w:bCs/>
              <w:color w:val="auto"/>
            </w:rPr>
            <w:t>二、建设项目工程分析</w:t>
          </w:r>
          <w:r>
            <w:rPr>
              <w:b/>
              <w:bCs/>
              <w:color w:val="auto"/>
            </w:rPr>
            <w:tab/>
          </w:r>
          <w:r>
            <w:rPr>
              <w:rFonts w:hint="eastAsia"/>
              <w:b/>
              <w:bCs/>
              <w:color w:val="auto"/>
              <w:lang w:val="en-US" w:eastAsia="zh-CN"/>
            </w:rPr>
            <w:t>1</w:t>
          </w:r>
          <w:r>
            <w:rPr>
              <w:rFonts w:hint="eastAsia"/>
              <w:b/>
              <w:bCs/>
              <w:color w:val="auto"/>
              <w:szCs w:val="28"/>
              <w:lang w:val="en-US" w:eastAsia="zh-CN"/>
            </w:rPr>
            <w:fldChar w:fldCharType="end"/>
          </w:r>
          <w:r>
            <w:rPr>
              <w:rFonts w:hint="eastAsia"/>
              <w:b/>
              <w:bCs/>
              <w:color w:val="auto"/>
              <w:szCs w:val="28"/>
              <w:lang w:val="en-US" w:eastAsia="zh-CN"/>
            </w:rPr>
            <w:t>3</w:t>
          </w:r>
        </w:p>
        <w:p w14:paraId="522424D2">
          <w:pPr>
            <w:pStyle w:val="10"/>
            <w:tabs>
              <w:tab w:val="right" w:leader="dot" w:pos="8306"/>
            </w:tabs>
            <w:rPr>
              <w:rFonts w:hint="default"/>
              <w:b/>
              <w:bCs/>
              <w:color w:val="auto"/>
              <w:lang w:val="en-US"/>
            </w:rPr>
          </w:pPr>
          <w:r>
            <w:rPr>
              <w:rFonts w:hint="eastAsia"/>
              <w:b/>
              <w:bCs/>
              <w:color w:val="auto"/>
              <w:szCs w:val="28"/>
              <w:lang w:val="en-US" w:eastAsia="zh-CN"/>
            </w:rPr>
            <w:fldChar w:fldCharType="begin"/>
          </w:r>
          <w:r>
            <w:rPr>
              <w:rFonts w:hint="eastAsia"/>
              <w:b/>
              <w:bCs/>
              <w:color w:val="auto"/>
              <w:szCs w:val="28"/>
              <w:lang w:val="en-US" w:eastAsia="zh-CN"/>
            </w:rPr>
            <w:instrText xml:space="preserve"> HYPERLINK \l _Toc20279 </w:instrText>
          </w:r>
          <w:r>
            <w:rPr>
              <w:rFonts w:hint="eastAsia"/>
              <w:b/>
              <w:bCs/>
              <w:color w:val="auto"/>
              <w:szCs w:val="28"/>
              <w:lang w:val="en-US" w:eastAsia="zh-CN"/>
            </w:rPr>
            <w:fldChar w:fldCharType="separate"/>
          </w:r>
          <w:r>
            <w:rPr>
              <w:rFonts w:hint="eastAsia" w:ascii="Times New Roman" w:hAnsi="Times New Roman" w:eastAsia="宋体" w:cs="Times New Roman"/>
              <w:b/>
              <w:bCs/>
              <w:color w:val="auto"/>
            </w:rPr>
            <w:t xml:space="preserve">三、 </w:t>
          </w:r>
          <w:r>
            <w:rPr>
              <w:rFonts w:hint="default" w:ascii="Times New Roman" w:hAnsi="Times New Roman" w:eastAsia="宋体" w:cs="Times New Roman"/>
              <w:b/>
              <w:bCs/>
              <w:color w:val="auto"/>
            </w:rPr>
            <w:t>区域环境质量现状、环境保护目标及评价标准</w:t>
          </w:r>
          <w:r>
            <w:rPr>
              <w:b/>
              <w:bCs/>
              <w:color w:val="auto"/>
            </w:rPr>
            <w:tab/>
          </w:r>
          <w:r>
            <w:rPr>
              <w:rFonts w:hint="eastAsia"/>
              <w:b/>
              <w:bCs/>
              <w:color w:val="auto"/>
              <w:lang w:val="en-US" w:eastAsia="zh-CN"/>
            </w:rPr>
            <w:t>2</w:t>
          </w:r>
          <w:r>
            <w:rPr>
              <w:rFonts w:hint="eastAsia"/>
              <w:b/>
              <w:bCs/>
              <w:color w:val="auto"/>
              <w:szCs w:val="28"/>
              <w:lang w:val="en-US" w:eastAsia="zh-CN"/>
            </w:rPr>
            <w:fldChar w:fldCharType="end"/>
          </w:r>
          <w:r>
            <w:rPr>
              <w:rFonts w:hint="eastAsia"/>
              <w:b/>
              <w:bCs/>
              <w:color w:val="auto"/>
              <w:szCs w:val="28"/>
              <w:lang w:val="en-US" w:eastAsia="zh-CN"/>
            </w:rPr>
            <w:t>6</w:t>
          </w:r>
        </w:p>
        <w:p w14:paraId="035AC68B">
          <w:pPr>
            <w:pStyle w:val="10"/>
            <w:tabs>
              <w:tab w:val="right" w:leader="dot" w:pos="8306"/>
            </w:tabs>
            <w:rPr>
              <w:rFonts w:hint="default"/>
              <w:b/>
              <w:bCs/>
              <w:color w:val="auto"/>
              <w:lang w:val="en-US"/>
            </w:rPr>
          </w:pPr>
          <w:r>
            <w:rPr>
              <w:rFonts w:hint="eastAsia"/>
              <w:b/>
              <w:bCs/>
              <w:color w:val="auto"/>
              <w:szCs w:val="28"/>
              <w:lang w:val="en-US" w:eastAsia="zh-CN"/>
            </w:rPr>
            <w:fldChar w:fldCharType="begin"/>
          </w:r>
          <w:r>
            <w:rPr>
              <w:rFonts w:hint="eastAsia"/>
              <w:b/>
              <w:bCs/>
              <w:color w:val="auto"/>
              <w:szCs w:val="28"/>
              <w:lang w:val="en-US" w:eastAsia="zh-CN"/>
            </w:rPr>
            <w:instrText xml:space="preserve"> HYPERLINK \l _Toc30748 </w:instrText>
          </w:r>
          <w:r>
            <w:rPr>
              <w:rFonts w:hint="eastAsia"/>
              <w:b/>
              <w:bCs/>
              <w:color w:val="auto"/>
              <w:szCs w:val="28"/>
              <w:lang w:val="en-US" w:eastAsia="zh-CN"/>
            </w:rPr>
            <w:fldChar w:fldCharType="separate"/>
          </w:r>
          <w:r>
            <w:rPr>
              <w:rFonts w:hint="eastAsia" w:ascii="Times New Roman" w:hAnsi="Times New Roman" w:eastAsia="宋体" w:cs="Times New Roman"/>
              <w:b/>
              <w:bCs/>
              <w:color w:val="auto"/>
              <w:lang w:val="en-US" w:eastAsia="zh-CN"/>
            </w:rPr>
            <w:t>四、 主要环境影响和保护措施</w:t>
          </w:r>
          <w:r>
            <w:rPr>
              <w:b/>
              <w:bCs/>
              <w:color w:val="auto"/>
            </w:rPr>
            <w:tab/>
          </w:r>
          <w:r>
            <w:rPr>
              <w:rFonts w:hint="eastAsia"/>
              <w:b/>
              <w:bCs/>
              <w:color w:val="auto"/>
              <w:lang w:val="en-US" w:eastAsia="zh-CN"/>
            </w:rPr>
            <w:t>3</w:t>
          </w:r>
          <w:r>
            <w:rPr>
              <w:rFonts w:hint="eastAsia"/>
              <w:b/>
              <w:bCs/>
              <w:color w:val="auto"/>
              <w:szCs w:val="28"/>
              <w:lang w:val="en-US" w:eastAsia="zh-CN"/>
            </w:rPr>
            <w:fldChar w:fldCharType="end"/>
          </w:r>
          <w:r>
            <w:rPr>
              <w:rFonts w:hint="eastAsia"/>
              <w:b/>
              <w:bCs/>
              <w:color w:val="auto"/>
              <w:szCs w:val="28"/>
              <w:lang w:val="en-US" w:eastAsia="zh-CN"/>
            </w:rPr>
            <w:t>1</w:t>
          </w:r>
        </w:p>
        <w:p w14:paraId="24624D0A">
          <w:pPr>
            <w:pStyle w:val="10"/>
            <w:tabs>
              <w:tab w:val="right" w:leader="dot" w:pos="8306"/>
            </w:tabs>
            <w:rPr>
              <w:rFonts w:hint="default"/>
              <w:b/>
              <w:bCs/>
              <w:color w:val="auto"/>
              <w:lang w:val="en-US"/>
            </w:rPr>
          </w:pPr>
          <w:r>
            <w:rPr>
              <w:rFonts w:hint="eastAsia"/>
              <w:b/>
              <w:bCs/>
              <w:color w:val="auto"/>
              <w:szCs w:val="28"/>
              <w:lang w:val="en-US" w:eastAsia="zh-CN"/>
            </w:rPr>
            <w:fldChar w:fldCharType="begin"/>
          </w:r>
          <w:r>
            <w:rPr>
              <w:rFonts w:hint="eastAsia"/>
              <w:b/>
              <w:bCs/>
              <w:color w:val="auto"/>
              <w:szCs w:val="28"/>
              <w:lang w:val="en-US" w:eastAsia="zh-CN"/>
            </w:rPr>
            <w:instrText xml:space="preserve"> HYPERLINK \l _Toc2655 </w:instrText>
          </w:r>
          <w:r>
            <w:rPr>
              <w:rFonts w:hint="eastAsia"/>
              <w:b/>
              <w:bCs/>
              <w:color w:val="auto"/>
              <w:szCs w:val="28"/>
              <w:lang w:val="en-US" w:eastAsia="zh-CN"/>
            </w:rPr>
            <w:fldChar w:fldCharType="separate"/>
          </w:r>
          <w:r>
            <w:rPr>
              <w:rFonts w:hint="eastAsia"/>
              <w:b/>
              <w:bCs/>
              <w:color w:val="auto"/>
            </w:rPr>
            <w:t xml:space="preserve">五、 </w:t>
          </w:r>
          <w:r>
            <w:rPr>
              <w:rFonts w:hint="default"/>
              <w:b/>
              <w:bCs/>
              <w:color w:val="auto"/>
            </w:rPr>
            <w:t>环境保护措施监督检查清单</w:t>
          </w:r>
          <w:r>
            <w:rPr>
              <w:b/>
              <w:bCs/>
              <w:color w:val="auto"/>
            </w:rPr>
            <w:tab/>
          </w:r>
          <w:r>
            <w:rPr>
              <w:rFonts w:hint="eastAsia"/>
              <w:b/>
              <w:bCs/>
              <w:color w:val="auto"/>
              <w:lang w:val="en-US" w:eastAsia="zh-CN"/>
            </w:rPr>
            <w:t>5</w:t>
          </w:r>
          <w:r>
            <w:rPr>
              <w:rFonts w:hint="eastAsia"/>
              <w:b/>
              <w:bCs/>
              <w:color w:val="auto"/>
              <w:szCs w:val="28"/>
              <w:lang w:val="en-US" w:eastAsia="zh-CN"/>
            </w:rPr>
            <w:fldChar w:fldCharType="end"/>
          </w:r>
          <w:r>
            <w:rPr>
              <w:rFonts w:hint="eastAsia"/>
              <w:b/>
              <w:bCs/>
              <w:color w:val="auto"/>
              <w:szCs w:val="28"/>
              <w:lang w:val="en-US" w:eastAsia="zh-CN"/>
            </w:rPr>
            <w:t>2</w:t>
          </w:r>
        </w:p>
        <w:p w14:paraId="49D75552">
          <w:pPr>
            <w:pStyle w:val="10"/>
            <w:tabs>
              <w:tab w:val="right" w:leader="dot" w:pos="8306"/>
            </w:tabs>
            <w:rPr>
              <w:rFonts w:hint="default"/>
              <w:b/>
              <w:bCs/>
              <w:color w:val="auto"/>
              <w:lang w:val="en-US"/>
            </w:rPr>
          </w:pPr>
          <w:r>
            <w:rPr>
              <w:rFonts w:hint="eastAsia"/>
              <w:b/>
              <w:bCs/>
              <w:color w:val="auto"/>
              <w:szCs w:val="28"/>
              <w:lang w:val="en-US" w:eastAsia="zh-CN"/>
            </w:rPr>
            <w:fldChar w:fldCharType="begin"/>
          </w:r>
          <w:r>
            <w:rPr>
              <w:rFonts w:hint="eastAsia"/>
              <w:b/>
              <w:bCs/>
              <w:color w:val="auto"/>
              <w:szCs w:val="28"/>
              <w:lang w:val="en-US" w:eastAsia="zh-CN"/>
            </w:rPr>
            <w:instrText xml:space="preserve"> HYPERLINK \l _Toc17199 </w:instrText>
          </w:r>
          <w:r>
            <w:rPr>
              <w:rFonts w:hint="eastAsia"/>
              <w:b/>
              <w:bCs/>
              <w:color w:val="auto"/>
              <w:szCs w:val="28"/>
              <w:lang w:val="en-US" w:eastAsia="zh-CN"/>
            </w:rPr>
            <w:fldChar w:fldCharType="separate"/>
          </w:r>
          <w:r>
            <w:rPr>
              <w:rFonts w:hint="eastAsia"/>
              <w:b/>
              <w:bCs/>
              <w:color w:val="auto"/>
              <w:lang w:val="en-US" w:eastAsia="zh-CN"/>
            </w:rPr>
            <w:t>六、 结论</w:t>
          </w:r>
          <w:r>
            <w:rPr>
              <w:b/>
              <w:bCs/>
              <w:color w:val="auto"/>
            </w:rPr>
            <w:tab/>
          </w:r>
          <w:r>
            <w:rPr>
              <w:rFonts w:hint="eastAsia"/>
              <w:b/>
              <w:bCs/>
              <w:color w:val="auto"/>
              <w:lang w:val="en-US" w:eastAsia="zh-CN"/>
            </w:rPr>
            <w:t>5</w:t>
          </w:r>
          <w:r>
            <w:rPr>
              <w:rFonts w:hint="eastAsia"/>
              <w:b/>
              <w:bCs/>
              <w:color w:val="auto"/>
              <w:szCs w:val="28"/>
              <w:lang w:val="en-US" w:eastAsia="zh-CN"/>
            </w:rPr>
            <w:fldChar w:fldCharType="end"/>
          </w:r>
          <w:r>
            <w:rPr>
              <w:rFonts w:hint="eastAsia"/>
              <w:b/>
              <w:bCs/>
              <w:color w:val="auto"/>
              <w:szCs w:val="28"/>
              <w:lang w:val="en-US" w:eastAsia="zh-CN"/>
            </w:rPr>
            <w:t>6</w:t>
          </w:r>
        </w:p>
        <w:p w14:paraId="75098DA2">
          <w:pPr>
            <w:pStyle w:val="10"/>
            <w:tabs>
              <w:tab w:val="right" w:leader="dot" w:pos="8306"/>
            </w:tabs>
            <w:rPr>
              <w:rFonts w:hint="default"/>
              <w:color w:val="auto"/>
              <w:lang w:val="en-US"/>
            </w:rPr>
          </w:pPr>
          <w:r>
            <w:rPr>
              <w:rFonts w:hint="eastAsia"/>
              <w:b/>
              <w:bCs/>
              <w:color w:val="auto"/>
              <w:szCs w:val="28"/>
              <w:lang w:val="en-US" w:eastAsia="zh-CN"/>
            </w:rPr>
            <w:fldChar w:fldCharType="begin"/>
          </w:r>
          <w:r>
            <w:rPr>
              <w:rFonts w:hint="eastAsia"/>
              <w:b/>
              <w:bCs/>
              <w:color w:val="auto"/>
              <w:szCs w:val="28"/>
              <w:lang w:val="en-US" w:eastAsia="zh-CN"/>
            </w:rPr>
            <w:instrText xml:space="preserve"> HYPERLINK \l _Toc18087 </w:instrText>
          </w:r>
          <w:r>
            <w:rPr>
              <w:rFonts w:hint="eastAsia"/>
              <w:b/>
              <w:bCs/>
              <w:color w:val="auto"/>
              <w:szCs w:val="28"/>
              <w:lang w:val="en-US" w:eastAsia="zh-CN"/>
            </w:rPr>
            <w:fldChar w:fldCharType="separate"/>
          </w:r>
          <w:r>
            <w:rPr>
              <w:rFonts w:hint="eastAsia"/>
              <w:b/>
              <w:bCs/>
              <w:color w:val="auto"/>
              <w:lang w:val="en-US" w:eastAsia="zh-CN"/>
            </w:rPr>
            <w:t>建设项目污染物排放量汇总表</w:t>
          </w:r>
          <w:r>
            <w:rPr>
              <w:b/>
              <w:bCs/>
              <w:color w:val="auto"/>
            </w:rPr>
            <w:tab/>
          </w:r>
          <w:r>
            <w:rPr>
              <w:rFonts w:hint="eastAsia"/>
              <w:b/>
              <w:bCs/>
              <w:color w:val="auto"/>
              <w:lang w:val="en-US" w:eastAsia="zh-CN"/>
            </w:rPr>
            <w:t>5</w:t>
          </w:r>
          <w:r>
            <w:rPr>
              <w:rFonts w:hint="eastAsia"/>
              <w:b/>
              <w:bCs/>
              <w:color w:val="auto"/>
              <w:szCs w:val="28"/>
              <w:lang w:val="en-US" w:eastAsia="zh-CN"/>
            </w:rPr>
            <w:fldChar w:fldCharType="end"/>
          </w:r>
          <w:r>
            <w:rPr>
              <w:rFonts w:hint="eastAsia"/>
              <w:b/>
              <w:bCs/>
              <w:color w:val="auto"/>
              <w:szCs w:val="28"/>
              <w:lang w:val="en-US" w:eastAsia="zh-CN"/>
            </w:rPr>
            <w:t>7</w:t>
          </w:r>
        </w:p>
        <w:p w14:paraId="1C4D496D">
          <w:pPr>
            <w:pStyle w:val="10"/>
            <w:tabs>
              <w:tab w:val="right" w:leader="dot" w:pos="8306"/>
            </w:tabs>
            <w:rPr>
              <w:rFonts w:hint="eastAsia"/>
              <w:b/>
              <w:bCs/>
              <w:color w:val="auto"/>
            </w:rPr>
          </w:pPr>
          <w:r>
            <w:rPr>
              <w:rFonts w:hint="eastAsia"/>
              <w:b/>
              <w:bCs/>
              <w:color w:val="auto"/>
            </w:rPr>
            <w:t>附件</w:t>
          </w:r>
        </w:p>
        <w:p w14:paraId="56D451F6">
          <w:pPr>
            <w:pStyle w:val="10"/>
            <w:tabs>
              <w:tab w:val="right" w:leader="dot" w:pos="8306"/>
            </w:tabs>
            <w:rPr>
              <w:rFonts w:hint="eastAsia"/>
              <w:color w:val="auto"/>
            </w:rPr>
          </w:pPr>
          <w:r>
            <w:rPr>
              <w:rFonts w:hint="eastAsia"/>
              <w:color w:val="auto"/>
            </w:rPr>
            <w:t>附件1 环评委托书</w:t>
          </w:r>
        </w:p>
        <w:p w14:paraId="7D85923F">
          <w:pPr>
            <w:pStyle w:val="10"/>
            <w:tabs>
              <w:tab w:val="right" w:leader="dot" w:pos="8306"/>
            </w:tabs>
            <w:rPr>
              <w:rFonts w:hint="eastAsia"/>
              <w:color w:val="auto"/>
            </w:rPr>
          </w:pPr>
          <w:r>
            <w:rPr>
              <w:rFonts w:hint="eastAsia"/>
              <w:color w:val="auto"/>
            </w:rPr>
            <w:t>附件2 营业执照</w:t>
          </w:r>
        </w:p>
        <w:p w14:paraId="476144D2">
          <w:pPr>
            <w:pStyle w:val="10"/>
            <w:tabs>
              <w:tab w:val="right" w:leader="dot" w:pos="8306"/>
            </w:tabs>
            <w:rPr>
              <w:rFonts w:hint="eastAsia"/>
              <w:color w:val="auto"/>
            </w:rPr>
          </w:pPr>
          <w:r>
            <w:rPr>
              <w:rFonts w:hint="eastAsia"/>
              <w:color w:val="auto"/>
            </w:rPr>
            <w:t>附件3 立项文件</w:t>
          </w:r>
        </w:p>
        <w:p w14:paraId="6599CB85">
          <w:pPr>
            <w:rPr>
              <w:rFonts w:hint="eastAsia"/>
              <w:color w:val="auto"/>
              <w:lang w:val="en-US" w:eastAsia="zh-CN"/>
            </w:rPr>
          </w:pPr>
          <w:r>
            <w:rPr>
              <w:rFonts w:hint="eastAsia"/>
              <w:color w:val="auto"/>
              <w:lang w:val="en-US" w:eastAsia="zh-CN"/>
            </w:rPr>
            <w:t>附件4 土地使用权出让证明</w:t>
          </w:r>
        </w:p>
        <w:p w14:paraId="4B329FCF">
          <w:pPr>
            <w:rPr>
              <w:rFonts w:hint="eastAsia"/>
              <w:color w:val="auto"/>
              <w:lang w:val="en-US" w:eastAsia="zh-CN"/>
            </w:rPr>
          </w:pPr>
          <w:r>
            <w:rPr>
              <w:rFonts w:hint="eastAsia"/>
              <w:color w:val="auto"/>
              <w:lang w:val="en-US" w:eastAsia="zh-CN"/>
            </w:rPr>
            <w:t>附件5 引用检测报告</w:t>
          </w:r>
        </w:p>
        <w:p w14:paraId="7B946553">
          <w:pPr>
            <w:rPr>
              <w:rFonts w:hint="default"/>
              <w:color w:val="auto"/>
              <w:lang w:val="en-US" w:eastAsia="zh-CN"/>
            </w:rPr>
          </w:pPr>
          <w:r>
            <w:rPr>
              <w:rFonts w:hint="eastAsia"/>
              <w:color w:val="auto"/>
              <w:lang w:val="en-US" w:eastAsia="zh-CN"/>
            </w:rPr>
            <w:t>附件6 评审专家意见</w:t>
          </w:r>
        </w:p>
        <w:p w14:paraId="1AE076EC">
          <w:pPr>
            <w:rPr>
              <w:rFonts w:hint="eastAsia"/>
              <w:color w:val="auto"/>
              <w:lang w:val="en-US" w:eastAsia="zh-CN"/>
            </w:rPr>
          </w:pPr>
          <w:r>
            <w:rPr>
              <w:rFonts w:hint="eastAsia"/>
              <w:color w:val="auto"/>
              <w:lang w:val="en-US" w:eastAsia="zh-CN"/>
            </w:rPr>
            <w:t>附件7 评审专家签到表</w:t>
          </w:r>
        </w:p>
        <w:p w14:paraId="16C2E21A">
          <w:pPr>
            <w:rPr>
              <w:rFonts w:hint="default"/>
              <w:color w:val="auto"/>
              <w:lang w:val="en-US" w:eastAsia="zh-CN"/>
            </w:rPr>
          </w:pPr>
          <w:r>
            <w:rPr>
              <w:rFonts w:hint="eastAsia"/>
              <w:color w:val="auto"/>
              <w:lang w:val="en-US" w:eastAsia="zh-CN"/>
            </w:rPr>
            <w:t>附件8 企业变更申请</w:t>
          </w:r>
        </w:p>
        <w:p w14:paraId="5A245DB2">
          <w:pPr>
            <w:pStyle w:val="10"/>
            <w:tabs>
              <w:tab w:val="right" w:leader="dot" w:pos="8306"/>
            </w:tabs>
            <w:rPr>
              <w:rFonts w:hint="eastAsia"/>
              <w:b/>
              <w:bCs/>
              <w:color w:val="auto"/>
            </w:rPr>
          </w:pPr>
          <w:r>
            <w:rPr>
              <w:rFonts w:hint="eastAsia"/>
              <w:b/>
              <w:bCs/>
              <w:color w:val="auto"/>
            </w:rPr>
            <w:t>附图</w:t>
          </w:r>
        </w:p>
        <w:p w14:paraId="5724A56F">
          <w:pPr>
            <w:pStyle w:val="10"/>
            <w:tabs>
              <w:tab w:val="right" w:leader="dot" w:pos="8306"/>
            </w:tabs>
            <w:rPr>
              <w:rFonts w:hint="eastAsia"/>
              <w:color w:val="auto"/>
            </w:rPr>
          </w:pPr>
          <w:r>
            <w:rPr>
              <w:rFonts w:hint="eastAsia"/>
              <w:color w:val="auto"/>
            </w:rPr>
            <w:t>附图1 项目地理位置图</w:t>
          </w:r>
        </w:p>
        <w:p w14:paraId="15BF616F">
          <w:pPr>
            <w:pStyle w:val="10"/>
            <w:tabs>
              <w:tab w:val="right" w:leader="dot" w:pos="8306"/>
            </w:tabs>
            <w:rPr>
              <w:rFonts w:hint="eastAsia"/>
              <w:color w:val="auto"/>
            </w:rPr>
          </w:pPr>
          <w:r>
            <w:rPr>
              <w:rFonts w:hint="eastAsia"/>
              <w:color w:val="auto"/>
            </w:rPr>
            <w:t>附图2 项目环境保护目标图</w:t>
          </w:r>
        </w:p>
        <w:p w14:paraId="58E82571">
          <w:pPr>
            <w:pStyle w:val="10"/>
            <w:tabs>
              <w:tab w:val="right" w:leader="dot" w:pos="8306"/>
            </w:tabs>
            <w:rPr>
              <w:rFonts w:hint="eastAsia"/>
              <w:color w:val="auto"/>
            </w:rPr>
          </w:pPr>
          <w:r>
            <w:rPr>
              <w:rFonts w:hint="eastAsia"/>
              <w:color w:val="auto"/>
            </w:rPr>
            <w:t xml:space="preserve">附图3 </w:t>
          </w:r>
          <w:r>
            <w:rPr>
              <w:rFonts w:hint="eastAsia"/>
              <w:color w:val="auto"/>
              <w:lang w:val="en-US" w:eastAsia="zh-CN"/>
            </w:rPr>
            <w:t>引用数据</w:t>
          </w:r>
          <w:r>
            <w:rPr>
              <w:rFonts w:hint="eastAsia"/>
              <w:color w:val="auto"/>
            </w:rPr>
            <w:t>检测点位</w:t>
          </w:r>
          <w:r>
            <w:rPr>
              <w:rFonts w:hint="eastAsia"/>
              <w:color w:val="auto"/>
              <w:lang w:val="en-US" w:eastAsia="zh-CN"/>
            </w:rPr>
            <w:t>示意</w:t>
          </w:r>
          <w:r>
            <w:rPr>
              <w:rFonts w:hint="eastAsia"/>
              <w:color w:val="auto"/>
            </w:rPr>
            <w:t>图</w:t>
          </w:r>
        </w:p>
        <w:p w14:paraId="442D1756">
          <w:pPr>
            <w:rPr>
              <w:rFonts w:hint="eastAsia"/>
              <w:color w:val="auto"/>
            </w:rPr>
          </w:pPr>
          <w:r>
            <w:rPr>
              <w:rFonts w:hint="eastAsia"/>
              <w:color w:val="auto"/>
            </w:rPr>
            <w:t>附图4 厂区平面布局图</w:t>
          </w:r>
        </w:p>
        <w:p w14:paraId="7F14D101">
          <w:pPr>
            <w:rPr>
              <w:rFonts w:hint="default" w:eastAsia="宋体"/>
              <w:color w:val="auto"/>
              <w:lang w:val="en-US" w:eastAsia="zh-CN"/>
            </w:rPr>
          </w:pPr>
          <w:r>
            <w:rPr>
              <w:rFonts w:hint="eastAsia"/>
              <w:color w:val="auto"/>
            </w:rPr>
            <w:t>附图</w:t>
          </w:r>
          <w:r>
            <w:rPr>
              <w:rFonts w:hint="eastAsia"/>
              <w:color w:val="auto"/>
              <w:lang w:val="en-US" w:eastAsia="zh-CN"/>
            </w:rPr>
            <w:t>5</w:t>
          </w:r>
          <w:r>
            <w:rPr>
              <w:rFonts w:hint="eastAsia"/>
              <w:color w:val="auto"/>
            </w:rPr>
            <w:t xml:space="preserve"> </w:t>
          </w:r>
          <w:r>
            <w:rPr>
              <w:rFonts w:hint="eastAsia"/>
              <w:color w:val="auto"/>
              <w:lang w:val="en-US" w:eastAsia="zh-CN"/>
            </w:rPr>
            <w:t>三线覆压查询图</w:t>
          </w:r>
        </w:p>
        <w:p w14:paraId="72EB62FF">
          <w:pPr>
            <w:rPr>
              <w:rFonts w:hint="default" w:eastAsia="宋体"/>
              <w:color w:val="auto"/>
              <w:lang w:val="en-US" w:eastAsia="zh-CN"/>
            </w:rPr>
          </w:pPr>
          <w:r>
            <w:rPr>
              <w:rFonts w:hint="eastAsia"/>
              <w:color w:val="auto"/>
            </w:rPr>
            <w:t>附图</w:t>
          </w:r>
          <w:r>
            <w:rPr>
              <w:rFonts w:hint="eastAsia"/>
              <w:color w:val="auto"/>
              <w:lang w:val="en-US" w:eastAsia="zh-CN"/>
            </w:rPr>
            <w:t>6</w:t>
          </w:r>
          <w:r>
            <w:rPr>
              <w:rFonts w:hint="eastAsia"/>
              <w:color w:val="auto"/>
            </w:rPr>
            <w:t xml:space="preserve"> </w:t>
          </w:r>
          <w:r>
            <w:rPr>
              <w:rFonts w:hint="eastAsia"/>
              <w:color w:val="auto"/>
              <w:lang w:val="en-US" w:eastAsia="zh-CN"/>
            </w:rPr>
            <w:t>工程师现场勘察照片</w:t>
          </w:r>
        </w:p>
        <w:p w14:paraId="7D2BE063">
          <w:pPr>
            <w:pStyle w:val="10"/>
            <w:tabs>
              <w:tab w:val="right" w:leader="dot" w:pos="8306"/>
            </w:tabs>
            <w:rPr>
              <w:rFonts w:hint="eastAsia"/>
              <w:color w:val="auto"/>
              <w:lang w:val="en-US" w:eastAsia="zh-CN"/>
            </w:rPr>
          </w:pPr>
          <w:r>
            <w:rPr>
              <w:rFonts w:hint="eastAsia"/>
              <w:color w:val="auto"/>
              <w:szCs w:val="28"/>
              <w:lang w:val="en-US" w:eastAsia="zh-CN"/>
            </w:rPr>
            <w:fldChar w:fldCharType="end"/>
          </w:r>
        </w:p>
      </w:sdtContent>
    </w:sdt>
    <w:p w14:paraId="1C73364A">
      <w:pPr>
        <w:rPr>
          <w:rFonts w:hint="eastAsia"/>
          <w:color w:val="4874CB" w:themeColor="accent1"/>
          <w:lang w:val="en-US" w:eastAsia="zh-CN"/>
          <w14:textFill>
            <w14:solidFill>
              <w14:schemeClr w14:val="accent1"/>
            </w14:solidFill>
          </w14:textFill>
        </w:rPr>
      </w:pPr>
    </w:p>
    <w:p w14:paraId="18E86287">
      <w:pPr>
        <w:rPr>
          <w:rFonts w:hint="eastAsia"/>
          <w:color w:val="4874CB" w:themeColor="accent1"/>
          <w:lang w:val="en-US" w:eastAsia="zh-CN"/>
          <w14:textFill>
            <w14:solidFill>
              <w14:schemeClr w14:val="accent1"/>
            </w14:solidFill>
          </w14:textFill>
        </w:rPr>
      </w:pPr>
    </w:p>
    <w:p w14:paraId="74650F4C">
      <w:pPr>
        <w:pStyle w:val="2"/>
        <w:bidi w:val="0"/>
        <w:jc w:val="center"/>
        <w:outlineLvl w:val="9"/>
        <w:rPr>
          <w:rFonts w:hint="default" w:ascii="Times New Roman" w:hAnsi="Times New Roman" w:eastAsia="宋体" w:cs="Times New Roman"/>
          <w:color w:val="4874CB" w:themeColor="accent1"/>
          <w:u w:val="none" w:color="auto"/>
          <w14:textFill>
            <w14:solidFill>
              <w14:schemeClr w14:val="accent1"/>
            </w14:solidFill>
          </w14:textFill>
        </w:rPr>
        <w:sectPr>
          <w:pgSz w:w="11906" w:h="16838"/>
          <w:pgMar w:top="1440" w:right="1800" w:bottom="1440" w:left="1800" w:header="851" w:footer="992" w:gutter="0"/>
          <w:cols w:space="425" w:num="1"/>
          <w:docGrid w:type="lines" w:linePitch="312" w:charSpace="0"/>
        </w:sectPr>
      </w:pPr>
      <w:bookmarkStart w:id="4" w:name="_Toc1404"/>
    </w:p>
    <w:p w14:paraId="60B4AB81">
      <w:pPr>
        <w:pStyle w:val="2"/>
        <w:bidi w:val="0"/>
        <w:jc w:val="center"/>
        <w:rPr>
          <w:rFonts w:hint="default" w:ascii="Times New Roman" w:hAnsi="Times New Roman" w:eastAsia="宋体" w:cs="Times New Roman"/>
          <w:color w:val="auto"/>
          <w:u w:val="none" w:color="auto"/>
        </w:rPr>
      </w:pPr>
      <w:bookmarkStart w:id="5" w:name="_Toc9985"/>
      <w:r>
        <w:rPr>
          <w:rFonts w:hint="default" w:ascii="Times New Roman" w:hAnsi="Times New Roman" w:eastAsia="宋体" w:cs="Times New Roman"/>
          <w:color w:val="auto"/>
          <w:u w:val="none" w:color="auto"/>
        </w:rPr>
        <w:t>一、建设项目基本情况</w:t>
      </w:r>
      <w:bookmarkEnd w:id="4"/>
      <w:bookmarkEnd w:id="5"/>
    </w:p>
    <w:tbl>
      <w:tblPr>
        <w:tblStyle w:val="15"/>
        <w:tblW w:w="499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59"/>
        <w:gridCol w:w="1690"/>
        <w:gridCol w:w="1760"/>
        <w:gridCol w:w="3015"/>
      </w:tblGrid>
      <w:tr w14:paraId="11BCB4A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16" w:type="pct"/>
            <w:noWrap w:val="0"/>
            <w:tcMar>
              <w:top w:w="16" w:type="dxa"/>
              <w:left w:w="16" w:type="dxa"/>
              <w:right w:w="16" w:type="dxa"/>
            </w:tcMar>
            <w:vAlign w:val="center"/>
          </w:tcPr>
          <w:p w14:paraId="06795FAB">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lang w:val="en-US" w:eastAsia="zh-CN"/>
              </w:rPr>
              <w:t>建设项目名称</w:t>
            </w:r>
          </w:p>
        </w:tc>
        <w:tc>
          <w:tcPr>
            <w:tcW w:w="3883" w:type="pct"/>
            <w:gridSpan w:val="3"/>
            <w:noWrap w:val="0"/>
            <w:vAlign w:val="center"/>
          </w:tcPr>
          <w:p w14:paraId="64312080">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u w:val="none" w:color="auto"/>
              </w:rPr>
            </w:pPr>
            <w:r>
              <w:rPr>
                <w:rFonts w:hint="default" w:ascii="Times New Roman" w:hAnsi="Times New Roman" w:eastAsia="宋体" w:cs="Times New Roman"/>
                <w:color w:val="auto"/>
                <w:u w:val="none" w:color="auto"/>
              </w:rPr>
              <w:t>年产</w:t>
            </w:r>
            <w:r>
              <w:rPr>
                <w:rFonts w:hint="eastAsia" w:cs="Times New Roman"/>
                <w:color w:val="auto"/>
                <w:u w:val="none" w:color="auto"/>
                <w:lang w:val="en-US" w:eastAsia="zh-CN"/>
              </w:rPr>
              <w:t>2</w:t>
            </w:r>
            <w:r>
              <w:rPr>
                <w:rFonts w:hint="default" w:ascii="Times New Roman" w:hAnsi="Times New Roman" w:eastAsia="宋体" w:cs="Times New Roman"/>
                <w:color w:val="auto"/>
                <w:u w:val="none" w:color="auto"/>
              </w:rPr>
              <w:t>万吨</w:t>
            </w:r>
            <w:r>
              <w:rPr>
                <w:rFonts w:hint="eastAsia" w:cs="Times New Roman"/>
                <w:color w:val="auto"/>
                <w:u w:val="none" w:color="auto"/>
                <w:lang w:val="en-US" w:eastAsia="zh-CN"/>
              </w:rPr>
              <w:t>复合肥料、</w:t>
            </w:r>
            <w:r>
              <w:rPr>
                <w:rFonts w:hint="eastAsia"/>
                <w:sz w:val="24"/>
                <w:szCs w:val="24"/>
                <w:u w:val="none"/>
              </w:rPr>
              <w:t>3万吨掺混肥料</w:t>
            </w:r>
            <w:r>
              <w:rPr>
                <w:rFonts w:hint="eastAsia" w:cs="Times New Roman"/>
                <w:color w:val="auto"/>
                <w:u w:val="none" w:color="auto"/>
                <w:lang w:val="en-US" w:eastAsia="zh-CN"/>
              </w:rPr>
              <w:t>生产线</w:t>
            </w:r>
            <w:r>
              <w:rPr>
                <w:rFonts w:hint="default" w:ascii="Times New Roman" w:hAnsi="Times New Roman" w:eastAsia="宋体" w:cs="Times New Roman"/>
                <w:color w:val="auto"/>
                <w:u w:val="none" w:color="auto"/>
              </w:rPr>
              <w:t>建设项目</w:t>
            </w:r>
          </w:p>
        </w:tc>
      </w:tr>
      <w:tr w14:paraId="28A10F1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16" w:type="pct"/>
            <w:noWrap w:val="0"/>
            <w:tcMar>
              <w:top w:w="16" w:type="dxa"/>
              <w:left w:w="16" w:type="dxa"/>
              <w:right w:w="16" w:type="dxa"/>
            </w:tcMar>
            <w:vAlign w:val="center"/>
          </w:tcPr>
          <w:p w14:paraId="6DD5A9BA">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4874CB" w:themeColor="accent1"/>
                <w:u w:val="none" w:color="auto"/>
                <w14:textFill>
                  <w14:solidFill>
                    <w14:schemeClr w14:val="accent1"/>
                  </w14:solidFill>
                </w14:textFill>
              </w:rPr>
            </w:pPr>
            <w:r>
              <w:rPr>
                <w:rFonts w:hint="default" w:ascii="Times New Roman" w:hAnsi="Times New Roman" w:eastAsia="宋体" w:cs="Times New Roman"/>
                <w:color w:val="auto"/>
                <w:u w:val="none" w:color="auto"/>
              </w:rPr>
              <w:t>项目代码</w:t>
            </w:r>
          </w:p>
        </w:tc>
        <w:tc>
          <w:tcPr>
            <w:tcW w:w="3883" w:type="pct"/>
            <w:gridSpan w:val="3"/>
            <w:noWrap w:val="0"/>
            <w:vAlign w:val="center"/>
          </w:tcPr>
          <w:p w14:paraId="4050A29A">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4874CB" w:themeColor="accent1"/>
                <w:szCs w:val="21"/>
                <w:u w:val="none" w:color="auto"/>
                <w:lang w:val="en-US" w:eastAsia="zh-CN"/>
                <w14:textFill>
                  <w14:solidFill>
                    <w14:schemeClr w14:val="accent1"/>
                  </w14:solidFill>
                </w14:textFill>
              </w:rPr>
            </w:pPr>
            <w:r>
              <w:rPr>
                <w:rFonts w:hint="eastAsia" w:cs="Times New Roman"/>
                <w:color w:val="auto"/>
                <w:szCs w:val="21"/>
                <w:u w:val="none" w:color="auto"/>
                <w:lang w:val="en-US" w:eastAsia="zh-CN"/>
              </w:rPr>
              <w:t>2511-430621-04-01-743924</w:t>
            </w:r>
          </w:p>
        </w:tc>
      </w:tr>
      <w:tr w14:paraId="649897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16" w:type="pct"/>
            <w:noWrap w:val="0"/>
            <w:tcMar>
              <w:top w:w="16" w:type="dxa"/>
              <w:left w:w="16" w:type="dxa"/>
              <w:right w:w="16" w:type="dxa"/>
            </w:tcMar>
            <w:vAlign w:val="center"/>
          </w:tcPr>
          <w:p w14:paraId="5E843482">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建设单位联系人</w:t>
            </w:r>
          </w:p>
        </w:tc>
        <w:tc>
          <w:tcPr>
            <w:tcW w:w="1015" w:type="pct"/>
            <w:noWrap w:val="0"/>
            <w:vAlign w:val="center"/>
          </w:tcPr>
          <w:p w14:paraId="78C58393">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lang w:val="en-US" w:eastAsia="zh-CN"/>
              </w:rPr>
            </w:pPr>
            <w:r>
              <w:rPr>
                <w:rFonts w:hint="eastAsia" w:cs="Times New Roman"/>
                <w:color w:val="auto"/>
                <w:szCs w:val="21"/>
                <w:u w:val="none" w:color="auto"/>
                <w:lang w:val="en-US" w:eastAsia="zh-CN"/>
              </w:rPr>
              <w:t>米良*</w:t>
            </w:r>
          </w:p>
        </w:tc>
        <w:tc>
          <w:tcPr>
            <w:tcW w:w="1057" w:type="pct"/>
            <w:noWrap w:val="0"/>
            <w:vAlign w:val="center"/>
          </w:tcPr>
          <w:p w14:paraId="120003FD">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联系方式</w:t>
            </w:r>
          </w:p>
        </w:tc>
        <w:tc>
          <w:tcPr>
            <w:tcW w:w="1811" w:type="pct"/>
            <w:noWrap w:val="0"/>
            <w:vAlign w:val="center"/>
          </w:tcPr>
          <w:p w14:paraId="2BB83B1A">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4874CB" w:themeColor="accent1"/>
                <w:szCs w:val="21"/>
                <w:u w:val="none" w:color="auto"/>
                <w:lang w:val="en-US" w:eastAsia="zh-CN"/>
                <w14:textFill>
                  <w14:solidFill>
                    <w14:schemeClr w14:val="accent1"/>
                  </w14:solidFill>
                </w14:textFill>
              </w:rPr>
            </w:pPr>
            <w:r>
              <w:rPr>
                <w:rFonts w:hint="eastAsia" w:cs="Times New Roman"/>
                <w:color w:val="auto"/>
                <w:szCs w:val="21"/>
                <w:u w:val="none" w:color="auto"/>
                <w:lang w:val="en-US" w:eastAsia="zh-CN"/>
              </w:rPr>
              <w:t>1887303****</w:t>
            </w:r>
          </w:p>
        </w:tc>
      </w:tr>
      <w:tr w14:paraId="626D40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16" w:type="pct"/>
            <w:noWrap w:val="0"/>
            <w:tcMar>
              <w:top w:w="16" w:type="dxa"/>
              <w:left w:w="16" w:type="dxa"/>
              <w:right w:w="16" w:type="dxa"/>
            </w:tcMar>
            <w:vAlign w:val="center"/>
          </w:tcPr>
          <w:p w14:paraId="54266CAF">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建设地点</w:t>
            </w:r>
          </w:p>
        </w:tc>
        <w:tc>
          <w:tcPr>
            <w:tcW w:w="3883" w:type="pct"/>
            <w:gridSpan w:val="3"/>
            <w:noWrap w:val="0"/>
            <w:vAlign w:val="center"/>
          </w:tcPr>
          <w:p w14:paraId="569C002D">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auto"/>
                <w:u w:val="none" w:color="auto"/>
                <w:lang w:val="en-US" w:eastAsia="zh-CN"/>
              </w:rPr>
            </w:pPr>
            <w:r>
              <w:rPr>
                <w:rFonts w:hint="eastAsia" w:cs="Times New Roman"/>
                <w:color w:val="auto"/>
                <w:u w:val="single" w:color="auto"/>
                <w:lang w:eastAsia="zh-CN"/>
              </w:rPr>
              <w:t>岳阳县高新技术产业开发区</w:t>
            </w:r>
            <w:r>
              <w:rPr>
                <w:rFonts w:hint="eastAsia"/>
                <w:sz w:val="24"/>
                <w:u w:val="single" w:color="auto"/>
              </w:rPr>
              <w:t>洪山洞片区</w:t>
            </w:r>
          </w:p>
        </w:tc>
      </w:tr>
      <w:tr w14:paraId="498CC9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16" w:type="pct"/>
            <w:noWrap w:val="0"/>
            <w:tcMar>
              <w:top w:w="16" w:type="dxa"/>
              <w:left w:w="16" w:type="dxa"/>
              <w:right w:w="16" w:type="dxa"/>
            </w:tcMar>
            <w:vAlign w:val="center"/>
          </w:tcPr>
          <w:p w14:paraId="0377E590">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4874CB" w:themeColor="accent1"/>
                <w:szCs w:val="21"/>
                <w:u w:val="none" w:color="auto"/>
                <w14:textFill>
                  <w14:solidFill>
                    <w14:schemeClr w14:val="accent1"/>
                  </w14:solidFill>
                </w14:textFill>
              </w:rPr>
            </w:pPr>
            <w:r>
              <w:rPr>
                <w:rFonts w:hint="default" w:ascii="Times New Roman" w:hAnsi="Times New Roman" w:eastAsia="宋体" w:cs="Times New Roman"/>
                <w:color w:val="auto"/>
                <w:szCs w:val="21"/>
                <w:u w:val="none" w:color="auto"/>
              </w:rPr>
              <w:t>地理坐标</w:t>
            </w:r>
          </w:p>
        </w:tc>
        <w:tc>
          <w:tcPr>
            <w:tcW w:w="3883" w:type="pct"/>
            <w:gridSpan w:val="3"/>
            <w:noWrap w:val="0"/>
            <w:vAlign w:val="center"/>
          </w:tcPr>
          <w:p w14:paraId="718AE1E0">
            <w:pPr>
              <w:keepNext w:val="0"/>
              <w:keepLines w:val="0"/>
              <w:pageBreakBefore w:val="0"/>
              <w:widowControl w:val="0"/>
              <w:kinsoku/>
              <w:wordWrap/>
              <w:overflowPunct/>
              <w:topLinePunct w:val="0"/>
              <w:bidi w:val="0"/>
              <w:spacing w:line="240" w:lineRule="auto"/>
              <w:ind w:left="0" w:leftChars="0" w:firstLine="0" w:firstLineChars="0"/>
              <w:jc w:val="center"/>
              <w:textAlignment w:val="auto"/>
              <w:rPr>
                <w:rFonts w:hint="default" w:ascii="Times New Roman" w:hAnsi="Times New Roman" w:eastAsia="宋体" w:cs="Times New Roman"/>
                <w:color w:val="4874CB" w:themeColor="accent1"/>
                <w:szCs w:val="21"/>
                <w:highlight w:val="none"/>
                <w:u w:val="none" w:color="auto"/>
                <w:lang w:val="en-US" w:eastAsia="zh-CN"/>
                <w14:textFill>
                  <w14:solidFill>
                    <w14:schemeClr w14:val="accent1"/>
                  </w14:solidFill>
                </w14:textFill>
              </w:rPr>
            </w:pPr>
            <w:r>
              <w:rPr>
                <w:rFonts w:hint="default" w:ascii="Times New Roman" w:hAnsi="Times New Roman" w:eastAsia="宋体" w:cs="Times New Roman"/>
                <w:color w:val="auto"/>
                <w:szCs w:val="21"/>
                <w:highlight w:val="none"/>
                <w:u w:val="none" w:color="auto"/>
                <w:lang w:val="en-US" w:eastAsia="zh-CN"/>
              </w:rPr>
              <w:t>东经113°</w:t>
            </w:r>
            <w:r>
              <w:rPr>
                <w:rFonts w:hint="eastAsia" w:cs="Times New Roman"/>
                <w:color w:val="auto"/>
                <w:szCs w:val="21"/>
                <w:highlight w:val="none"/>
                <w:u w:val="none" w:color="auto"/>
                <w:lang w:val="en-US" w:eastAsia="zh-CN"/>
              </w:rPr>
              <w:t>22</w:t>
            </w:r>
            <w:r>
              <w:rPr>
                <w:rFonts w:hint="default" w:ascii="Times New Roman" w:hAnsi="Times New Roman" w:eastAsia="宋体" w:cs="Times New Roman"/>
                <w:color w:val="auto"/>
                <w:szCs w:val="21"/>
                <w:highlight w:val="none"/>
                <w:u w:val="none" w:color="auto"/>
                <w:lang w:val="en-US" w:eastAsia="zh-CN"/>
              </w:rPr>
              <w:t>′</w:t>
            </w:r>
            <w:r>
              <w:rPr>
                <w:rFonts w:hint="eastAsia" w:cs="Times New Roman"/>
                <w:color w:val="auto"/>
                <w:szCs w:val="21"/>
                <w:highlight w:val="none"/>
                <w:u w:val="none" w:color="auto"/>
                <w:lang w:val="en-US" w:eastAsia="zh-CN"/>
              </w:rPr>
              <w:t>89</w:t>
            </w:r>
            <w:r>
              <w:rPr>
                <w:rFonts w:hint="default" w:ascii="Times New Roman" w:hAnsi="Times New Roman" w:eastAsia="宋体" w:cs="Times New Roman"/>
                <w:color w:val="auto"/>
                <w:szCs w:val="21"/>
                <w:highlight w:val="none"/>
                <w:u w:val="none" w:color="auto"/>
                <w:lang w:val="en-US" w:eastAsia="zh-CN"/>
              </w:rPr>
              <w:t>″，北纬29°</w:t>
            </w:r>
            <w:r>
              <w:rPr>
                <w:rFonts w:hint="eastAsia" w:cs="Times New Roman"/>
                <w:color w:val="auto"/>
                <w:szCs w:val="21"/>
                <w:highlight w:val="none"/>
                <w:u w:val="none" w:color="auto"/>
                <w:lang w:val="en-US" w:eastAsia="zh-CN"/>
              </w:rPr>
              <w:t>06</w:t>
            </w:r>
            <w:r>
              <w:rPr>
                <w:rFonts w:hint="default" w:ascii="Times New Roman" w:hAnsi="Times New Roman" w:eastAsia="宋体" w:cs="Times New Roman"/>
                <w:color w:val="auto"/>
                <w:szCs w:val="21"/>
                <w:highlight w:val="none"/>
                <w:u w:val="none" w:color="auto"/>
                <w:lang w:val="en-US" w:eastAsia="zh-CN"/>
              </w:rPr>
              <w:t>′</w:t>
            </w:r>
            <w:r>
              <w:rPr>
                <w:rFonts w:hint="eastAsia" w:cs="Times New Roman"/>
                <w:color w:val="auto"/>
                <w:szCs w:val="21"/>
                <w:highlight w:val="none"/>
                <w:u w:val="none" w:color="auto"/>
                <w:lang w:val="en-US" w:eastAsia="zh-CN"/>
              </w:rPr>
              <w:t>49</w:t>
            </w:r>
            <w:r>
              <w:rPr>
                <w:rFonts w:hint="default" w:ascii="Times New Roman" w:hAnsi="Times New Roman" w:eastAsia="宋体" w:cs="Times New Roman"/>
                <w:color w:val="auto"/>
                <w:szCs w:val="21"/>
                <w:highlight w:val="none"/>
                <w:u w:val="none" w:color="auto"/>
                <w:lang w:val="en-US" w:eastAsia="zh-CN"/>
              </w:rPr>
              <w:t>″</w:t>
            </w:r>
          </w:p>
        </w:tc>
      </w:tr>
      <w:tr w14:paraId="1F52AF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16" w:type="pct"/>
            <w:noWrap w:val="0"/>
            <w:tcMar>
              <w:top w:w="16" w:type="dxa"/>
              <w:left w:w="16" w:type="dxa"/>
              <w:right w:w="16" w:type="dxa"/>
            </w:tcMar>
            <w:vAlign w:val="center"/>
          </w:tcPr>
          <w:p w14:paraId="72A5A6CA">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国民经济</w:t>
            </w:r>
          </w:p>
          <w:p w14:paraId="593DE14D">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4874CB" w:themeColor="accent1"/>
                <w:szCs w:val="21"/>
                <w:u w:val="none" w:color="auto"/>
                <w14:textFill>
                  <w14:solidFill>
                    <w14:schemeClr w14:val="accent1"/>
                  </w14:solidFill>
                </w14:textFill>
              </w:rPr>
            </w:pPr>
            <w:r>
              <w:rPr>
                <w:rFonts w:hint="default" w:ascii="Times New Roman" w:hAnsi="Times New Roman" w:eastAsia="宋体" w:cs="Times New Roman"/>
                <w:color w:val="auto"/>
                <w:szCs w:val="21"/>
                <w:u w:val="none" w:color="auto"/>
              </w:rPr>
              <w:t>行业类别</w:t>
            </w:r>
          </w:p>
        </w:tc>
        <w:tc>
          <w:tcPr>
            <w:tcW w:w="1015" w:type="pct"/>
            <w:noWrap w:val="0"/>
            <w:vAlign w:val="center"/>
          </w:tcPr>
          <w:p w14:paraId="0061471A">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rPr>
              <w:t>C</w:t>
            </w:r>
            <w:r>
              <w:rPr>
                <w:rFonts w:hint="eastAsia" w:cs="Times New Roman"/>
                <w:color w:val="auto"/>
                <w:szCs w:val="21"/>
                <w:u w:val="none" w:color="auto"/>
                <w:lang w:val="en-US" w:eastAsia="zh-CN"/>
              </w:rPr>
              <w:t>2624</w:t>
            </w:r>
            <w:r>
              <w:rPr>
                <w:rFonts w:hint="default" w:ascii="Times New Roman" w:hAnsi="Times New Roman" w:eastAsia="宋体" w:cs="Times New Roman"/>
                <w:color w:val="auto"/>
                <w:szCs w:val="21"/>
                <w:u w:val="none" w:color="auto"/>
                <w:lang w:val="en-US"/>
              </w:rPr>
              <w:t xml:space="preserve"> </w:t>
            </w:r>
            <w:r>
              <w:rPr>
                <w:rFonts w:hint="eastAsia" w:cs="Times New Roman"/>
                <w:color w:val="auto"/>
                <w:szCs w:val="21"/>
                <w:u w:val="none" w:color="auto"/>
                <w:lang w:val="en-US" w:eastAsia="zh-CN"/>
              </w:rPr>
              <w:t>复混肥料</w:t>
            </w:r>
            <w:r>
              <w:rPr>
                <w:rFonts w:hint="default" w:ascii="Times New Roman" w:hAnsi="Times New Roman" w:eastAsia="宋体" w:cs="Times New Roman"/>
                <w:color w:val="auto"/>
                <w:szCs w:val="21"/>
                <w:u w:val="none" w:color="auto"/>
                <w:lang w:val="en-US"/>
              </w:rPr>
              <w:t>制造</w:t>
            </w:r>
          </w:p>
        </w:tc>
        <w:tc>
          <w:tcPr>
            <w:tcW w:w="1057" w:type="pct"/>
            <w:noWrap w:val="0"/>
            <w:vAlign w:val="center"/>
          </w:tcPr>
          <w:p w14:paraId="54B9B5D4">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lang w:val="en-US" w:eastAsia="zh-CN"/>
              </w:rPr>
            </w:pPr>
            <w:bookmarkStart w:id="6" w:name="_Hlk49843745"/>
            <w:r>
              <w:rPr>
                <w:rFonts w:hint="default" w:ascii="Times New Roman" w:hAnsi="Times New Roman" w:eastAsia="宋体" w:cs="Times New Roman"/>
                <w:color w:val="auto"/>
                <w:szCs w:val="21"/>
                <w:u w:val="none" w:color="auto"/>
                <w:lang w:val="en-US" w:eastAsia="zh-CN"/>
              </w:rPr>
              <w:t>建设项目</w:t>
            </w:r>
          </w:p>
          <w:p w14:paraId="6933205D">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none" w:color="auto"/>
                <w:lang w:val="en-US" w:eastAsia="zh-CN"/>
              </w:rPr>
              <w:t>行业类别</w:t>
            </w:r>
            <w:bookmarkEnd w:id="6"/>
          </w:p>
        </w:tc>
        <w:tc>
          <w:tcPr>
            <w:tcW w:w="1811" w:type="pct"/>
            <w:noWrap w:val="0"/>
            <w:vAlign w:val="center"/>
          </w:tcPr>
          <w:p w14:paraId="59C1EDA5">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lang w:val="en-US" w:eastAsia="zh-CN"/>
              </w:rPr>
            </w:pPr>
            <w:r>
              <w:rPr>
                <w:rFonts w:hint="default" w:ascii="Times New Roman" w:hAnsi="Times New Roman" w:eastAsia="宋体" w:cs="Times New Roman"/>
                <w:color w:val="auto"/>
                <w:szCs w:val="21"/>
                <w:u w:val="single" w:color="auto"/>
                <w:lang w:val="en-US" w:eastAsia="zh-CN"/>
              </w:rPr>
              <w:t>二十</w:t>
            </w:r>
            <w:r>
              <w:rPr>
                <w:rFonts w:hint="eastAsia" w:cs="Times New Roman"/>
                <w:color w:val="auto"/>
                <w:szCs w:val="21"/>
                <w:u w:val="single" w:color="auto"/>
                <w:lang w:val="en-US" w:eastAsia="zh-CN"/>
              </w:rPr>
              <w:t>三</w:t>
            </w:r>
            <w:r>
              <w:rPr>
                <w:rFonts w:hint="default" w:ascii="Times New Roman" w:hAnsi="Times New Roman" w:eastAsia="宋体" w:cs="Times New Roman"/>
                <w:color w:val="auto"/>
                <w:szCs w:val="21"/>
                <w:u w:val="single" w:color="auto"/>
                <w:lang w:val="en-US" w:eastAsia="zh-CN"/>
              </w:rPr>
              <w:t>、</w:t>
            </w:r>
            <w:r>
              <w:rPr>
                <w:rFonts w:hint="eastAsia" w:cs="Times New Roman"/>
                <w:color w:val="auto"/>
                <w:szCs w:val="21"/>
                <w:u w:val="single" w:color="auto"/>
                <w:lang w:val="en-US" w:eastAsia="zh-CN"/>
              </w:rPr>
              <w:t>化学原料和化学制品制造业 45</w:t>
            </w:r>
            <w:r>
              <w:rPr>
                <w:rFonts w:hint="default" w:ascii="Times New Roman" w:hAnsi="Times New Roman" w:eastAsia="宋体" w:cs="Times New Roman"/>
                <w:color w:val="auto"/>
                <w:szCs w:val="21"/>
                <w:u w:val="single" w:color="auto"/>
                <w:lang w:val="en-US" w:eastAsia="zh-CN"/>
              </w:rPr>
              <w:t xml:space="preserve"> </w:t>
            </w:r>
            <w:r>
              <w:rPr>
                <w:rFonts w:hint="eastAsia" w:cs="Times New Roman"/>
                <w:color w:val="auto"/>
                <w:szCs w:val="21"/>
                <w:u w:val="single" w:color="auto"/>
                <w:lang w:val="en-US" w:eastAsia="zh-CN"/>
              </w:rPr>
              <w:t>肥料制造 262 其他类别</w:t>
            </w:r>
          </w:p>
        </w:tc>
      </w:tr>
      <w:tr w14:paraId="4953D95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16" w:type="pct"/>
            <w:noWrap w:val="0"/>
            <w:tcMar>
              <w:top w:w="16" w:type="dxa"/>
              <w:left w:w="16" w:type="dxa"/>
              <w:right w:w="16" w:type="dxa"/>
            </w:tcMar>
            <w:vAlign w:val="center"/>
          </w:tcPr>
          <w:p w14:paraId="6DAE7714">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建设性质</w:t>
            </w:r>
          </w:p>
        </w:tc>
        <w:tc>
          <w:tcPr>
            <w:tcW w:w="1015" w:type="pct"/>
            <w:noWrap w:val="0"/>
            <w:vAlign w:val="center"/>
          </w:tcPr>
          <w:p w14:paraId="3A86933D">
            <w:pPr>
              <w:keepNext w:val="0"/>
              <w:keepLines w:val="0"/>
              <w:pageBreakBefore w:val="0"/>
              <w:widowControl w:val="0"/>
              <w:kinsoku/>
              <w:wordWrap/>
              <w:overflowPunct/>
              <w:topLinePunct w:val="0"/>
              <w:bidi w:val="0"/>
              <w:spacing w:line="240" w:lineRule="auto"/>
              <w:ind w:left="0" w:leftChars="0" w:firstLine="0" w:firstLineChars="0"/>
              <w:jc w:val="both"/>
              <w:textAlignment w:val="auto"/>
              <w:rPr>
                <w:rFonts w:hint="default" w:ascii="Times New Roman" w:hAnsi="Times New Roman" w:eastAsia="宋体" w:cs="Times New Roman"/>
                <w:color w:val="auto"/>
                <w:szCs w:val="21"/>
                <w:u w:val="none" w:color="auto"/>
              </w:rPr>
            </w:pPr>
            <w:r>
              <w:rPr>
                <w:rFonts w:hint="eastAsia" w:cs="Times New Roman"/>
                <w:color w:val="auto"/>
                <w:szCs w:val="21"/>
                <w:u w:val="none" w:color="auto"/>
                <w:lang w:eastAsia="zh-CN"/>
              </w:rPr>
              <w:t>☑</w:t>
            </w:r>
            <w:r>
              <w:rPr>
                <w:rFonts w:hint="default" w:ascii="Times New Roman" w:hAnsi="Times New Roman" w:eastAsia="宋体" w:cs="Times New Roman"/>
                <w:color w:val="auto"/>
                <w:szCs w:val="21"/>
                <w:u w:val="none" w:color="auto"/>
              </w:rPr>
              <w:t>新建（迁建）</w:t>
            </w:r>
          </w:p>
          <w:p w14:paraId="7A89D7F6">
            <w:pPr>
              <w:keepNext w:val="0"/>
              <w:keepLines w:val="0"/>
              <w:pageBreakBefore w:val="0"/>
              <w:widowControl w:val="0"/>
              <w:kinsoku/>
              <w:wordWrap/>
              <w:overflowPunct/>
              <w:topLinePunct w:val="0"/>
              <w:bidi w:val="0"/>
              <w:spacing w:line="240" w:lineRule="auto"/>
              <w:ind w:left="0" w:leftChars="0" w:firstLine="0" w:firstLineChars="0"/>
              <w:jc w:val="both"/>
              <w:textAlignment w:val="auto"/>
              <w:rPr>
                <w:rFonts w:hint="default" w:ascii="Times New Roman" w:hAnsi="Times New Roman" w:eastAsia="宋体" w:cs="Times New Roman"/>
                <w:color w:val="auto"/>
                <w:szCs w:val="21"/>
                <w:u w:val="none" w:color="auto"/>
              </w:rPr>
            </w:pPr>
            <w:r>
              <w:rPr>
                <w:rFonts w:hint="eastAsia" w:cs="Times New Roman"/>
                <w:color w:val="auto"/>
                <w:szCs w:val="21"/>
                <w:u w:val="none" w:color="auto"/>
                <w:lang w:eastAsia="zh-CN"/>
              </w:rPr>
              <w:t>□</w:t>
            </w:r>
            <w:r>
              <w:rPr>
                <w:rFonts w:hint="default" w:ascii="Times New Roman" w:hAnsi="Times New Roman" w:eastAsia="宋体" w:cs="Times New Roman"/>
                <w:color w:val="auto"/>
                <w:szCs w:val="21"/>
                <w:u w:val="none" w:color="auto"/>
              </w:rPr>
              <w:t>改建</w:t>
            </w:r>
          </w:p>
          <w:p w14:paraId="596F778B">
            <w:pPr>
              <w:keepNext w:val="0"/>
              <w:keepLines w:val="0"/>
              <w:pageBreakBefore w:val="0"/>
              <w:widowControl w:val="0"/>
              <w:kinsoku/>
              <w:wordWrap/>
              <w:overflowPunct/>
              <w:topLinePunct w:val="0"/>
              <w:bidi w:val="0"/>
              <w:spacing w:line="240" w:lineRule="auto"/>
              <w:ind w:left="0" w:leftChars="0" w:firstLine="0" w:firstLineChars="0"/>
              <w:jc w:val="both"/>
              <w:textAlignment w:val="auto"/>
              <w:rPr>
                <w:rFonts w:hint="default" w:ascii="Times New Roman" w:hAnsi="Times New Roman" w:eastAsia="宋体" w:cs="Times New Roman"/>
                <w:color w:val="auto"/>
                <w:szCs w:val="21"/>
                <w:u w:val="none" w:color="auto"/>
              </w:rPr>
            </w:pPr>
            <w:r>
              <w:rPr>
                <w:rFonts w:hint="eastAsia" w:cs="Times New Roman"/>
                <w:color w:val="auto"/>
                <w:szCs w:val="21"/>
                <w:u w:val="none" w:color="auto"/>
                <w:lang w:eastAsia="zh-CN"/>
              </w:rPr>
              <w:t>□</w:t>
            </w:r>
            <w:r>
              <w:rPr>
                <w:rFonts w:hint="default" w:ascii="Times New Roman" w:hAnsi="Times New Roman" w:eastAsia="宋体" w:cs="Times New Roman"/>
                <w:color w:val="auto"/>
                <w:szCs w:val="21"/>
                <w:u w:val="none" w:color="auto"/>
              </w:rPr>
              <w:t>扩建</w:t>
            </w:r>
          </w:p>
          <w:p w14:paraId="7EB4019E">
            <w:pPr>
              <w:keepNext w:val="0"/>
              <w:keepLines w:val="0"/>
              <w:pageBreakBefore w:val="0"/>
              <w:widowControl w:val="0"/>
              <w:kinsoku/>
              <w:wordWrap/>
              <w:overflowPunct/>
              <w:topLinePunct w:val="0"/>
              <w:bidi w:val="0"/>
              <w:spacing w:line="240" w:lineRule="auto"/>
              <w:ind w:left="0" w:leftChars="0" w:firstLine="0" w:firstLineChars="0"/>
              <w:jc w:val="both"/>
              <w:textAlignment w:val="auto"/>
              <w:rPr>
                <w:rFonts w:hint="default" w:ascii="Times New Roman" w:hAnsi="Times New Roman" w:eastAsia="宋体" w:cs="Times New Roman"/>
                <w:color w:val="auto"/>
                <w:szCs w:val="21"/>
                <w:u w:val="none" w:color="auto"/>
              </w:rPr>
            </w:pPr>
            <w:r>
              <w:rPr>
                <w:rFonts w:hint="eastAsia" w:cs="Times New Roman"/>
                <w:color w:val="auto"/>
                <w:szCs w:val="21"/>
                <w:u w:val="none" w:color="auto"/>
                <w:lang w:eastAsia="zh-CN"/>
              </w:rPr>
              <w:t>□</w:t>
            </w:r>
            <w:r>
              <w:rPr>
                <w:rFonts w:hint="default" w:ascii="Times New Roman" w:hAnsi="Times New Roman" w:eastAsia="宋体" w:cs="Times New Roman"/>
                <w:color w:val="auto"/>
                <w:szCs w:val="21"/>
                <w:u w:val="none" w:color="auto"/>
              </w:rPr>
              <w:t>技术改造</w:t>
            </w:r>
          </w:p>
        </w:tc>
        <w:tc>
          <w:tcPr>
            <w:tcW w:w="1057" w:type="pct"/>
            <w:noWrap w:val="0"/>
            <w:vAlign w:val="center"/>
          </w:tcPr>
          <w:p w14:paraId="020E374B">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建设项目</w:t>
            </w:r>
          </w:p>
          <w:p w14:paraId="0C4208F3">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申报情形</w:t>
            </w:r>
          </w:p>
        </w:tc>
        <w:tc>
          <w:tcPr>
            <w:tcW w:w="1811" w:type="pct"/>
            <w:noWrap w:val="0"/>
            <w:vAlign w:val="center"/>
          </w:tcPr>
          <w:p w14:paraId="52FCE353">
            <w:pPr>
              <w:keepNext w:val="0"/>
              <w:keepLines w:val="0"/>
              <w:pageBreakBefore w:val="0"/>
              <w:widowControl w:val="0"/>
              <w:kinsoku/>
              <w:wordWrap/>
              <w:overflowPunct/>
              <w:topLinePunct w:val="0"/>
              <w:bidi w:val="0"/>
              <w:spacing w:line="240" w:lineRule="auto"/>
              <w:ind w:left="0" w:leftChars="0" w:firstLine="0" w:firstLineChars="0"/>
              <w:jc w:val="both"/>
              <w:textAlignment w:val="auto"/>
              <w:rPr>
                <w:rFonts w:hint="default" w:ascii="Times New Roman" w:hAnsi="Times New Roman" w:eastAsia="宋体" w:cs="Times New Roman"/>
                <w:color w:val="auto"/>
                <w:szCs w:val="21"/>
                <w:u w:val="none" w:color="auto"/>
              </w:rPr>
            </w:pPr>
            <w:r>
              <w:rPr>
                <w:rFonts w:hint="eastAsia" w:cs="Times New Roman"/>
                <w:color w:val="auto"/>
                <w:szCs w:val="21"/>
                <w:u w:val="none" w:color="auto"/>
                <w:lang w:eastAsia="zh-CN"/>
              </w:rPr>
              <w:t>☑</w:t>
            </w:r>
            <w:r>
              <w:rPr>
                <w:rFonts w:hint="default" w:ascii="Times New Roman" w:hAnsi="Times New Roman" w:eastAsia="宋体" w:cs="Times New Roman"/>
                <w:color w:val="auto"/>
                <w:szCs w:val="21"/>
                <w:u w:val="none" w:color="auto"/>
              </w:rPr>
              <w:t>首次申报项目</w:t>
            </w:r>
          </w:p>
          <w:p w14:paraId="68EA88F2">
            <w:pPr>
              <w:keepNext w:val="0"/>
              <w:keepLines w:val="0"/>
              <w:pageBreakBefore w:val="0"/>
              <w:widowControl w:val="0"/>
              <w:kinsoku/>
              <w:wordWrap/>
              <w:overflowPunct/>
              <w:topLinePunct w:val="0"/>
              <w:bidi w:val="0"/>
              <w:spacing w:line="240" w:lineRule="auto"/>
              <w:ind w:left="0" w:leftChars="0" w:firstLine="0" w:firstLineChars="0"/>
              <w:jc w:val="both"/>
              <w:textAlignment w:val="auto"/>
              <w:rPr>
                <w:rFonts w:hint="default" w:ascii="Times New Roman" w:hAnsi="Times New Roman" w:eastAsia="宋体" w:cs="Times New Roman"/>
                <w:color w:val="auto"/>
                <w:szCs w:val="21"/>
                <w:u w:val="none" w:color="auto"/>
              </w:rPr>
            </w:pPr>
            <w:r>
              <w:rPr>
                <w:rFonts w:hint="eastAsia" w:cs="Times New Roman"/>
                <w:color w:val="auto"/>
                <w:szCs w:val="21"/>
                <w:u w:val="none" w:color="auto"/>
                <w:lang w:eastAsia="zh-CN"/>
              </w:rPr>
              <w:t>□</w:t>
            </w:r>
            <w:r>
              <w:rPr>
                <w:rFonts w:hint="default" w:ascii="Times New Roman" w:hAnsi="Times New Roman" w:eastAsia="宋体" w:cs="Times New Roman"/>
                <w:color w:val="auto"/>
                <w:szCs w:val="21"/>
                <w:u w:val="none" w:color="auto"/>
              </w:rPr>
              <w:t>不予批准后再次申报项目</w:t>
            </w:r>
          </w:p>
          <w:p w14:paraId="03E85375">
            <w:pPr>
              <w:keepNext w:val="0"/>
              <w:keepLines w:val="0"/>
              <w:pageBreakBefore w:val="0"/>
              <w:widowControl w:val="0"/>
              <w:kinsoku/>
              <w:wordWrap/>
              <w:overflowPunct/>
              <w:topLinePunct w:val="0"/>
              <w:bidi w:val="0"/>
              <w:spacing w:line="240" w:lineRule="auto"/>
              <w:ind w:left="0" w:leftChars="0" w:firstLine="0" w:firstLineChars="0"/>
              <w:jc w:val="both"/>
              <w:textAlignment w:val="auto"/>
              <w:rPr>
                <w:rFonts w:hint="default" w:ascii="Times New Roman" w:hAnsi="Times New Roman" w:eastAsia="宋体" w:cs="Times New Roman"/>
                <w:color w:val="auto"/>
                <w:szCs w:val="21"/>
                <w:u w:val="none" w:color="auto"/>
              </w:rPr>
            </w:pPr>
            <w:r>
              <w:rPr>
                <w:rFonts w:hint="eastAsia" w:cs="Times New Roman"/>
                <w:color w:val="auto"/>
                <w:szCs w:val="21"/>
                <w:u w:val="none" w:color="auto"/>
                <w:lang w:eastAsia="zh-CN"/>
              </w:rPr>
              <w:t>□</w:t>
            </w:r>
            <w:r>
              <w:rPr>
                <w:rFonts w:hint="default" w:ascii="Times New Roman" w:hAnsi="Times New Roman" w:eastAsia="宋体" w:cs="Times New Roman"/>
                <w:color w:val="auto"/>
                <w:szCs w:val="21"/>
                <w:u w:val="none" w:color="auto"/>
              </w:rPr>
              <w:t>超五年重新审核项目</w:t>
            </w:r>
          </w:p>
          <w:p w14:paraId="491A8ECF">
            <w:pPr>
              <w:keepNext w:val="0"/>
              <w:keepLines w:val="0"/>
              <w:pageBreakBefore w:val="0"/>
              <w:widowControl w:val="0"/>
              <w:kinsoku/>
              <w:wordWrap/>
              <w:overflowPunct/>
              <w:topLinePunct w:val="0"/>
              <w:bidi w:val="0"/>
              <w:spacing w:line="240" w:lineRule="auto"/>
              <w:ind w:left="0" w:leftChars="0" w:firstLine="0" w:firstLineChars="0"/>
              <w:jc w:val="both"/>
              <w:textAlignment w:val="auto"/>
              <w:rPr>
                <w:rFonts w:hint="default" w:ascii="Times New Roman" w:hAnsi="Times New Roman" w:eastAsia="宋体" w:cs="Times New Roman"/>
                <w:color w:val="auto"/>
                <w:szCs w:val="21"/>
                <w:u w:val="none" w:color="auto"/>
              </w:rPr>
            </w:pPr>
            <w:r>
              <w:rPr>
                <w:rFonts w:hint="eastAsia" w:cs="Times New Roman"/>
                <w:color w:val="auto"/>
                <w:szCs w:val="21"/>
                <w:u w:val="none" w:color="auto"/>
                <w:lang w:eastAsia="zh-CN"/>
              </w:rPr>
              <w:t>□</w:t>
            </w:r>
            <w:r>
              <w:rPr>
                <w:rFonts w:hint="default" w:ascii="Times New Roman" w:hAnsi="Times New Roman" w:eastAsia="宋体" w:cs="Times New Roman"/>
                <w:color w:val="auto"/>
                <w:szCs w:val="21"/>
                <w:u w:val="none" w:color="auto"/>
              </w:rPr>
              <w:t>重大变动重新报批项目</w:t>
            </w:r>
          </w:p>
        </w:tc>
      </w:tr>
      <w:tr w14:paraId="2E028EA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16" w:type="pct"/>
            <w:noWrap w:val="0"/>
            <w:tcMar>
              <w:top w:w="16" w:type="dxa"/>
              <w:left w:w="16" w:type="dxa"/>
              <w:right w:w="16" w:type="dxa"/>
            </w:tcMar>
            <w:vAlign w:val="center"/>
          </w:tcPr>
          <w:p w14:paraId="139CC861">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项目审批</w:t>
            </w:r>
            <w:r>
              <w:rPr>
                <w:rFonts w:hint="eastAsia" w:cs="Times New Roman"/>
                <w:color w:val="auto"/>
                <w:szCs w:val="21"/>
                <w:u w:val="none" w:color="auto"/>
                <w:lang w:eastAsia="zh-CN"/>
              </w:rPr>
              <w:t>（</w:t>
            </w:r>
            <w:r>
              <w:rPr>
                <w:rFonts w:hint="default" w:ascii="Times New Roman" w:hAnsi="Times New Roman" w:eastAsia="宋体" w:cs="Times New Roman"/>
                <w:color w:val="auto"/>
                <w:szCs w:val="21"/>
                <w:u w:val="none" w:color="auto"/>
              </w:rPr>
              <w:t>核准/</w:t>
            </w:r>
          </w:p>
          <w:p w14:paraId="68DD75A8">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备案）部门</w:t>
            </w:r>
            <w:r>
              <w:rPr>
                <w:rFonts w:hint="eastAsia" w:cs="Times New Roman"/>
                <w:color w:val="auto"/>
                <w:szCs w:val="21"/>
                <w:u w:val="none" w:color="auto"/>
                <w:lang w:eastAsia="zh-CN"/>
              </w:rPr>
              <w:t>（</w:t>
            </w:r>
            <w:r>
              <w:rPr>
                <w:rFonts w:hint="default" w:ascii="Times New Roman" w:hAnsi="Times New Roman" w:eastAsia="宋体" w:cs="Times New Roman"/>
                <w:color w:val="auto"/>
                <w:szCs w:val="21"/>
                <w:u w:val="none" w:color="auto"/>
              </w:rPr>
              <w:t>选填）</w:t>
            </w:r>
          </w:p>
        </w:tc>
        <w:tc>
          <w:tcPr>
            <w:tcW w:w="1015" w:type="pct"/>
            <w:noWrap w:val="0"/>
            <w:vAlign w:val="center"/>
          </w:tcPr>
          <w:p w14:paraId="2566C4F4">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lang w:val="en-US" w:eastAsia="zh-CN"/>
              </w:rPr>
            </w:pPr>
            <w:r>
              <w:rPr>
                <w:rFonts w:hint="eastAsia" w:cs="Times New Roman"/>
                <w:color w:val="auto"/>
                <w:szCs w:val="21"/>
                <w:highlight w:val="none"/>
                <w:u w:val="none" w:color="auto"/>
                <w:lang w:val="en-US" w:eastAsia="zh-CN"/>
              </w:rPr>
              <w:t>岳阳县发展和改革委</w:t>
            </w:r>
          </w:p>
        </w:tc>
        <w:tc>
          <w:tcPr>
            <w:tcW w:w="1057" w:type="pct"/>
            <w:noWrap w:val="0"/>
            <w:vAlign w:val="center"/>
          </w:tcPr>
          <w:p w14:paraId="139E4608">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项目审批</w:t>
            </w:r>
            <w:r>
              <w:rPr>
                <w:rFonts w:hint="eastAsia" w:cs="Times New Roman"/>
                <w:color w:val="auto"/>
                <w:szCs w:val="21"/>
                <w:u w:val="none" w:color="auto"/>
                <w:lang w:eastAsia="zh-CN"/>
              </w:rPr>
              <w:t>（</w:t>
            </w:r>
            <w:r>
              <w:rPr>
                <w:rFonts w:hint="default" w:ascii="Times New Roman" w:hAnsi="Times New Roman" w:eastAsia="宋体" w:cs="Times New Roman"/>
                <w:color w:val="auto"/>
                <w:szCs w:val="21"/>
                <w:u w:val="none" w:color="auto"/>
              </w:rPr>
              <w:t>核准/</w:t>
            </w:r>
          </w:p>
          <w:p w14:paraId="7160479E">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备案）文号</w:t>
            </w:r>
            <w:r>
              <w:rPr>
                <w:rFonts w:hint="eastAsia" w:cs="Times New Roman"/>
                <w:color w:val="auto"/>
                <w:szCs w:val="21"/>
                <w:u w:val="none" w:color="auto"/>
                <w:lang w:eastAsia="zh-CN"/>
              </w:rPr>
              <w:t>（</w:t>
            </w:r>
            <w:r>
              <w:rPr>
                <w:rFonts w:hint="default" w:ascii="Times New Roman" w:hAnsi="Times New Roman" w:eastAsia="宋体" w:cs="Times New Roman"/>
                <w:color w:val="auto"/>
                <w:szCs w:val="21"/>
                <w:u w:val="none" w:color="auto"/>
              </w:rPr>
              <w:t>选填）</w:t>
            </w:r>
          </w:p>
        </w:tc>
        <w:tc>
          <w:tcPr>
            <w:tcW w:w="1811" w:type="pct"/>
            <w:noWrap w:val="0"/>
            <w:vAlign w:val="center"/>
          </w:tcPr>
          <w:p w14:paraId="78ACF278">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lang w:val="en-US" w:eastAsia="zh-CN"/>
              </w:rPr>
            </w:pPr>
            <w:r>
              <w:rPr>
                <w:rFonts w:hint="eastAsia" w:cs="Times New Roman"/>
                <w:color w:val="auto"/>
                <w:szCs w:val="21"/>
                <w:u w:val="none" w:color="auto"/>
                <w:lang w:val="en-US" w:eastAsia="zh-CN"/>
              </w:rPr>
              <w:t>2511-430621-04-01-743924</w:t>
            </w:r>
          </w:p>
        </w:tc>
      </w:tr>
      <w:tr w14:paraId="04B4AE6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16" w:type="pct"/>
            <w:noWrap w:val="0"/>
            <w:tcMar>
              <w:top w:w="16" w:type="dxa"/>
              <w:left w:w="16" w:type="dxa"/>
              <w:right w:w="16" w:type="dxa"/>
            </w:tcMar>
            <w:vAlign w:val="center"/>
          </w:tcPr>
          <w:p w14:paraId="69802FB2">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总投资</w:t>
            </w:r>
            <w:r>
              <w:rPr>
                <w:rFonts w:hint="eastAsia" w:cs="Times New Roman"/>
                <w:color w:val="auto"/>
                <w:szCs w:val="21"/>
                <w:u w:val="none" w:color="auto"/>
                <w:lang w:eastAsia="zh-CN"/>
              </w:rPr>
              <w:t>（</w:t>
            </w:r>
            <w:r>
              <w:rPr>
                <w:rFonts w:hint="default" w:ascii="Times New Roman" w:hAnsi="Times New Roman" w:eastAsia="宋体" w:cs="Times New Roman"/>
                <w:color w:val="auto"/>
                <w:szCs w:val="21"/>
                <w:u w:val="none" w:color="auto"/>
              </w:rPr>
              <w:t>万元）</w:t>
            </w:r>
          </w:p>
        </w:tc>
        <w:tc>
          <w:tcPr>
            <w:tcW w:w="1015" w:type="pct"/>
            <w:noWrap w:val="0"/>
            <w:vAlign w:val="center"/>
          </w:tcPr>
          <w:p w14:paraId="24499E4B">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4874CB" w:themeColor="accent1"/>
                <w:szCs w:val="21"/>
                <w:u w:val="none" w:color="auto"/>
                <w:lang w:val="en-US" w:eastAsia="zh-CN"/>
                <w14:textFill>
                  <w14:solidFill>
                    <w14:schemeClr w14:val="accent1"/>
                  </w14:solidFill>
                </w14:textFill>
              </w:rPr>
            </w:pPr>
            <w:r>
              <w:rPr>
                <w:rFonts w:hint="eastAsia" w:cs="Times New Roman"/>
                <w:color w:val="auto"/>
                <w:szCs w:val="21"/>
                <w:u w:val="none" w:color="auto"/>
                <w:lang w:val="en-US" w:eastAsia="zh-CN"/>
              </w:rPr>
              <w:t>22000</w:t>
            </w:r>
          </w:p>
        </w:tc>
        <w:tc>
          <w:tcPr>
            <w:tcW w:w="1057" w:type="pct"/>
            <w:noWrap w:val="0"/>
            <w:tcMar>
              <w:top w:w="16" w:type="dxa"/>
              <w:left w:w="16" w:type="dxa"/>
              <w:right w:w="16" w:type="dxa"/>
            </w:tcMar>
            <w:vAlign w:val="center"/>
          </w:tcPr>
          <w:p w14:paraId="530CEEA3">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4874CB" w:themeColor="accent1"/>
                <w:szCs w:val="21"/>
                <w:highlight w:val="none"/>
                <w:u w:val="none" w:color="auto"/>
                <w14:textFill>
                  <w14:solidFill>
                    <w14:schemeClr w14:val="accent1"/>
                  </w14:solidFill>
                </w14:textFill>
              </w:rPr>
            </w:pPr>
            <w:r>
              <w:rPr>
                <w:rFonts w:hint="default" w:ascii="Times New Roman" w:hAnsi="Times New Roman" w:eastAsia="宋体" w:cs="Times New Roman"/>
                <w:color w:val="auto"/>
                <w:szCs w:val="21"/>
                <w:highlight w:val="none"/>
                <w:u w:val="none" w:color="auto"/>
              </w:rPr>
              <w:t>环保投资</w:t>
            </w:r>
            <w:r>
              <w:rPr>
                <w:rFonts w:hint="eastAsia" w:cs="Times New Roman"/>
                <w:color w:val="auto"/>
                <w:szCs w:val="21"/>
                <w:highlight w:val="none"/>
                <w:u w:val="none" w:color="auto"/>
                <w:lang w:eastAsia="zh-CN"/>
              </w:rPr>
              <w:t>（</w:t>
            </w:r>
            <w:r>
              <w:rPr>
                <w:rFonts w:hint="default" w:ascii="Times New Roman" w:hAnsi="Times New Roman" w:eastAsia="宋体" w:cs="Times New Roman"/>
                <w:color w:val="auto"/>
                <w:szCs w:val="21"/>
                <w:highlight w:val="none"/>
                <w:u w:val="none" w:color="auto"/>
              </w:rPr>
              <w:t>万元）</w:t>
            </w:r>
          </w:p>
        </w:tc>
        <w:tc>
          <w:tcPr>
            <w:tcW w:w="1811" w:type="pct"/>
            <w:noWrap w:val="0"/>
            <w:vAlign w:val="center"/>
          </w:tcPr>
          <w:p w14:paraId="7DAB1F81">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4874CB" w:themeColor="accent1"/>
                <w:szCs w:val="21"/>
                <w:highlight w:val="none"/>
                <w:u w:val="none" w:color="auto"/>
                <w:lang w:val="en-US" w:eastAsia="zh-CN"/>
                <w14:textFill>
                  <w14:solidFill>
                    <w14:schemeClr w14:val="accent1"/>
                  </w14:solidFill>
                </w14:textFill>
              </w:rPr>
            </w:pPr>
            <w:r>
              <w:rPr>
                <w:rFonts w:hint="eastAsia" w:cs="Times New Roman"/>
                <w:color w:val="auto"/>
                <w:szCs w:val="21"/>
                <w:highlight w:val="none"/>
                <w:u w:val="none" w:color="auto"/>
                <w:lang w:val="en-US" w:eastAsia="zh-CN"/>
              </w:rPr>
              <w:t>58</w:t>
            </w:r>
          </w:p>
        </w:tc>
      </w:tr>
      <w:tr w14:paraId="4E5905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16" w:type="pct"/>
            <w:noWrap w:val="0"/>
            <w:tcMar>
              <w:top w:w="16" w:type="dxa"/>
              <w:left w:w="16" w:type="dxa"/>
              <w:right w:w="16" w:type="dxa"/>
            </w:tcMar>
            <w:vAlign w:val="center"/>
          </w:tcPr>
          <w:p w14:paraId="57A9A297">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环保投资占比</w:t>
            </w:r>
          </w:p>
        </w:tc>
        <w:tc>
          <w:tcPr>
            <w:tcW w:w="1015" w:type="pct"/>
            <w:noWrap w:val="0"/>
            <w:vAlign w:val="center"/>
          </w:tcPr>
          <w:p w14:paraId="0B0B5F34">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4874CB" w:themeColor="accent1"/>
                <w:szCs w:val="21"/>
                <w:u w:val="none" w:color="auto"/>
                <w:lang w:val="en-US" w:eastAsia="zh-CN"/>
                <w14:textFill>
                  <w14:solidFill>
                    <w14:schemeClr w14:val="accent1"/>
                  </w14:solidFill>
                </w14:textFill>
              </w:rPr>
            </w:pPr>
            <w:r>
              <w:rPr>
                <w:rFonts w:hint="eastAsia" w:cs="Times New Roman"/>
                <w:color w:val="auto"/>
                <w:szCs w:val="21"/>
                <w:u w:val="none" w:color="auto"/>
                <w:lang w:val="en-US" w:eastAsia="zh-CN"/>
              </w:rPr>
              <w:t>0.3%</w:t>
            </w:r>
          </w:p>
        </w:tc>
        <w:tc>
          <w:tcPr>
            <w:tcW w:w="1057" w:type="pct"/>
            <w:noWrap w:val="0"/>
            <w:tcMar>
              <w:top w:w="16" w:type="dxa"/>
              <w:left w:w="16" w:type="dxa"/>
              <w:right w:w="16" w:type="dxa"/>
            </w:tcMar>
            <w:vAlign w:val="center"/>
          </w:tcPr>
          <w:p w14:paraId="63E58990">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施工工期</w:t>
            </w:r>
          </w:p>
        </w:tc>
        <w:tc>
          <w:tcPr>
            <w:tcW w:w="1811" w:type="pct"/>
            <w:noWrap w:val="0"/>
            <w:vAlign w:val="center"/>
          </w:tcPr>
          <w:p w14:paraId="08E91139">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lang w:val="en-US" w:eastAsia="zh-CN"/>
              </w:rPr>
            </w:pPr>
            <w:r>
              <w:rPr>
                <w:rFonts w:hint="eastAsia" w:cs="Times New Roman"/>
                <w:color w:val="auto"/>
                <w:szCs w:val="21"/>
                <w:highlight w:val="none"/>
                <w:u w:val="none" w:color="auto"/>
                <w:lang w:val="en-US" w:eastAsia="zh-CN"/>
              </w:rPr>
              <w:t>10</w:t>
            </w:r>
            <w:r>
              <w:rPr>
                <w:rFonts w:hint="default" w:ascii="Times New Roman" w:hAnsi="Times New Roman" w:eastAsia="宋体" w:cs="Times New Roman"/>
                <w:color w:val="auto"/>
                <w:szCs w:val="21"/>
                <w:highlight w:val="none"/>
                <w:u w:val="none" w:color="auto"/>
                <w:lang w:val="en-US" w:eastAsia="zh-CN"/>
              </w:rPr>
              <w:t>个月</w:t>
            </w:r>
          </w:p>
        </w:tc>
      </w:tr>
      <w:tr w14:paraId="2F3CB4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1116" w:type="pct"/>
            <w:noWrap w:val="0"/>
            <w:tcMar>
              <w:top w:w="16" w:type="dxa"/>
              <w:left w:w="16" w:type="dxa"/>
              <w:right w:w="16" w:type="dxa"/>
            </w:tcMar>
            <w:vAlign w:val="center"/>
          </w:tcPr>
          <w:p w14:paraId="6EDAF434">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是否开工建设</w:t>
            </w:r>
          </w:p>
        </w:tc>
        <w:tc>
          <w:tcPr>
            <w:tcW w:w="1015" w:type="pct"/>
            <w:noWrap w:val="0"/>
            <w:vAlign w:val="center"/>
          </w:tcPr>
          <w:p w14:paraId="2A736E9F">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auto"/>
                <w:szCs w:val="21"/>
                <w:u w:val="none" w:color="auto"/>
              </w:rPr>
            </w:pPr>
            <w:r>
              <w:rPr>
                <w:rFonts w:hint="eastAsia" w:cs="Times New Roman"/>
                <w:color w:val="auto"/>
                <w:szCs w:val="21"/>
                <w:u w:val="none" w:color="auto"/>
                <w:lang w:eastAsia="zh-CN"/>
              </w:rPr>
              <w:t>☑</w:t>
            </w:r>
            <w:r>
              <w:rPr>
                <w:rFonts w:hint="default" w:ascii="Times New Roman" w:hAnsi="Times New Roman" w:eastAsia="宋体" w:cs="Times New Roman"/>
                <w:color w:val="auto"/>
                <w:szCs w:val="21"/>
                <w:u w:val="none" w:color="auto"/>
              </w:rPr>
              <w:t>否</w:t>
            </w:r>
          </w:p>
          <w:p w14:paraId="37707887">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left"/>
              <w:textAlignment w:val="auto"/>
              <w:rPr>
                <w:rFonts w:hint="eastAsia" w:ascii="Times New Roman" w:hAnsi="Times New Roman" w:eastAsia="宋体" w:cs="Times New Roman"/>
                <w:color w:val="4874CB" w:themeColor="accent1"/>
                <w:szCs w:val="21"/>
                <w:u w:val="none" w:color="auto"/>
                <w:lang w:val="en-US" w:eastAsia="zh-CN"/>
                <w14:textFill>
                  <w14:solidFill>
                    <w14:schemeClr w14:val="accent1"/>
                  </w14:solidFill>
                </w14:textFill>
              </w:rPr>
            </w:pPr>
            <w:r>
              <w:rPr>
                <w:rFonts w:hint="eastAsia" w:cs="Times New Roman"/>
                <w:color w:val="auto"/>
                <w:szCs w:val="21"/>
                <w:u w:val="none" w:color="auto"/>
                <w:lang w:eastAsia="zh-CN"/>
              </w:rPr>
              <w:t>□</w:t>
            </w:r>
            <w:r>
              <w:rPr>
                <w:rFonts w:hint="default" w:ascii="Times New Roman" w:hAnsi="Times New Roman" w:eastAsia="宋体" w:cs="Times New Roman"/>
                <w:color w:val="auto"/>
                <w:szCs w:val="21"/>
                <w:u w:val="none" w:color="auto"/>
              </w:rPr>
              <w:t>是</w:t>
            </w:r>
          </w:p>
        </w:tc>
        <w:tc>
          <w:tcPr>
            <w:tcW w:w="1057" w:type="pct"/>
            <w:noWrap w:val="0"/>
            <w:tcMar>
              <w:top w:w="16" w:type="dxa"/>
              <w:left w:w="16" w:type="dxa"/>
              <w:right w:w="16" w:type="dxa"/>
            </w:tcMar>
            <w:vAlign w:val="center"/>
          </w:tcPr>
          <w:p w14:paraId="0910EDF3">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lang w:eastAsia="zh-CN"/>
              </w:rPr>
            </w:pPr>
            <w:r>
              <w:rPr>
                <w:rFonts w:hint="default" w:ascii="Times New Roman" w:hAnsi="Times New Roman" w:eastAsia="宋体" w:cs="Times New Roman"/>
                <w:color w:val="auto"/>
                <w:spacing w:val="-6"/>
                <w:szCs w:val="21"/>
                <w:u w:val="none" w:color="auto"/>
              </w:rPr>
              <w:t>用地面积</w:t>
            </w:r>
            <w:r>
              <w:rPr>
                <w:rFonts w:hint="eastAsia" w:cs="Times New Roman"/>
                <w:color w:val="auto"/>
                <w:spacing w:val="-6"/>
                <w:szCs w:val="21"/>
                <w:u w:val="none" w:color="auto"/>
                <w:lang w:eastAsia="zh-CN"/>
              </w:rPr>
              <w:t>（m</w:t>
            </w:r>
            <w:r>
              <w:rPr>
                <w:rFonts w:hint="eastAsia" w:cs="Times New Roman"/>
                <w:color w:val="auto"/>
                <w:spacing w:val="-6"/>
                <w:szCs w:val="21"/>
                <w:u w:val="none" w:color="auto"/>
                <w:vertAlign w:val="superscript"/>
                <w:lang w:eastAsia="zh-CN"/>
              </w:rPr>
              <w:t>2</w:t>
            </w:r>
            <w:r>
              <w:rPr>
                <w:rFonts w:hint="default" w:ascii="Times New Roman" w:hAnsi="Times New Roman" w:eastAsia="宋体" w:cs="Times New Roman"/>
                <w:color w:val="auto"/>
                <w:spacing w:val="-6"/>
                <w:szCs w:val="21"/>
                <w:u w:val="none" w:color="auto"/>
              </w:rPr>
              <w:t>）</w:t>
            </w:r>
          </w:p>
        </w:tc>
        <w:tc>
          <w:tcPr>
            <w:tcW w:w="1811" w:type="pct"/>
            <w:noWrap w:val="0"/>
            <w:tcMar>
              <w:top w:w="16" w:type="dxa"/>
              <w:left w:w="16" w:type="dxa"/>
              <w:right w:w="16" w:type="dxa"/>
            </w:tcMar>
            <w:vAlign w:val="center"/>
          </w:tcPr>
          <w:p w14:paraId="6D7B4D63">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lang w:val="en-US" w:eastAsia="zh-CN"/>
              </w:rPr>
            </w:pPr>
            <w:r>
              <w:rPr>
                <w:rFonts w:hint="eastAsia" w:cs="Times New Roman"/>
                <w:color w:val="auto"/>
                <w:szCs w:val="21"/>
                <w:highlight w:val="none"/>
                <w:u w:val="none" w:color="auto"/>
                <w:lang w:val="en-US" w:eastAsia="zh-CN"/>
              </w:rPr>
              <w:t>13554.15</w:t>
            </w:r>
          </w:p>
        </w:tc>
      </w:tr>
      <w:tr w14:paraId="25A5538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6" w:type="pct"/>
            <w:noWrap w:val="0"/>
            <w:vAlign w:val="center"/>
          </w:tcPr>
          <w:p w14:paraId="745A2D90">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u w:val="none" w:color="auto"/>
              </w:rPr>
            </w:pPr>
            <w:r>
              <w:rPr>
                <w:rFonts w:hint="default" w:ascii="Times New Roman" w:hAnsi="Times New Roman" w:eastAsia="宋体" w:cs="Times New Roman"/>
                <w:color w:val="auto"/>
                <w:kern w:val="0"/>
                <w:szCs w:val="21"/>
                <w:u w:val="none" w:color="auto"/>
              </w:rPr>
              <w:t>专项评价</w:t>
            </w:r>
          </w:p>
          <w:p w14:paraId="79444B1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u w:val="none" w:color="auto"/>
              </w:rPr>
            </w:pPr>
            <w:r>
              <w:rPr>
                <w:rFonts w:hint="default" w:ascii="Times New Roman" w:hAnsi="Times New Roman" w:eastAsia="宋体" w:cs="Times New Roman"/>
                <w:color w:val="auto"/>
                <w:kern w:val="0"/>
                <w:szCs w:val="21"/>
                <w:u w:val="none" w:color="auto"/>
              </w:rPr>
              <w:t>设置情况</w:t>
            </w:r>
          </w:p>
        </w:tc>
        <w:tc>
          <w:tcPr>
            <w:tcW w:w="3883" w:type="pct"/>
            <w:gridSpan w:val="3"/>
            <w:noWrap w:val="0"/>
            <w:vAlign w:val="center"/>
          </w:tcPr>
          <w:p w14:paraId="6E8B7F9B">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4874CB" w:themeColor="accent1"/>
                <w:kern w:val="0"/>
                <w:szCs w:val="21"/>
                <w:u w:val="none" w:color="auto"/>
                <w:lang w:val="en-US" w:eastAsia="zh-CN"/>
                <w14:textFill>
                  <w14:solidFill>
                    <w14:schemeClr w14:val="accent1"/>
                  </w14:solidFill>
                </w14:textFill>
              </w:rPr>
            </w:pPr>
            <w:r>
              <w:rPr>
                <w:rFonts w:hint="default" w:ascii="Times New Roman" w:hAnsi="Times New Roman" w:eastAsia="宋体" w:cs="Times New Roman"/>
                <w:color w:val="auto"/>
                <w:kern w:val="0"/>
                <w:szCs w:val="21"/>
                <w:u w:val="none" w:color="auto"/>
                <w:lang w:val="en-US" w:eastAsia="zh-CN"/>
              </w:rPr>
              <w:t>无</w:t>
            </w:r>
          </w:p>
        </w:tc>
      </w:tr>
      <w:tr w14:paraId="39F71F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116" w:type="pct"/>
            <w:noWrap w:val="0"/>
            <w:vAlign w:val="center"/>
          </w:tcPr>
          <w:p w14:paraId="0DF01F52">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u w:val="none" w:color="auto"/>
              </w:rPr>
            </w:pPr>
            <w:r>
              <w:rPr>
                <w:rFonts w:hint="default" w:ascii="Times New Roman" w:hAnsi="Times New Roman" w:eastAsia="宋体" w:cs="Times New Roman"/>
                <w:color w:val="auto"/>
                <w:szCs w:val="21"/>
                <w:u w:val="none" w:color="auto"/>
              </w:rPr>
              <w:t>规划情况</w:t>
            </w:r>
          </w:p>
        </w:tc>
        <w:tc>
          <w:tcPr>
            <w:tcW w:w="3883" w:type="pct"/>
            <w:gridSpan w:val="3"/>
            <w:noWrap w:val="0"/>
            <w:vAlign w:val="center"/>
          </w:tcPr>
          <w:p w14:paraId="0A4C0FD4">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eastAsia"/>
                <w:sz w:val="24"/>
              </w:rPr>
            </w:pPr>
            <w:r>
              <w:rPr>
                <w:rFonts w:hint="eastAsia"/>
                <w:sz w:val="24"/>
              </w:rPr>
              <w:t>规划名称：《岳阳高新技术产业园区产业发展规</w:t>
            </w:r>
            <w:r>
              <w:rPr>
                <w:rFonts w:hint="eastAsia"/>
                <w:sz w:val="24"/>
                <w:lang w:val="en-US" w:eastAsia="zh-CN"/>
              </w:rPr>
              <w:t>化</w:t>
            </w:r>
            <w:r>
              <w:rPr>
                <w:rFonts w:hint="eastAsia"/>
                <w:sz w:val="24"/>
              </w:rPr>
              <w:t>（2020-2030）》</w:t>
            </w:r>
          </w:p>
          <w:p w14:paraId="51B3D4B1">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eastAsia"/>
                <w:sz w:val="24"/>
              </w:rPr>
            </w:pPr>
            <w:r>
              <w:rPr>
                <w:rFonts w:hint="eastAsia"/>
                <w:sz w:val="24"/>
              </w:rPr>
              <w:t xml:space="preserve">审批机关：岳阳县人民政府 </w:t>
            </w:r>
          </w:p>
          <w:p w14:paraId="08426B8F">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4874CB" w:themeColor="accent1"/>
                <w:kern w:val="0"/>
                <w:szCs w:val="21"/>
                <w:u w:val="none" w:color="auto"/>
                <w:lang w:val="en-US" w:eastAsia="zh-CN"/>
                <w14:textFill>
                  <w14:solidFill>
                    <w14:schemeClr w14:val="accent1"/>
                  </w14:solidFill>
                </w14:textFill>
              </w:rPr>
            </w:pPr>
            <w:r>
              <w:rPr>
                <w:rFonts w:hint="eastAsia"/>
                <w:sz w:val="24"/>
              </w:rPr>
              <w:t>审批文件名称及文号：《岳阳县人民政府关于同意实施〈岳阳高新技术产业园区产业发展规划（2020—2030年）〉的批复》（岳县政函〔202</w:t>
            </w:r>
            <w:r>
              <w:rPr>
                <w:sz w:val="24"/>
              </w:rPr>
              <w:t>0</w:t>
            </w:r>
            <w:r>
              <w:rPr>
                <w:rFonts w:hint="eastAsia"/>
                <w:sz w:val="24"/>
              </w:rPr>
              <w:t>〕141号）</w:t>
            </w:r>
          </w:p>
        </w:tc>
      </w:tr>
      <w:tr w14:paraId="110F1F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6" w:type="pct"/>
            <w:noWrap w:val="0"/>
            <w:vAlign w:val="center"/>
          </w:tcPr>
          <w:p w14:paraId="478B4BA7">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szCs w:val="21"/>
                <w:u w:val="none" w:color="auto"/>
              </w:rPr>
            </w:pPr>
            <w:r>
              <w:rPr>
                <w:rFonts w:hint="default" w:ascii="Times New Roman" w:hAnsi="Times New Roman" w:eastAsia="宋体" w:cs="Times New Roman"/>
                <w:color w:val="auto"/>
                <w:szCs w:val="21"/>
                <w:u w:val="none" w:color="auto"/>
              </w:rPr>
              <w:t>规划环境影响</w:t>
            </w:r>
          </w:p>
          <w:p w14:paraId="188BD687">
            <w:pPr>
              <w:keepNext w:val="0"/>
              <w:keepLines w:val="0"/>
              <w:pageBreakBefore w:val="0"/>
              <w:widowControl w:val="0"/>
              <w:kinsoku/>
              <w:wordWrap/>
              <w:overflowPunct/>
              <w:topLinePunct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u w:val="none" w:color="auto"/>
              </w:rPr>
            </w:pPr>
            <w:r>
              <w:rPr>
                <w:rFonts w:hint="default" w:ascii="Times New Roman" w:hAnsi="Times New Roman" w:eastAsia="宋体" w:cs="Times New Roman"/>
                <w:color w:val="auto"/>
                <w:szCs w:val="21"/>
                <w:u w:val="none" w:color="auto"/>
              </w:rPr>
              <w:t>评价情况</w:t>
            </w:r>
          </w:p>
        </w:tc>
        <w:tc>
          <w:tcPr>
            <w:tcW w:w="3883" w:type="pct"/>
            <w:gridSpan w:val="3"/>
            <w:noWrap w:val="0"/>
            <w:vAlign w:val="center"/>
          </w:tcPr>
          <w:p w14:paraId="6FA06F4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left"/>
              <w:textAlignment w:val="auto"/>
              <w:rPr>
                <w:rFonts w:hint="default" w:ascii="Times New Roman" w:hAnsi="Times New Roman" w:eastAsia="宋体" w:cs="Times New Roman"/>
                <w:color w:val="4874CB" w:themeColor="accent1"/>
                <w:kern w:val="0"/>
                <w:szCs w:val="21"/>
                <w:u w:val="none" w:color="auto"/>
                <w:lang w:val="en-US" w:eastAsia="zh-CN"/>
                <w14:textFill>
                  <w14:solidFill>
                    <w14:schemeClr w14:val="accent1"/>
                  </w14:solidFill>
                </w14:textFill>
              </w:rPr>
            </w:pPr>
            <w:r>
              <w:rPr>
                <w:rFonts w:hint="eastAsia"/>
                <w:sz w:val="24"/>
              </w:rPr>
              <w:t>2</w:t>
            </w:r>
            <w:r>
              <w:rPr>
                <w:sz w:val="24"/>
              </w:rPr>
              <w:t>021</w:t>
            </w:r>
            <w:r>
              <w:rPr>
                <w:rFonts w:hint="eastAsia"/>
                <w:sz w:val="24"/>
              </w:rPr>
              <w:t>年1</w:t>
            </w:r>
            <w:r>
              <w:rPr>
                <w:sz w:val="24"/>
              </w:rPr>
              <w:t>2</w:t>
            </w:r>
            <w:r>
              <w:rPr>
                <w:rFonts w:hint="eastAsia"/>
                <w:sz w:val="24"/>
              </w:rPr>
              <w:t>月湖南省国际工程咨询中心有限公司编制完成《</w:t>
            </w:r>
            <w:bookmarkStart w:id="7" w:name="OLE_LINK8"/>
            <w:r>
              <w:rPr>
                <w:rFonts w:hint="eastAsia"/>
                <w:sz w:val="24"/>
              </w:rPr>
              <w:t>岳阳高新技术产业园区调区扩区规划（2020-2025）</w:t>
            </w:r>
            <w:bookmarkEnd w:id="7"/>
            <w:r>
              <w:rPr>
                <w:rFonts w:hint="eastAsia"/>
                <w:sz w:val="24"/>
              </w:rPr>
              <w:t>环境影响报告书》，湖南省生态环境保护厅</w:t>
            </w:r>
            <w:r>
              <w:rPr>
                <w:rFonts w:hint="eastAsia"/>
                <w:sz w:val="24"/>
                <w:lang w:eastAsia="zh-CN"/>
              </w:rPr>
              <w:t>于</w:t>
            </w:r>
            <w:r>
              <w:rPr>
                <w:rFonts w:hint="eastAsia"/>
                <w:sz w:val="24"/>
              </w:rPr>
              <w:t>2</w:t>
            </w:r>
            <w:r>
              <w:rPr>
                <w:sz w:val="24"/>
              </w:rPr>
              <w:t>021</w:t>
            </w:r>
            <w:r>
              <w:rPr>
                <w:rFonts w:hint="eastAsia"/>
                <w:sz w:val="24"/>
              </w:rPr>
              <w:t>年1</w:t>
            </w:r>
            <w:r>
              <w:rPr>
                <w:sz w:val="24"/>
              </w:rPr>
              <w:t>2</w:t>
            </w:r>
            <w:r>
              <w:rPr>
                <w:rFonts w:hint="eastAsia"/>
                <w:sz w:val="24"/>
              </w:rPr>
              <w:t>月2</w:t>
            </w:r>
            <w:r>
              <w:rPr>
                <w:sz w:val="24"/>
              </w:rPr>
              <w:t>9</w:t>
            </w:r>
            <w:r>
              <w:rPr>
                <w:rFonts w:hint="eastAsia"/>
                <w:sz w:val="24"/>
              </w:rPr>
              <w:t>日出具《关于岳阳高新技术产业园区调区扩区规划（2020-2025）环境影响报告书审查意见的函》（湘环评函〔2021〕40号）</w:t>
            </w:r>
          </w:p>
        </w:tc>
      </w:tr>
      <w:tr w14:paraId="698AB5D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6" w:type="pct"/>
            <w:noWrap w:val="0"/>
            <w:vAlign w:val="center"/>
          </w:tcPr>
          <w:p w14:paraId="091F1E9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auto"/>
                <w:kern w:val="0"/>
                <w:szCs w:val="21"/>
                <w:u w:val="none" w:color="auto"/>
              </w:rPr>
            </w:pPr>
            <w:r>
              <w:rPr>
                <w:rFonts w:hint="default" w:ascii="Times New Roman" w:hAnsi="Times New Roman" w:eastAsia="宋体" w:cs="Times New Roman"/>
                <w:color w:val="auto"/>
                <w:kern w:val="0"/>
                <w:szCs w:val="21"/>
                <w:u w:val="none" w:color="auto"/>
              </w:rPr>
              <w:br w:type="page"/>
            </w:r>
            <w:r>
              <w:rPr>
                <w:rFonts w:hint="default" w:ascii="Times New Roman" w:hAnsi="Times New Roman" w:eastAsia="宋体" w:cs="Times New Roman"/>
                <w:color w:val="auto"/>
                <w:kern w:val="0"/>
                <w:szCs w:val="21"/>
                <w:u w:val="none" w:color="auto"/>
              </w:rPr>
              <w:br w:type="page"/>
            </w:r>
            <w:r>
              <w:rPr>
                <w:rFonts w:hint="default" w:ascii="Times New Roman" w:hAnsi="Times New Roman" w:eastAsia="宋体" w:cs="Times New Roman"/>
                <w:color w:val="auto"/>
                <w:kern w:val="0"/>
                <w:szCs w:val="21"/>
                <w:u w:val="none" w:color="auto"/>
              </w:rPr>
              <w:t>规划及规划环境影响评价符合性分析</w:t>
            </w:r>
          </w:p>
        </w:tc>
        <w:tc>
          <w:tcPr>
            <w:tcW w:w="3883" w:type="pct"/>
            <w:gridSpan w:val="3"/>
            <w:noWrap w:val="0"/>
            <w:vAlign w:val="center"/>
          </w:tcPr>
          <w:p w14:paraId="6AB2617A">
            <w:pPr>
              <w:autoSpaceDE w:val="0"/>
              <w:autoSpaceDN w:val="0"/>
              <w:spacing w:line="360" w:lineRule="auto"/>
              <w:contextualSpacing/>
              <w:rPr>
                <w:b/>
                <w:sz w:val="24"/>
              </w:rPr>
            </w:pPr>
            <w:r>
              <w:rPr>
                <w:rFonts w:hint="eastAsia"/>
                <w:u w:val="none" w:color="auto"/>
                <w:lang w:val="en-US" w:eastAsia="zh-CN"/>
              </w:rPr>
              <w:t xml:space="preserve"> </w:t>
            </w:r>
            <w:r>
              <w:rPr>
                <w:rFonts w:hint="eastAsia"/>
                <w:b/>
                <w:sz w:val="24"/>
              </w:rPr>
              <w:t>1、项目与《岳阳高新技术产业园区产业发展规划（2020-2030）》符合性分析</w:t>
            </w:r>
          </w:p>
          <w:p w14:paraId="6DC3D03B">
            <w:pPr>
              <w:autoSpaceDE w:val="0"/>
              <w:autoSpaceDN w:val="0"/>
              <w:spacing w:line="360" w:lineRule="auto"/>
              <w:ind w:firstLine="480" w:firstLineChars="200"/>
              <w:contextualSpacing/>
              <w:rPr>
                <w:sz w:val="24"/>
              </w:rPr>
            </w:pPr>
            <w:r>
              <w:rPr>
                <w:sz w:val="24"/>
              </w:rPr>
              <w:t>根据《岳阳高新技术产业园区产业发展规划（2020-2030）》的规划产业定位：岳阳高新技术产业园区规划范围为916公顷，由主产业片区和洪山洞产业片区组成：主产业片区规划面积727.75公顷，东至林科所—燎原村植山和方杨片一线，南至兴园村刘介章—燎原村植山和方杨片一线，西至林冲路—武广高铁线，北至东方村易家组—城南大道线，主要发展生物医药、机械制造、新材料（主要包括生物基材料制造、结构性金属制品制造、数码耗材和耐火耐磨材料等)。洪山洞产业片区规划面积188.25公顷，东至107国道西侧，南至长湖村李子角，西至长湖村千公塘，北至亚泰陶瓷公司北侧，主要发展建筑材料（主要包括陶瓷制品、水泥制品等)。</w:t>
            </w:r>
            <w:r>
              <w:rPr>
                <w:rFonts w:hint="eastAsia"/>
                <w:sz w:val="24"/>
              </w:rPr>
              <w:t>本项目位于</w:t>
            </w:r>
            <w:r>
              <w:rPr>
                <w:sz w:val="24"/>
              </w:rPr>
              <w:t>岳阳高新技术产业园区</w:t>
            </w:r>
            <w:r>
              <w:rPr>
                <w:rFonts w:hint="eastAsia"/>
                <w:sz w:val="24"/>
              </w:rPr>
              <w:t>的洪山洞片区范围内，项目主体产业属于</w:t>
            </w:r>
            <w:r>
              <w:rPr>
                <w:rFonts w:hint="eastAsia"/>
                <w:sz w:val="24"/>
                <w:lang w:val="en-US" w:eastAsia="zh-CN"/>
              </w:rPr>
              <w:t>复合肥料</w:t>
            </w:r>
            <w:r>
              <w:rPr>
                <w:rFonts w:hint="eastAsia"/>
                <w:sz w:val="24"/>
              </w:rPr>
              <w:t>制造，不属于产业园规定的禁止类、限制类项目，符合现行的产业园区产业发展规划要求。</w:t>
            </w:r>
          </w:p>
          <w:p w14:paraId="28BF1D00">
            <w:pPr>
              <w:autoSpaceDE w:val="0"/>
              <w:autoSpaceDN w:val="0"/>
              <w:spacing w:line="360" w:lineRule="auto"/>
              <w:contextualSpacing/>
              <w:rPr>
                <w:b/>
                <w:sz w:val="24"/>
              </w:rPr>
            </w:pPr>
            <w:r>
              <w:rPr>
                <w:b/>
                <w:sz w:val="24"/>
              </w:rPr>
              <w:t>2、</w:t>
            </w:r>
            <w:r>
              <w:rPr>
                <w:rFonts w:hint="eastAsia"/>
                <w:b/>
                <w:sz w:val="24"/>
              </w:rPr>
              <w:t>项目与</w:t>
            </w:r>
            <w:r>
              <w:rPr>
                <w:b/>
                <w:sz w:val="24"/>
              </w:rPr>
              <w:t>《</w:t>
            </w:r>
            <w:r>
              <w:rPr>
                <w:rFonts w:hint="eastAsia"/>
                <w:b/>
                <w:sz w:val="24"/>
              </w:rPr>
              <w:t>岳阳高新技术产业园区调区扩区规划（2020-2025）环境影响报告书</w:t>
            </w:r>
            <w:r>
              <w:rPr>
                <w:b/>
                <w:sz w:val="24"/>
              </w:rPr>
              <w:t>》</w:t>
            </w:r>
            <w:r>
              <w:rPr>
                <w:rFonts w:hint="eastAsia"/>
                <w:b/>
                <w:sz w:val="24"/>
              </w:rPr>
              <w:t>及其审查意见</w:t>
            </w:r>
            <w:r>
              <w:rPr>
                <w:b/>
                <w:sz w:val="24"/>
              </w:rPr>
              <w:t>符合性分析</w:t>
            </w:r>
          </w:p>
          <w:p w14:paraId="2170E2CA">
            <w:pPr>
              <w:spacing w:line="360" w:lineRule="auto"/>
              <w:ind w:firstLine="480" w:firstLineChars="200"/>
              <w:rPr>
                <w:sz w:val="24"/>
              </w:rPr>
            </w:pPr>
            <w:r>
              <w:rPr>
                <w:rFonts w:hint="eastAsia"/>
                <w:sz w:val="24"/>
              </w:rPr>
              <w:t>项目所在地位于</w:t>
            </w:r>
            <w:r>
              <w:rPr>
                <w:sz w:val="24"/>
              </w:rPr>
              <w:t>岳阳高新技术产业园洪山洞产业片区</w:t>
            </w:r>
            <w:r>
              <w:rPr>
                <w:rFonts w:hint="eastAsia"/>
                <w:sz w:val="24"/>
              </w:rPr>
              <w:t>，</w:t>
            </w:r>
            <w:r>
              <w:rPr>
                <w:sz w:val="24"/>
              </w:rPr>
              <w:t>根据</w:t>
            </w:r>
            <w:r>
              <w:rPr>
                <w:rFonts w:hint="eastAsia"/>
                <w:sz w:val="24"/>
              </w:rPr>
              <w:t>规划环评报告书中园区准入清单要求</w:t>
            </w:r>
            <w:r>
              <w:rPr>
                <w:sz w:val="24"/>
              </w:rPr>
              <w:t>，</w:t>
            </w:r>
            <w:r>
              <w:rPr>
                <w:rFonts w:hint="eastAsia"/>
                <w:sz w:val="24"/>
              </w:rPr>
              <w:t>项目符合性分析</w:t>
            </w:r>
            <w:r>
              <w:rPr>
                <w:sz w:val="24"/>
              </w:rPr>
              <w:t>详见表1-1。</w:t>
            </w:r>
          </w:p>
          <w:p w14:paraId="16337CBF">
            <w:pPr>
              <w:autoSpaceDE w:val="0"/>
              <w:autoSpaceDN w:val="0"/>
              <w:jc w:val="center"/>
              <w:rPr>
                <w:b/>
                <w:sz w:val="21"/>
                <w:szCs w:val="21"/>
              </w:rPr>
            </w:pPr>
            <w:r>
              <w:rPr>
                <w:b/>
                <w:sz w:val="21"/>
                <w:szCs w:val="21"/>
              </w:rPr>
              <w:t xml:space="preserve">表1-1  </w:t>
            </w:r>
            <w:r>
              <w:rPr>
                <w:rFonts w:hint="eastAsia"/>
                <w:b/>
                <w:sz w:val="21"/>
                <w:szCs w:val="21"/>
              </w:rPr>
              <w:t>洪山洞产业片区</w:t>
            </w:r>
            <w:r>
              <w:rPr>
                <w:b/>
                <w:sz w:val="21"/>
                <w:szCs w:val="21"/>
              </w:rPr>
              <w:t>环境准入清单一览表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3777"/>
              <w:gridCol w:w="1133"/>
              <w:gridCol w:w="739"/>
            </w:tblGrid>
            <w:tr w14:paraId="1B6D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7CC3DC07">
                  <w:pPr>
                    <w:pStyle w:val="12"/>
                    <w:spacing w:line="240" w:lineRule="auto"/>
                    <w:ind w:firstLine="0" w:firstLineChars="0"/>
                    <w:rPr>
                      <w:sz w:val="21"/>
                      <w:szCs w:val="21"/>
                    </w:rPr>
                  </w:pPr>
                  <w:r>
                    <w:rPr>
                      <w:sz w:val="21"/>
                      <w:szCs w:val="21"/>
                    </w:rPr>
                    <w:t>类别</w:t>
                  </w:r>
                </w:p>
              </w:tc>
              <w:tc>
                <w:tcPr>
                  <w:tcW w:w="3027" w:type="pct"/>
                  <w:vAlign w:val="center"/>
                </w:tcPr>
                <w:p w14:paraId="4C869874">
                  <w:pPr>
                    <w:pStyle w:val="12"/>
                    <w:spacing w:line="240" w:lineRule="auto"/>
                    <w:ind w:firstLine="0" w:firstLineChars="0"/>
                    <w:rPr>
                      <w:sz w:val="21"/>
                      <w:szCs w:val="21"/>
                    </w:rPr>
                  </w:pPr>
                  <w:r>
                    <w:rPr>
                      <w:sz w:val="21"/>
                      <w:szCs w:val="21"/>
                    </w:rPr>
                    <w:t>行业</w:t>
                  </w:r>
                </w:p>
              </w:tc>
              <w:tc>
                <w:tcPr>
                  <w:tcW w:w="908" w:type="pct"/>
                  <w:vAlign w:val="center"/>
                </w:tcPr>
                <w:p w14:paraId="0A1447EB">
                  <w:pPr>
                    <w:pStyle w:val="12"/>
                    <w:spacing w:line="240" w:lineRule="auto"/>
                    <w:ind w:firstLine="0" w:firstLineChars="0"/>
                    <w:rPr>
                      <w:sz w:val="21"/>
                      <w:szCs w:val="21"/>
                    </w:rPr>
                  </w:pPr>
                  <w:r>
                    <w:rPr>
                      <w:sz w:val="21"/>
                      <w:szCs w:val="21"/>
                    </w:rPr>
                    <w:t>本项目情况</w:t>
                  </w:r>
                </w:p>
              </w:tc>
              <w:tc>
                <w:tcPr>
                  <w:tcW w:w="592" w:type="pct"/>
                </w:tcPr>
                <w:p w14:paraId="62B749E7">
                  <w:pPr>
                    <w:pStyle w:val="12"/>
                    <w:spacing w:line="240" w:lineRule="auto"/>
                    <w:ind w:firstLine="0" w:firstLineChars="0"/>
                    <w:rPr>
                      <w:sz w:val="21"/>
                      <w:szCs w:val="21"/>
                    </w:rPr>
                  </w:pPr>
                  <w:r>
                    <w:rPr>
                      <w:sz w:val="21"/>
                      <w:szCs w:val="21"/>
                    </w:rPr>
                    <w:t>符合性分析</w:t>
                  </w:r>
                </w:p>
              </w:tc>
            </w:tr>
            <w:tr w14:paraId="14B4C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7372A352">
                  <w:pPr>
                    <w:pStyle w:val="12"/>
                    <w:spacing w:line="240" w:lineRule="auto"/>
                    <w:ind w:firstLine="0" w:firstLineChars="0"/>
                    <w:rPr>
                      <w:b/>
                      <w:bCs/>
                      <w:sz w:val="21"/>
                      <w:szCs w:val="21"/>
                    </w:rPr>
                  </w:pPr>
                  <w:r>
                    <w:rPr>
                      <w:bCs/>
                      <w:sz w:val="21"/>
                      <w:szCs w:val="21"/>
                    </w:rPr>
                    <w:t>推荐产业</w:t>
                  </w:r>
                </w:p>
              </w:tc>
              <w:tc>
                <w:tcPr>
                  <w:tcW w:w="3027" w:type="pct"/>
                  <w:vAlign w:val="center"/>
                </w:tcPr>
                <w:p w14:paraId="5B075BCC">
                  <w:pPr>
                    <w:pStyle w:val="12"/>
                    <w:spacing w:line="240" w:lineRule="auto"/>
                    <w:ind w:firstLine="0" w:firstLineChars="0"/>
                    <w:jc w:val="left"/>
                    <w:rPr>
                      <w:b/>
                      <w:bCs/>
                      <w:sz w:val="21"/>
                      <w:szCs w:val="21"/>
                    </w:rPr>
                  </w:pPr>
                  <w:r>
                    <w:rPr>
                      <w:bCs/>
                      <w:sz w:val="21"/>
                      <w:szCs w:val="21"/>
                    </w:rPr>
                    <w:t>主导产业：新材料产业；在现有高温耐火材料的基础上，发展耐火、耐特种新材料集群代表行业 C307陶瓷制品制造；C308耐火材料制品制造；C331结构性金属制品制造</w:t>
                  </w:r>
                </w:p>
              </w:tc>
              <w:tc>
                <w:tcPr>
                  <w:tcW w:w="908" w:type="pct"/>
                  <w:vMerge w:val="restart"/>
                  <w:vAlign w:val="center"/>
                </w:tcPr>
                <w:p w14:paraId="598FB5C8">
                  <w:pPr>
                    <w:pStyle w:val="12"/>
                    <w:spacing w:line="240" w:lineRule="auto"/>
                    <w:ind w:firstLine="0" w:firstLineChars="0"/>
                    <w:rPr>
                      <w:b/>
                      <w:bCs/>
                      <w:sz w:val="21"/>
                      <w:szCs w:val="21"/>
                    </w:rPr>
                  </w:pPr>
                  <w:r>
                    <w:rPr>
                      <w:bCs/>
                      <w:sz w:val="21"/>
                      <w:szCs w:val="21"/>
                    </w:rPr>
                    <w:t>本项目属于</w:t>
                  </w:r>
                  <w:r>
                    <w:rPr>
                      <w:rFonts w:hint="eastAsia"/>
                      <w:bCs/>
                      <w:sz w:val="21"/>
                      <w:szCs w:val="21"/>
                    </w:rPr>
                    <w:t>C2624 复混肥料制造</w:t>
                  </w:r>
                  <w:r>
                    <w:rPr>
                      <w:bCs/>
                      <w:sz w:val="21"/>
                      <w:szCs w:val="21"/>
                    </w:rPr>
                    <w:t>，本项目排放的污染物中不含重金属和持久性有机污染物；本项目不属于《产业结构调整指导目录（2024年版）》中淘汰类、限制类的行业，不属于湖南省两高管理目录中行业</w:t>
                  </w:r>
                </w:p>
              </w:tc>
              <w:tc>
                <w:tcPr>
                  <w:tcW w:w="592" w:type="pct"/>
                  <w:vMerge w:val="restart"/>
                  <w:vAlign w:val="center"/>
                </w:tcPr>
                <w:p w14:paraId="4602E8B7">
                  <w:pPr>
                    <w:pStyle w:val="12"/>
                    <w:spacing w:line="240" w:lineRule="auto"/>
                    <w:ind w:firstLine="0" w:firstLineChars="0"/>
                    <w:rPr>
                      <w:b/>
                      <w:bCs/>
                      <w:sz w:val="21"/>
                      <w:szCs w:val="21"/>
                    </w:rPr>
                  </w:pPr>
                  <w:r>
                    <w:rPr>
                      <w:bCs/>
                      <w:sz w:val="21"/>
                      <w:szCs w:val="21"/>
                    </w:rPr>
                    <w:t>符合</w:t>
                  </w:r>
                </w:p>
              </w:tc>
            </w:tr>
            <w:tr w14:paraId="0CED2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Merge w:val="restart"/>
                  <w:vAlign w:val="center"/>
                </w:tcPr>
                <w:p w14:paraId="63B9FFC3">
                  <w:pPr>
                    <w:pStyle w:val="12"/>
                    <w:spacing w:line="240" w:lineRule="auto"/>
                    <w:ind w:firstLine="0" w:firstLineChars="0"/>
                    <w:rPr>
                      <w:b/>
                      <w:bCs/>
                      <w:sz w:val="21"/>
                      <w:szCs w:val="21"/>
                    </w:rPr>
                  </w:pPr>
                  <w:r>
                    <w:rPr>
                      <w:bCs/>
                      <w:sz w:val="21"/>
                      <w:szCs w:val="21"/>
                    </w:rPr>
                    <w:t>禁止类</w:t>
                  </w:r>
                </w:p>
              </w:tc>
              <w:tc>
                <w:tcPr>
                  <w:tcW w:w="3027" w:type="pct"/>
                  <w:vAlign w:val="center"/>
                </w:tcPr>
                <w:p w14:paraId="79F94240">
                  <w:pPr>
                    <w:pStyle w:val="12"/>
                    <w:spacing w:line="240" w:lineRule="auto"/>
                    <w:ind w:firstLine="0" w:firstLineChars="0"/>
                    <w:jc w:val="left"/>
                    <w:rPr>
                      <w:b/>
                      <w:bCs/>
                      <w:sz w:val="21"/>
                      <w:szCs w:val="21"/>
                    </w:rPr>
                  </w:pPr>
                  <w:r>
                    <w:rPr>
                      <w:bCs/>
                      <w:sz w:val="21"/>
                      <w:szCs w:val="21"/>
                    </w:rPr>
                    <w:t>规划主导产业以内：①新材料产业中禁止引入以排放重金属和持久性有机污染物为主要污染物的企业</w:t>
                  </w:r>
                </w:p>
              </w:tc>
              <w:tc>
                <w:tcPr>
                  <w:tcW w:w="908" w:type="pct"/>
                  <w:vMerge w:val="continue"/>
                  <w:vAlign w:val="center"/>
                </w:tcPr>
                <w:p w14:paraId="182509F3">
                  <w:pPr>
                    <w:pStyle w:val="12"/>
                    <w:spacing w:line="240" w:lineRule="auto"/>
                    <w:ind w:firstLine="0" w:firstLineChars="0"/>
                    <w:rPr>
                      <w:b/>
                      <w:bCs/>
                      <w:sz w:val="21"/>
                      <w:szCs w:val="21"/>
                    </w:rPr>
                  </w:pPr>
                </w:p>
              </w:tc>
              <w:tc>
                <w:tcPr>
                  <w:tcW w:w="592" w:type="pct"/>
                  <w:vMerge w:val="continue"/>
                  <w:vAlign w:val="center"/>
                </w:tcPr>
                <w:p w14:paraId="1A0282A8">
                  <w:pPr>
                    <w:pStyle w:val="12"/>
                    <w:spacing w:line="240" w:lineRule="auto"/>
                    <w:ind w:firstLine="0" w:firstLineChars="0"/>
                    <w:rPr>
                      <w:b/>
                      <w:bCs/>
                      <w:sz w:val="21"/>
                      <w:szCs w:val="21"/>
                    </w:rPr>
                  </w:pPr>
                </w:p>
              </w:tc>
            </w:tr>
            <w:tr w14:paraId="32585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Merge w:val="continue"/>
                  <w:vAlign w:val="center"/>
                </w:tcPr>
                <w:p w14:paraId="134CDA41">
                  <w:pPr>
                    <w:pStyle w:val="12"/>
                    <w:spacing w:line="240" w:lineRule="auto"/>
                    <w:ind w:firstLine="0" w:firstLineChars="0"/>
                    <w:rPr>
                      <w:b/>
                      <w:bCs/>
                      <w:sz w:val="21"/>
                      <w:szCs w:val="21"/>
                    </w:rPr>
                  </w:pPr>
                </w:p>
              </w:tc>
              <w:tc>
                <w:tcPr>
                  <w:tcW w:w="3027" w:type="pct"/>
                  <w:vAlign w:val="center"/>
                </w:tcPr>
                <w:p w14:paraId="1F75516C">
                  <w:pPr>
                    <w:pStyle w:val="12"/>
                    <w:spacing w:line="240" w:lineRule="auto"/>
                    <w:ind w:firstLine="0" w:firstLineChars="0"/>
                    <w:jc w:val="left"/>
                    <w:rPr>
                      <w:b/>
                      <w:bCs/>
                      <w:sz w:val="21"/>
                      <w:szCs w:val="21"/>
                    </w:rPr>
                  </w:pPr>
                  <w:r>
                    <w:rPr>
                      <w:bCs/>
                      <w:sz w:val="21"/>
                      <w:szCs w:val="21"/>
                    </w:rPr>
                    <w:t>规划的主导产业以外：①按照《国民经济行业分类》(GB/T 4754-2017)标准，禁止以下行业:采矿业；皮革鞣制加工，毛皮鞣制加工业；造纸和纸制品制造业中纸浆制造业；石油、煤炭及其他燃料加工业(煤制合成气生产、生物质燃料加工除外)；平板玻璃制造业:黑色金属冶炼；有色金属冶炼；以危险废物为原料的废弃资源综合利用业等；②禁止引入其它以排放重金属污染物和持久性有机污染物为主要污染物的行业，国家产业政策规定的落后生产工艺装备和落后产品，不符合国家、省及地方相关产业政策、国家明令禁止或淘汰的项目，不符合行业准入条件的项目</w:t>
                  </w:r>
                </w:p>
              </w:tc>
              <w:tc>
                <w:tcPr>
                  <w:tcW w:w="908" w:type="pct"/>
                  <w:vMerge w:val="continue"/>
                  <w:vAlign w:val="center"/>
                </w:tcPr>
                <w:p w14:paraId="5A327EC9">
                  <w:pPr>
                    <w:pStyle w:val="12"/>
                    <w:spacing w:line="240" w:lineRule="auto"/>
                    <w:ind w:firstLine="0" w:firstLineChars="0"/>
                    <w:rPr>
                      <w:b/>
                      <w:bCs/>
                      <w:sz w:val="21"/>
                      <w:szCs w:val="21"/>
                    </w:rPr>
                  </w:pPr>
                </w:p>
              </w:tc>
              <w:tc>
                <w:tcPr>
                  <w:tcW w:w="592" w:type="pct"/>
                  <w:vMerge w:val="continue"/>
                </w:tcPr>
                <w:p w14:paraId="6E9EB167">
                  <w:pPr>
                    <w:pStyle w:val="12"/>
                    <w:spacing w:line="240" w:lineRule="auto"/>
                    <w:ind w:firstLine="0" w:firstLineChars="0"/>
                    <w:rPr>
                      <w:b/>
                      <w:bCs/>
                      <w:sz w:val="21"/>
                      <w:szCs w:val="21"/>
                    </w:rPr>
                  </w:pPr>
                </w:p>
              </w:tc>
            </w:tr>
            <w:tr w14:paraId="303B1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4607C097">
                  <w:pPr>
                    <w:pStyle w:val="12"/>
                    <w:spacing w:line="240" w:lineRule="auto"/>
                    <w:ind w:firstLine="0" w:firstLineChars="0"/>
                    <w:rPr>
                      <w:b/>
                      <w:bCs/>
                      <w:sz w:val="21"/>
                      <w:szCs w:val="21"/>
                    </w:rPr>
                  </w:pPr>
                  <w:r>
                    <w:rPr>
                      <w:bCs/>
                      <w:sz w:val="21"/>
                      <w:szCs w:val="21"/>
                    </w:rPr>
                    <w:t>限制类</w:t>
                  </w:r>
                </w:p>
              </w:tc>
              <w:tc>
                <w:tcPr>
                  <w:tcW w:w="3027" w:type="pct"/>
                  <w:vAlign w:val="center"/>
                </w:tcPr>
                <w:p w14:paraId="3E470127">
                  <w:pPr>
                    <w:pStyle w:val="12"/>
                    <w:spacing w:line="240" w:lineRule="auto"/>
                    <w:ind w:firstLine="0" w:firstLineChars="0"/>
                    <w:jc w:val="left"/>
                    <w:rPr>
                      <w:b/>
                      <w:bCs/>
                      <w:sz w:val="21"/>
                      <w:szCs w:val="21"/>
                    </w:rPr>
                  </w:pPr>
                  <w:r>
                    <w:rPr>
                      <w:bCs/>
                      <w:sz w:val="21"/>
                      <w:szCs w:val="21"/>
                    </w:rPr>
                    <w:t>①国家产业政策和其他法规、条例、部门规章及管理办法等规定限制发展的产业；②严格管控高耗能高排放项目</w:t>
                  </w:r>
                </w:p>
              </w:tc>
              <w:tc>
                <w:tcPr>
                  <w:tcW w:w="908" w:type="pct"/>
                  <w:vMerge w:val="continue"/>
                  <w:vAlign w:val="center"/>
                </w:tcPr>
                <w:p w14:paraId="044469A4">
                  <w:pPr>
                    <w:pStyle w:val="12"/>
                    <w:spacing w:line="240" w:lineRule="auto"/>
                    <w:ind w:firstLine="0" w:firstLineChars="0"/>
                    <w:rPr>
                      <w:b/>
                      <w:bCs/>
                      <w:sz w:val="21"/>
                      <w:szCs w:val="21"/>
                    </w:rPr>
                  </w:pPr>
                </w:p>
              </w:tc>
              <w:tc>
                <w:tcPr>
                  <w:tcW w:w="592" w:type="pct"/>
                  <w:vMerge w:val="continue"/>
                  <w:vAlign w:val="center"/>
                </w:tcPr>
                <w:p w14:paraId="0902297F">
                  <w:pPr>
                    <w:pStyle w:val="12"/>
                    <w:spacing w:line="240" w:lineRule="auto"/>
                    <w:ind w:firstLine="0" w:firstLineChars="0"/>
                    <w:rPr>
                      <w:b/>
                      <w:bCs/>
                      <w:sz w:val="21"/>
                      <w:szCs w:val="21"/>
                    </w:rPr>
                  </w:pPr>
                </w:p>
              </w:tc>
            </w:tr>
          </w:tbl>
          <w:p w14:paraId="0C3A1221">
            <w:pPr>
              <w:spacing w:line="360" w:lineRule="auto"/>
              <w:ind w:firstLine="480" w:firstLineChars="200"/>
              <w:rPr>
                <w:sz w:val="24"/>
              </w:rPr>
            </w:pPr>
            <w:r>
              <w:rPr>
                <w:sz w:val="24"/>
                <w:u w:val="single" w:color="auto"/>
              </w:rPr>
              <w:t>本项目</w:t>
            </w:r>
            <w:r>
              <w:rPr>
                <w:rFonts w:hint="eastAsia"/>
                <w:sz w:val="24"/>
                <w:u w:val="single" w:color="auto"/>
              </w:rPr>
              <w:t>属于</w:t>
            </w:r>
            <w:r>
              <w:rPr>
                <w:rFonts w:hint="eastAsia" w:cs="Times New Roman"/>
                <w:color w:val="auto"/>
                <w:szCs w:val="21"/>
                <w:u w:val="single" w:color="auto"/>
                <w:lang w:val="en-US" w:eastAsia="zh-CN"/>
              </w:rPr>
              <w:t>C2624 复混肥料制造（仅物理混配，没有化学方法生产）</w:t>
            </w:r>
            <w:r>
              <w:rPr>
                <w:sz w:val="24"/>
                <w:u w:val="single" w:color="auto"/>
              </w:rPr>
              <w:t>，不在上述</w:t>
            </w:r>
            <w:r>
              <w:rPr>
                <w:rFonts w:hint="eastAsia"/>
                <w:sz w:val="24"/>
                <w:u w:val="single" w:color="auto"/>
              </w:rPr>
              <w:t>限制类、禁止类入区的工业项目类型范围内，符合园区洪山洞片区产业发展定位要求。</w:t>
            </w:r>
          </w:p>
          <w:p w14:paraId="31B27533">
            <w:pPr>
              <w:spacing w:line="360" w:lineRule="auto"/>
              <w:ind w:firstLine="480" w:firstLineChars="200"/>
              <w:rPr>
                <w:sz w:val="24"/>
              </w:rPr>
            </w:pPr>
            <w:r>
              <w:rPr>
                <w:sz w:val="24"/>
              </w:rPr>
              <w:t>根据</w:t>
            </w:r>
            <w:r>
              <w:rPr>
                <w:rFonts w:hint="eastAsia"/>
                <w:sz w:val="24"/>
              </w:rPr>
              <w:t>《岳阳高新产业园区调区扩区规划（2020-2025）环境影响评价报告书》及审查意见中有关要求</w:t>
            </w:r>
            <w:r>
              <w:rPr>
                <w:sz w:val="24"/>
              </w:rPr>
              <w:t>，</w:t>
            </w:r>
            <w:r>
              <w:rPr>
                <w:rFonts w:hint="eastAsia"/>
                <w:sz w:val="24"/>
              </w:rPr>
              <w:t>项目符合性分析</w:t>
            </w:r>
            <w:r>
              <w:rPr>
                <w:sz w:val="24"/>
              </w:rPr>
              <w:t>详见表1-2。</w:t>
            </w:r>
          </w:p>
          <w:p w14:paraId="74484DE0">
            <w:pPr>
              <w:autoSpaceDE w:val="0"/>
              <w:autoSpaceDN w:val="0"/>
              <w:jc w:val="center"/>
              <w:rPr>
                <w:b/>
                <w:sz w:val="21"/>
                <w:szCs w:val="21"/>
              </w:rPr>
            </w:pPr>
            <w:r>
              <w:rPr>
                <w:b/>
                <w:sz w:val="21"/>
                <w:szCs w:val="21"/>
              </w:rPr>
              <w:t xml:space="preserve">表1-2  </w:t>
            </w:r>
            <w:r>
              <w:rPr>
                <w:rFonts w:hint="eastAsia"/>
                <w:b/>
                <w:sz w:val="21"/>
                <w:szCs w:val="21"/>
              </w:rPr>
              <w:t>项目与所在园区规划环评及审查意见符合性分析表</w:t>
            </w:r>
          </w:p>
          <w:tbl>
            <w:tblPr>
              <w:tblStyle w:val="1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2"/>
              <w:gridCol w:w="3398"/>
              <w:gridCol w:w="1510"/>
              <w:gridCol w:w="739"/>
            </w:tblGrid>
            <w:tr w14:paraId="27C0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735BA215">
                  <w:pPr>
                    <w:pStyle w:val="12"/>
                    <w:spacing w:line="240" w:lineRule="auto"/>
                    <w:ind w:firstLine="0" w:firstLineChars="0"/>
                    <w:rPr>
                      <w:sz w:val="21"/>
                      <w:szCs w:val="21"/>
                    </w:rPr>
                  </w:pPr>
                  <w:r>
                    <w:rPr>
                      <w:sz w:val="21"/>
                      <w:szCs w:val="21"/>
                    </w:rPr>
                    <w:t>类别</w:t>
                  </w:r>
                </w:p>
              </w:tc>
              <w:tc>
                <w:tcPr>
                  <w:tcW w:w="2723" w:type="pct"/>
                  <w:vAlign w:val="center"/>
                </w:tcPr>
                <w:p w14:paraId="45CE1604">
                  <w:pPr>
                    <w:pStyle w:val="12"/>
                    <w:spacing w:line="240" w:lineRule="auto"/>
                    <w:ind w:firstLine="0" w:firstLineChars="0"/>
                    <w:rPr>
                      <w:sz w:val="21"/>
                      <w:szCs w:val="21"/>
                    </w:rPr>
                  </w:pPr>
                  <w:r>
                    <w:rPr>
                      <w:sz w:val="21"/>
                      <w:szCs w:val="21"/>
                    </w:rPr>
                    <w:t>园区规划及批复要求</w:t>
                  </w:r>
                </w:p>
              </w:tc>
              <w:tc>
                <w:tcPr>
                  <w:tcW w:w="1210" w:type="pct"/>
                  <w:vAlign w:val="center"/>
                </w:tcPr>
                <w:p w14:paraId="0DB42A9C">
                  <w:pPr>
                    <w:pStyle w:val="12"/>
                    <w:spacing w:line="240" w:lineRule="auto"/>
                    <w:ind w:firstLine="0" w:firstLineChars="0"/>
                    <w:rPr>
                      <w:sz w:val="21"/>
                      <w:szCs w:val="21"/>
                    </w:rPr>
                  </w:pPr>
                  <w:r>
                    <w:rPr>
                      <w:sz w:val="21"/>
                      <w:szCs w:val="21"/>
                    </w:rPr>
                    <w:t>本项目情况</w:t>
                  </w:r>
                </w:p>
              </w:tc>
              <w:tc>
                <w:tcPr>
                  <w:tcW w:w="592" w:type="pct"/>
                </w:tcPr>
                <w:p w14:paraId="279EE5EE">
                  <w:pPr>
                    <w:pStyle w:val="12"/>
                    <w:spacing w:line="240" w:lineRule="auto"/>
                    <w:ind w:firstLine="0" w:firstLineChars="0"/>
                    <w:rPr>
                      <w:sz w:val="21"/>
                      <w:szCs w:val="21"/>
                    </w:rPr>
                  </w:pPr>
                  <w:r>
                    <w:rPr>
                      <w:sz w:val="21"/>
                      <w:szCs w:val="21"/>
                    </w:rPr>
                    <w:t>符合性分析</w:t>
                  </w:r>
                </w:p>
              </w:tc>
            </w:tr>
            <w:tr w14:paraId="51EE1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35303E7C">
                  <w:pPr>
                    <w:pStyle w:val="12"/>
                    <w:spacing w:line="240" w:lineRule="auto"/>
                    <w:ind w:firstLine="0" w:firstLineChars="0"/>
                    <w:rPr>
                      <w:b/>
                      <w:bCs/>
                      <w:sz w:val="21"/>
                      <w:szCs w:val="21"/>
                    </w:rPr>
                  </w:pPr>
                  <w:r>
                    <w:rPr>
                      <w:bCs/>
                      <w:sz w:val="21"/>
                      <w:szCs w:val="21"/>
                    </w:rPr>
                    <w:t>严格依规开发，优化空间功能布局</w:t>
                  </w:r>
                </w:p>
              </w:tc>
              <w:tc>
                <w:tcPr>
                  <w:tcW w:w="2723" w:type="pct"/>
                  <w:vAlign w:val="center"/>
                </w:tcPr>
                <w:p w14:paraId="654F69E1">
                  <w:pPr>
                    <w:pStyle w:val="12"/>
                    <w:spacing w:line="240" w:lineRule="auto"/>
                    <w:ind w:firstLine="0" w:firstLineChars="0"/>
                    <w:jc w:val="left"/>
                    <w:rPr>
                      <w:b/>
                      <w:bCs/>
                      <w:sz w:val="21"/>
                      <w:szCs w:val="21"/>
                    </w:rPr>
                  </w:pPr>
                  <w:r>
                    <w:rPr>
                      <w:bCs/>
                      <w:sz w:val="21"/>
                      <w:szCs w:val="21"/>
                    </w:rPr>
                    <w:t>园区在下一步开发建设过程中应按照最新的国土空间规划科学布局，将空间管控要求融入园区规划实施全过程，园区规划用地不得涉及各类法定保护地，严格按照经核准的规划范围开展园区建设。从环境相容性的角度优化区域功能布局，主产业片区西部紧邻县城的生物医药产业区应严格限制气型污染为主的企业入驻，并对于已有的兰塘村安置区、惠民小区等集中居住区周边工业企业气型污染予以重点控制。园区应严格边界管控，控制发展规模，严守《长江保护法》、《长江经济带发展负面清单》及其相关条款的修订和释义要求</w:t>
                  </w:r>
                  <w:r>
                    <w:rPr>
                      <w:rFonts w:hint="eastAsia"/>
                      <w:bCs/>
                      <w:sz w:val="21"/>
                      <w:szCs w:val="21"/>
                      <w:lang w:eastAsia="zh-CN"/>
                    </w:rPr>
                    <w:t>，对</w:t>
                  </w:r>
                  <w:r>
                    <w:rPr>
                      <w:bCs/>
                      <w:sz w:val="21"/>
                      <w:szCs w:val="21"/>
                    </w:rPr>
                    <w:t>后续法律法规及相关政策有新的禁止和限制性要求的，应严格予以执行</w:t>
                  </w:r>
                </w:p>
              </w:tc>
              <w:tc>
                <w:tcPr>
                  <w:tcW w:w="1210" w:type="pct"/>
                  <w:vAlign w:val="center"/>
                </w:tcPr>
                <w:p w14:paraId="3B03FF20">
                  <w:pPr>
                    <w:pStyle w:val="12"/>
                    <w:spacing w:line="240" w:lineRule="auto"/>
                    <w:ind w:firstLine="0" w:firstLineChars="0"/>
                    <w:rPr>
                      <w:b/>
                      <w:bCs/>
                      <w:sz w:val="21"/>
                      <w:szCs w:val="21"/>
                    </w:rPr>
                  </w:pPr>
                  <w:r>
                    <w:rPr>
                      <w:bCs/>
                      <w:sz w:val="21"/>
                      <w:szCs w:val="21"/>
                    </w:rPr>
                    <w:t>本项目在</w:t>
                  </w:r>
                  <w:r>
                    <w:rPr>
                      <w:rFonts w:hint="eastAsia"/>
                      <w:bCs/>
                      <w:sz w:val="21"/>
                      <w:szCs w:val="21"/>
                      <w:lang w:val="en-US" w:eastAsia="zh-CN"/>
                    </w:rPr>
                    <w:t>园区规划</w:t>
                  </w:r>
                  <w:r>
                    <w:rPr>
                      <w:bCs/>
                      <w:sz w:val="21"/>
                      <w:szCs w:val="21"/>
                    </w:rPr>
                    <w:t>用地范围内</w:t>
                  </w:r>
                  <w:r>
                    <w:rPr>
                      <w:rFonts w:hint="eastAsia"/>
                      <w:bCs/>
                      <w:sz w:val="21"/>
                      <w:szCs w:val="21"/>
                      <w:lang w:val="en-US" w:eastAsia="zh-CN"/>
                    </w:rPr>
                    <w:t>建设</w:t>
                  </w:r>
                  <w:r>
                    <w:rPr>
                      <w:bCs/>
                      <w:sz w:val="21"/>
                      <w:szCs w:val="21"/>
                    </w:rPr>
                    <w:t>，按照最新的国土空间规划科学布局</w:t>
                  </w:r>
                  <w:r>
                    <w:rPr>
                      <w:rFonts w:hint="eastAsia"/>
                      <w:bCs/>
                      <w:sz w:val="21"/>
                      <w:szCs w:val="21"/>
                      <w:lang w:eastAsia="zh-CN"/>
                    </w:rPr>
                    <w:t>，</w:t>
                  </w:r>
                  <w:r>
                    <w:rPr>
                      <w:bCs/>
                      <w:sz w:val="21"/>
                      <w:szCs w:val="21"/>
                    </w:rPr>
                    <w:t>厂区占地区域属于园区洪山洞产业片区，项目行业类型不属于《长江经济带发展负面清单》中禁止建设产业类型，符合园区发展产业定位要求</w:t>
                  </w:r>
                </w:p>
              </w:tc>
              <w:tc>
                <w:tcPr>
                  <w:tcW w:w="592" w:type="pct"/>
                  <w:vAlign w:val="center"/>
                </w:tcPr>
                <w:p w14:paraId="6F6C70F5">
                  <w:pPr>
                    <w:pStyle w:val="12"/>
                    <w:spacing w:line="240" w:lineRule="auto"/>
                    <w:ind w:firstLine="0" w:firstLineChars="0"/>
                    <w:rPr>
                      <w:b/>
                      <w:bCs/>
                      <w:sz w:val="21"/>
                      <w:szCs w:val="21"/>
                    </w:rPr>
                  </w:pPr>
                  <w:r>
                    <w:rPr>
                      <w:bCs/>
                      <w:sz w:val="21"/>
                      <w:szCs w:val="21"/>
                    </w:rPr>
                    <w:t>符合</w:t>
                  </w:r>
                </w:p>
              </w:tc>
            </w:tr>
            <w:tr w14:paraId="5698E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06C6D78E">
                  <w:pPr>
                    <w:pStyle w:val="12"/>
                    <w:spacing w:line="240" w:lineRule="auto"/>
                    <w:ind w:firstLine="0" w:firstLineChars="0"/>
                    <w:rPr>
                      <w:b/>
                      <w:bCs/>
                      <w:sz w:val="21"/>
                      <w:szCs w:val="21"/>
                    </w:rPr>
                  </w:pPr>
                  <w:r>
                    <w:rPr>
                      <w:bCs/>
                      <w:sz w:val="21"/>
                      <w:szCs w:val="21"/>
                    </w:rPr>
                    <w:t>严格环境准入，优化园区产业结构</w:t>
                  </w:r>
                </w:p>
              </w:tc>
              <w:tc>
                <w:tcPr>
                  <w:tcW w:w="2723" w:type="pct"/>
                  <w:vAlign w:val="center"/>
                </w:tcPr>
                <w:p w14:paraId="32148854">
                  <w:pPr>
                    <w:pStyle w:val="12"/>
                    <w:spacing w:line="240" w:lineRule="auto"/>
                    <w:ind w:firstLine="0" w:firstLineChars="0"/>
                    <w:jc w:val="left"/>
                    <w:rPr>
                      <w:b/>
                      <w:bCs/>
                      <w:sz w:val="21"/>
                      <w:szCs w:val="21"/>
                    </w:rPr>
                  </w:pPr>
                  <w:r>
                    <w:rPr>
                      <w:bCs/>
                      <w:sz w:val="21"/>
                      <w:szCs w:val="21"/>
                    </w:rPr>
                    <w:t>园区产业引进应落实园区“三线一单”环境准入要求，严格执行《报告书》提出的产业定位和环境准入负面清单，园区医药产业定位应以现有产业的配套和延伸为主，限制新引进排水大的项目并严格执行环境准入清单中所设置的产业排水限制要求</w:t>
                  </w:r>
                </w:p>
              </w:tc>
              <w:tc>
                <w:tcPr>
                  <w:tcW w:w="1210" w:type="pct"/>
                  <w:vAlign w:val="center"/>
                </w:tcPr>
                <w:p w14:paraId="0C61E401">
                  <w:pPr>
                    <w:pStyle w:val="12"/>
                    <w:spacing w:line="240" w:lineRule="auto"/>
                    <w:ind w:firstLine="0" w:firstLineChars="0"/>
                    <w:rPr>
                      <w:b/>
                      <w:bCs/>
                      <w:sz w:val="21"/>
                      <w:szCs w:val="21"/>
                    </w:rPr>
                  </w:pPr>
                  <w:r>
                    <w:rPr>
                      <w:bCs/>
                      <w:sz w:val="21"/>
                      <w:szCs w:val="21"/>
                    </w:rPr>
                    <w:t>本项目属于</w:t>
                  </w:r>
                  <w:r>
                    <w:rPr>
                      <w:rFonts w:hint="eastAsia"/>
                      <w:bCs/>
                      <w:sz w:val="21"/>
                      <w:szCs w:val="21"/>
                    </w:rPr>
                    <w:t>C2624 复混肥料制造</w:t>
                  </w:r>
                  <w:r>
                    <w:rPr>
                      <w:bCs/>
                      <w:sz w:val="21"/>
                      <w:szCs w:val="21"/>
                    </w:rPr>
                    <w:t>，不属于规划环评环境准入负面清单内容，且不属于排水大的项目</w:t>
                  </w:r>
                </w:p>
              </w:tc>
              <w:tc>
                <w:tcPr>
                  <w:tcW w:w="592" w:type="pct"/>
                  <w:vAlign w:val="center"/>
                </w:tcPr>
                <w:p w14:paraId="3CB5E8A0">
                  <w:pPr>
                    <w:pStyle w:val="12"/>
                    <w:spacing w:line="240" w:lineRule="auto"/>
                    <w:ind w:firstLine="0" w:firstLineChars="0"/>
                    <w:rPr>
                      <w:b/>
                      <w:bCs/>
                      <w:sz w:val="21"/>
                      <w:szCs w:val="21"/>
                    </w:rPr>
                  </w:pPr>
                  <w:r>
                    <w:rPr>
                      <w:bCs/>
                      <w:sz w:val="21"/>
                      <w:szCs w:val="21"/>
                    </w:rPr>
                    <w:t>符合</w:t>
                  </w:r>
                </w:p>
              </w:tc>
            </w:tr>
            <w:tr w14:paraId="6728E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2F6B6964">
                  <w:pPr>
                    <w:pStyle w:val="12"/>
                    <w:spacing w:line="240" w:lineRule="auto"/>
                    <w:ind w:firstLine="0" w:firstLineChars="0"/>
                    <w:rPr>
                      <w:b/>
                      <w:bCs/>
                      <w:sz w:val="21"/>
                      <w:szCs w:val="21"/>
                    </w:rPr>
                  </w:pPr>
                  <w:r>
                    <w:rPr>
                      <w:bCs/>
                      <w:sz w:val="21"/>
                      <w:szCs w:val="21"/>
                    </w:rPr>
                    <w:t>落实管控措施，加强园区排污管理</w:t>
                  </w:r>
                </w:p>
              </w:tc>
              <w:tc>
                <w:tcPr>
                  <w:tcW w:w="2723" w:type="pct"/>
                  <w:vAlign w:val="center"/>
                </w:tcPr>
                <w:p w14:paraId="1B77C73A">
                  <w:pPr>
                    <w:pStyle w:val="12"/>
                    <w:spacing w:line="240" w:lineRule="auto"/>
                    <w:ind w:firstLine="0" w:firstLineChars="0"/>
                    <w:jc w:val="left"/>
                    <w:rPr>
                      <w:b/>
                      <w:bCs/>
                      <w:sz w:val="21"/>
                      <w:szCs w:val="21"/>
                    </w:rPr>
                  </w:pPr>
                  <w:r>
                    <w:rPr>
                      <w:bCs/>
                      <w:sz w:val="21"/>
                      <w:szCs w:val="21"/>
                    </w:rPr>
                    <w:t>完善园区污水管网建设，做好雨污分流，确保园区各片区生产生活废水应收尽收，集中排入污水处理厂，园区不得超过污水处理厂的处理能力和排污口审批所规定的废水排放量引进项目。岳阳高新技术产业园区污水处理厂出水应严格执行《湖南省城镇污水处理厂主要水污染物排放标准（DB43T 1546-2018 )》一级标准、其余未包含指标执行《城镇污水处理厂污染物排放标准》(GB18918-2002)一级A标准，在东洞庭湖水质达到《地表水环境质量标准》中Ⅲ类标准(湖、库标准)之前，岳阳高新技术产业园区污水处理厂原则上维持1万m</w:t>
                  </w:r>
                  <w:r>
                    <w:rPr>
                      <w:bCs/>
                      <w:sz w:val="21"/>
                      <w:szCs w:val="21"/>
                      <w:vertAlign w:val="superscript"/>
                    </w:rPr>
                    <w:t>3</w:t>
                  </w:r>
                  <w:r>
                    <w:rPr>
                      <w:bCs/>
                      <w:sz w:val="21"/>
                      <w:szCs w:val="21"/>
                    </w:rPr>
                    <w:t>/d处理规模。严格限制入园企业的总磷排放浓度，园区污水处理厂进水总磷浓度应控制在6.5mg/L以下以确保污水处理厂的除磷效果。加快入河排污口前端人工湿地的建设，人工湿地应能完全接纳岳阳县县城生活污水处理厂和园区污水处理厂的尾水，并按照相关技术规范要求设计、施工和运行维护，保障人工湿地对总磷等污染物的去除效果。园区应推进清洁能源改造，并完善污染防控措施。加强对重点排放企业的监管，加强对VOCs排放的治理，采取有效措施减少污染物排放总量。建立园区固废规范化管理体系，做好工业固体废物和生活垃圾的分类收集、转运、综合利用和无害化处理。对危险废物应严格按照国家有关规定综合利用或妥善处置，对危险废物产生企业和经营单位，应强化日常环境监管。园区须严格落实排污许可制度和污染物排放总量控制，督促入园企业及时完成环境保护竣工验收工作，推动涉及VOCs排放的主要企业完成清洁生产审核。园区应落实第三方环境治理工作相关政策要求,强化对重点产排污企业的监管与服务</w:t>
                  </w:r>
                </w:p>
              </w:tc>
              <w:tc>
                <w:tcPr>
                  <w:tcW w:w="1210" w:type="pct"/>
                  <w:vAlign w:val="center"/>
                </w:tcPr>
                <w:p w14:paraId="543B30C3">
                  <w:pPr>
                    <w:pStyle w:val="12"/>
                    <w:spacing w:line="240" w:lineRule="auto"/>
                    <w:ind w:firstLine="0" w:firstLineChars="0"/>
                    <w:rPr>
                      <w:b/>
                      <w:bCs/>
                      <w:sz w:val="21"/>
                      <w:szCs w:val="21"/>
                      <w:u w:val="single"/>
                    </w:rPr>
                  </w:pPr>
                  <w:r>
                    <w:rPr>
                      <w:bCs/>
                      <w:sz w:val="21"/>
                      <w:szCs w:val="21"/>
                      <w:u w:val="single"/>
                    </w:rPr>
                    <w:t>（1）项目厂区内实行雨污分流，生产废水均能做到合理处理后，不外排；本项目厂区内生活污水经</w:t>
                  </w:r>
                  <w:r>
                    <w:rPr>
                      <w:rFonts w:hint="eastAsia"/>
                      <w:bCs/>
                      <w:sz w:val="21"/>
                      <w:szCs w:val="21"/>
                      <w:u w:val="single"/>
                    </w:rPr>
                    <w:t>生活污水经化粪池处理后</w:t>
                  </w:r>
                  <w:r>
                    <w:rPr>
                      <w:bCs/>
                      <w:sz w:val="21"/>
                      <w:szCs w:val="21"/>
                      <w:u w:val="single"/>
                    </w:rPr>
                    <w:t>排入园区污水管网，最终进入</w:t>
                  </w:r>
                  <w:r>
                    <w:rPr>
                      <w:rFonts w:hint="eastAsia"/>
                      <w:bCs/>
                      <w:sz w:val="21"/>
                      <w:szCs w:val="21"/>
                      <w:u w:val="single"/>
                    </w:rPr>
                    <w:t>岳阳高新技术产业园区长湖片污水处理厂</w:t>
                  </w:r>
                  <w:r>
                    <w:rPr>
                      <w:bCs/>
                      <w:sz w:val="21"/>
                      <w:szCs w:val="21"/>
                      <w:u w:val="single"/>
                    </w:rPr>
                    <w:t>集中处理。</w:t>
                  </w:r>
                </w:p>
                <w:p w14:paraId="726397E5">
                  <w:pPr>
                    <w:pStyle w:val="12"/>
                    <w:spacing w:line="240" w:lineRule="auto"/>
                    <w:ind w:firstLine="0" w:firstLineChars="0"/>
                    <w:rPr>
                      <w:b/>
                      <w:bCs/>
                      <w:sz w:val="21"/>
                      <w:szCs w:val="21"/>
                    </w:rPr>
                  </w:pPr>
                  <w:r>
                    <w:rPr>
                      <w:bCs/>
                      <w:sz w:val="21"/>
                      <w:szCs w:val="21"/>
                    </w:rPr>
                    <w:t>（2）本项目产生废气污染物经分类收集后采取相应的有效措施后</w:t>
                  </w:r>
                  <w:r>
                    <w:rPr>
                      <w:rFonts w:hint="eastAsia"/>
                      <w:bCs/>
                      <w:sz w:val="21"/>
                      <w:szCs w:val="21"/>
                      <w:lang w:eastAsia="zh-CN"/>
                    </w:rPr>
                    <w:t>，能做到达标排放，且</w:t>
                  </w:r>
                  <w:r>
                    <w:rPr>
                      <w:bCs/>
                      <w:sz w:val="21"/>
                      <w:szCs w:val="21"/>
                    </w:rPr>
                    <w:t>可减少污染物的排放总量。</w:t>
                  </w:r>
                </w:p>
                <w:p w14:paraId="6FA9A415">
                  <w:pPr>
                    <w:pStyle w:val="12"/>
                    <w:spacing w:line="240" w:lineRule="auto"/>
                    <w:ind w:firstLine="0" w:firstLineChars="0"/>
                    <w:rPr>
                      <w:b/>
                      <w:bCs/>
                      <w:sz w:val="21"/>
                      <w:szCs w:val="21"/>
                    </w:rPr>
                  </w:pPr>
                  <w:r>
                    <w:rPr>
                      <w:bCs/>
                      <w:sz w:val="21"/>
                      <w:szCs w:val="21"/>
                    </w:rPr>
                    <w:t>（3）项目设置一般固废及危废暂存间，并做好工业固体废物和生活垃圾的分类收集、转运、综合利用</w:t>
                  </w:r>
                </w:p>
              </w:tc>
              <w:tc>
                <w:tcPr>
                  <w:tcW w:w="592" w:type="pct"/>
                  <w:vAlign w:val="center"/>
                </w:tcPr>
                <w:p w14:paraId="0D9925F3">
                  <w:pPr>
                    <w:pStyle w:val="12"/>
                    <w:spacing w:line="240" w:lineRule="auto"/>
                    <w:ind w:firstLine="0" w:firstLineChars="0"/>
                    <w:rPr>
                      <w:b/>
                      <w:bCs/>
                      <w:sz w:val="21"/>
                      <w:szCs w:val="21"/>
                    </w:rPr>
                  </w:pPr>
                  <w:r>
                    <w:rPr>
                      <w:bCs/>
                      <w:sz w:val="21"/>
                      <w:szCs w:val="21"/>
                    </w:rPr>
                    <w:t>符合</w:t>
                  </w:r>
                </w:p>
              </w:tc>
            </w:tr>
            <w:tr w14:paraId="1BAC0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pct"/>
                  <w:vAlign w:val="center"/>
                </w:tcPr>
                <w:p w14:paraId="00DC2C95">
                  <w:pPr>
                    <w:pStyle w:val="12"/>
                    <w:spacing w:line="240" w:lineRule="auto"/>
                    <w:ind w:firstLine="0" w:firstLineChars="0"/>
                    <w:rPr>
                      <w:b/>
                      <w:bCs/>
                      <w:sz w:val="21"/>
                      <w:szCs w:val="21"/>
                    </w:rPr>
                  </w:pPr>
                  <w:r>
                    <w:rPr>
                      <w:bCs/>
                      <w:sz w:val="21"/>
                      <w:szCs w:val="21"/>
                    </w:rPr>
                    <w:t>完善监测体系，监控环境质量变化状况</w:t>
                  </w:r>
                </w:p>
              </w:tc>
              <w:tc>
                <w:tcPr>
                  <w:tcW w:w="2723" w:type="pct"/>
                  <w:vAlign w:val="center"/>
                </w:tcPr>
                <w:p w14:paraId="51DA78AA">
                  <w:pPr>
                    <w:pStyle w:val="12"/>
                    <w:spacing w:line="240" w:lineRule="auto"/>
                    <w:ind w:firstLine="0" w:firstLineChars="0"/>
                    <w:jc w:val="left"/>
                    <w:rPr>
                      <w:b/>
                      <w:bCs/>
                      <w:sz w:val="21"/>
                      <w:szCs w:val="21"/>
                    </w:rPr>
                  </w:pPr>
                  <w:r>
                    <w:rPr>
                      <w:bCs/>
                      <w:sz w:val="21"/>
                      <w:szCs w:val="21"/>
                    </w:rPr>
                    <w:t>结合园区规划的功能分区、产业布局、重点企业分布、特征污染物的排放种类和状况、环境敏感目标分布等，建立健全环境空气、地表水、地下水、土壤等环境要素的监控体系。加强对园区周边环境质量的跟踪监测，通过监测数据，检验人工湿地对水污染物的净化处理效果，以优化污水处理厂及人工湿地的运行，促进新墙河和洞庭湖水环境质量的改善</w:t>
                  </w:r>
                </w:p>
              </w:tc>
              <w:tc>
                <w:tcPr>
                  <w:tcW w:w="1210" w:type="pct"/>
                  <w:vAlign w:val="center"/>
                </w:tcPr>
                <w:p w14:paraId="5E76A621">
                  <w:pPr>
                    <w:pStyle w:val="12"/>
                    <w:spacing w:line="240" w:lineRule="auto"/>
                    <w:ind w:firstLine="0" w:firstLineChars="0"/>
                    <w:rPr>
                      <w:b/>
                      <w:bCs/>
                      <w:sz w:val="21"/>
                      <w:szCs w:val="21"/>
                    </w:rPr>
                  </w:pPr>
                  <w:r>
                    <w:rPr>
                      <w:bCs/>
                      <w:sz w:val="21"/>
                      <w:szCs w:val="21"/>
                    </w:rPr>
                    <w:t>项目结合自身行业特点，制定完善的监测计划，并严格执行</w:t>
                  </w:r>
                </w:p>
              </w:tc>
              <w:tc>
                <w:tcPr>
                  <w:tcW w:w="592" w:type="pct"/>
                  <w:vAlign w:val="center"/>
                </w:tcPr>
                <w:p w14:paraId="36BE2348">
                  <w:pPr>
                    <w:pStyle w:val="12"/>
                    <w:spacing w:line="240" w:lineRule="auto"/>
                    <w:ind w:firstLine="0" w:firstLineChars="0"/>
                    <w:rPr>
                      <w:b/>
                      <w:bCs/>
                      <w:sz w:val="21"/>
                      <w:szCs w:val="21"/>
                    </w:rPr>
                  </w:pPr>
                  <w:r>
                    <w:rPr>
                      <w:bCs/>
                      <w:sz w:val="21"/>
                      <w:szCs w:val="21"/>
                    </w:rPr>
                    <w:t>符合</w:t>
                  </w:r>
                </w:p>
              </w:tc>
            </w:tr>
          </w:tbl>
          <w:p w14:paraId="21956363">
            <w:pPr>
              <w:rPr>
                <w:rFonts w:hint="default"/>
                <w:lang w:val="en-US" w:eastAsia="zh-CN"/>
              </w:rPr>
            </w:pPr>
          </w:p>
        </w:tc>
      </w:tr>
      <w:tr w14:paraId="07A37C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116" w:type="pct"/>
            <w:noWrap w:val="0"/>
            <w:vAlign w:val="center"/>
          </w:tcPr>
          <w:p w14:paraId="1DD3BAC5">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color w:val="4874CB" w:themeColor="accent1"/>
                <w:kern w:val="0"/>
                <w:szCs w:val="21"/>
                <w:u w:val="none" w:color="auto"/>
                <w14:textFill>
                  <w14:solidFill>
                    <w14:schemeClr w14:val="accent1"/>
                  </w14:solidFill>
                </w14:textFill>
              </w:rPr>
            </w:pPr>
            <w:r>
              <w:rPr>
                <w:rFonts w:hint="default" w:ascii="Times New Roman" w:hAnsi="Times New Roman" w:eastAsia="宋体" w:cs="Times New Roman"/>
                <w:color w:val="auto"/>
                <w:kern w:val="0"/>
                <w:szCs w:val="21"/>
                <w:u w:val="none" w:color="auto"/>
              </w:rPr>
              <w:t>其他符合性分析</w:t>
            </w:r>
          </w:p>
        </w:tc>
        <w:tc>
          <w:tcPr>
            <w:tcW w:w="3883" w:type="pct"/>
            <w:gridSpan w:val="3"/>
            <w:noWrap w:val="0"/>
            <w:vAlign w:val="center"/>
          </w:tcPr>
          <w:p w14:paraId="5801D2C9">
            <w:pPr>
              <w:pStyle w:val="21"/>
              <w:bidi w:val="0"/>
              <w:rPr>
                <w:rFonts w:hint="default"/>
                <w:color w:val="auto"/>
                <w:lang w:val="en-US" w:eastAsia="zh-CN"/>
              </w:rPr>
            </w:pPr>
            <w:r>
              <w:rPr>
                <w:rFonts w:hint="default"/>
                <w:color w:val="auto"/>
                <w:lang w:val="en-US" w:eastAsia="zh-CN"/>
              </w:rPr>
              <w:t>1、产业政策符合性分析</w:t>
            </w:r>
          </w:p>
          <w:p w14:paraId="4759B7BE">
            <w:pPr>
              <w:pStyle w:val="22"/>
              <w:bidi w:val="0"/>
              <w:rPr>
                <w:rFonts w:hint="eastAsia"/>
                <w:color w:val="auto"/>
                <w:highlight w:val="none"/>
                <w:lang w:val="en-US" w:eastAsia="zh-CN"/>
              </w:rPr>
            </w:pPr>
            <w:r>
              <w:rPr>
                <w:rFonts w:hint="eastAsia"/>
                <w:color w:val="auto"/>
                <w:highlight w:val="none"/>
                <w:lang w:val="en-US" w:eastAsia="zh-CN"/>
              </w:rPr>
              <w:t>本项目为复合肥料和掺混肥料的生产，</w:t>
            </w:r>
            <w:r>
              <w:rPr>
                <w:rFonts w:hint="default"/>
                <w:color w:val="auto"/>
                <w:highlight w:val="none"/>
                <w:lang w:val="en-US" w:eastAsia="zh-CN"/>
              </w:rPr>
              <w:t>对照《产业结构调整指导目录》（2024年本），本项目所属行业和工艺设备不在</w:t>
            </w:r>
            <w:r>
              <w:rPr>
                <w:rFonts w:hint="eastAsia"/>
                <w:color w:val="auto"/>
                <w:highlight w:val="none"/>
                <w:lang w:val="en-US" w:eastAsia="zh-CN"/>
              </w:rPr>
              <w:t>“</w:t>
            </w:r>
            <w:r>
              <w:rPr>
                <w:rFonts w:hint="default"/>
                <w:color w:val="auto"/>
                <w:highlight w:val="none"/>
                <w:lang w:val="en-US" w:eastAsia="zh-CN"/>
              </w:rPr>
              <w:t>限制类</w:t>
            </w:r>
            <w:r>
              <w:rPr>
                <w:rFonts w:hint="eastAsia"/>
                <w:color w:val="auto"/>
                <w:highlight w:val="none"/>
                <w:lang w:val="en-US" w:eastAsia="zh-CN"/>
              </w:rPr>
              <w:t>”</w:t>
            </w:r>
            <w:r>
              <w:rPr>
                <w:rFonts w:hint="default"/>
                <w:color w:val="auto"/>
                <w:highlight w:val="none"/>
                <w:lang w:val="en-US" w:eastAsia="zh-CN"/>
              </w:rPr>
              <w:t>和</w:t>
            </w:r>
            <w:r>
              <w:rPr>
                <w:rFonts w:hint="eastAsia"/>
                <w:color w:val="auto"/>
                <w:highlight w:val="none"/>
                <w:lang w:val="en-US" w:eastAsia="zh-CN"/>
              </w:rPr>
              <w:t>“</w:t>
            </w:r>
            <w:r>
              <w:rPr>
                <w:rFonts w:hint="default"/>
                <w:color w:val="auto"/>
                <w:highlight w:val="none"/>
                <w:lang w:val="en-US" w:eastAsia="zh-CN"/>
              </w:rPr>
              <w:t>淘汰类</w:t>
            </w:r>
            <w:r>
              <w:rPr>
                <w:rFonts w:hint="eastAsia"/>
                <w:color w:val="auto"/>
                <w:highlight w:val="none"/>
                <w:lang w:val="en-US" w:eastAsia="zh-CN"/>
              </w:rPr>
              <w:t>”</w:t>
            </w:r>
            <w:r>
              <w:rPr>
                <w:rFonts w:hint="default"/>
                <w:color w:val="auto"/>
                <w:highlight w:val="none"/>
                <w:lang w:val="en-US" w:eastAsia="zh-CN"/>
              </w:rPr>
              <w:t>之列，因此项目建设符合国家产业政策要求。对照工信部《高耗能落后机电设备（产品）淘汰目录》第一批、第二批、第三批，本项目所用设备不属于其中的淘汰落后设备。同时，本项目已在</w:t>
            </w:r>
            <w:r>
              <w:rPr>
                <w:rFonts w:hint="eastAsia"/>
                <w:color w:val="auto"/>
                <w:highlight w:val="none"/>
                <w:lang w:val="en-US" w:eastAsia="zh-CN"/>
              </w:rPr>
              <w:t>岳阳县</w:t>
            </w:r>
            <w:r>
              <w:rPr>
                <w:rFonts w:hint="default"/>
                <w:color w:val="auto"/>
                <w:highlight w:val="none"/>
                <w:lang w:val="en-US" w:eastAsia="zh-CN"/>
              </w:rPr>
              <w:t>发展和改革委进行了备案</w:t>
            </w:r>
            <w:r>
              <w:rPr>
                <w:rFonts w:hint="eastAsia"/>
                <w:color w:val="auto"/>
                <w:highlight w:val="none"/>
                <w:lang w:val="en-US" w:eastAsia="zh-CN"/>
              </w:rPr>
              <w:t>（详见附件3）。</w:t>
            </w:r>
          </w:p>
          <w:p w14:paraId="2641FEF1">
            <w:pPr>
              <w:pStyle w:val="22"/>
              <w:bidi w:val="0"/>
              <w:rPr>
                <w:rFonts w:hint="default"/>
                <w:color w:val="auto"/>
                <w:highlight w:val="none"/>
                <w:lang w:val="en-US" w:eastAsia="zh-CN"/>
              </w:rPr>
            </w:pPr>
          </w:p>
          <w:p w14:paraId="601285B3">
            <w:pPr>
              <w:pStyle w:val="21"/>
              <w:bidi w:val="0"/>
              <w:rPr>
                <w:rFonts w:hint="default"/>
                <w:color w:val="auto"/>
                <w:lang w:val="en-US" w:eastAsia="zh-CN"/>
              </w:rPr>
            </w:pPr>
            <w:r>
              <w:rPr>
                <w:rFonts w:hint="eastAsia"/>
                <w:color w:val="auto"/>
                <w:lang w:val="en-US" w:eastAsia="zh-CN"/>
              </w:rPr>
              <w:t>2、与生态环境分区管控相符性分析</w:t>
            </w:r>
          </w:p>
          <w:p w14:paraId="24F71C54">
            <w:pPr>
              <w:pStyle w:val="22"/>
              <w:bidi w:val="0"/>
              <w:rPr>
                <w:rFonts w:hint="eastAsia"/>
                <w:color w:val="auto"/>
                <w:u w:val="single"/>
                <w:lang w:val="en-US" w:eastAsia="zh-CN"/>
              </w:rPr>
            </w:pPr>
            <w:r>
              <w:rPr>
                <w:rFonts w:hint="eastAsia"/>
                <w:color w:val="auto"/>
                <w:u w:val="single"/>
                <w:lang w:val="en-US" w:eastAsia="zh-CN"/>
              </w:rPr>
              <w:t>（1）本项目与“三线一单”符合性分析</w:t>
            </w:r>
          </w:p>
          <w:p w14:paraId="5BEE9588">
            <w:pPr>
              <w:pStyle w:val="22"/>
              <w:bidi w:val="0"/>
              <w:rPr>
                <w:rFonts w:hint="eastAsia"/>
                <w:color w:val="auto"/>
                <w:u w:val="single"/>
                <w:lang w:val="en-US" w:eastAsia="zh-CN"/>
              </w:rPr>
            </w:pPr>
            <w:r>
              <w:rPr>
                <w:rFonts w:hint="eastAsia"/>
                <w:color w:val="auto"/>
                <w:u w:val="single"/>
                <w:lang w:val="en-US" w:eastAsia="zh-CN"/>
              </w:rPr>
              <w:t>“三区三线”中“三区”指城镇空间、农业空间、生态空间三种类型的国土空间，“三线”分别对应在城镇空间、农业空间、生态空间划定的城镇开发边界、永久基本农田、生态保护红线三条控制线。</w:t>
            </w:r>
          </w:p>
          <w:p w14:paraId="5C7341A4">
            <w:pPr>
              <w:pStyle w:val="22"/>
              <w:bidi w:val="0"/>
              <w:rPr>
                <w:rFonts w:hint="default"/>
                <w:color w:val="auto"/>
                <w:u w:val="single"/>
                <w:lang w:val="en-US" w:eastAsia="zh-CN"/>
              </w:rPr>
            </w:pPr>
            <w:r>
              <w:rPr>
                <w:rFonts w:hint="eastAsia"/>
                <w:color w:val="auto"/>
                <w:u w:val="single"/>
                <w:lang w:val="en-US" w:eastAsia="zh-CN"/>
              </w:rPr>
              <w:t>本项目位于</w:t>
            </w:r>
            <w:r>
              <w:rPr>
                <w:rFonts w:hint="eastAsia" w:cs="Times New Roman"/>
                <w:color w:val="auto"/>
                <w:u w:val="single" w:color="auto"/>
                <w:lang w:eastAsia="zh-CN"/>
              </w:rPr>
              <w:t>岳阳县高新技术产业开发区</w:t>
            </w:r>
            <w:r>
              <w:rPr>
                <w:rFonts w:hint="eastAsia"/>
                <w:sz w:val="24"/>
                <w:u w:val="single"/>
              </w:rPr>
              <w:t>洪山洞片区</w:t>
            </w:r>
            <w:r>
              <w:rPr>
                <w:rFonts w:hint="eastAsia"/>
                <w:sz w:val="24"/>
                <w:u w:val="single"/>
                <w:lang w:eastAsia="zh-CN"/>
              </w:rPr>
              <w:t>（</w:t>
            </w:r>
            <w:r>
              <w:rPr>
                <w:rFonts w:hint="eastAsia" w:cs="Times New Roman"/>
                <w:color w:val="auto"/>
                <w:u w:val="single" w:color="auto"/>
                <w:lang w:val="en-US" w:eastAsia="zh-CN"/>
              </w:rPr>
              <w:t>长湖工业组团）内，项目用地不涉及生态保护红线、永久基本农田，位于城镇开发边界，与“三区三线”管控要求相符，具备合法建设条件。</w:t>
            </w:r>
          </w:p>
          <w:p w14:paraId="79F19BA1">
            <w:pPr>
              <w:pStyle w:val="22"/>
              <w:bidi w:val="0"/>
              <w:rPr>
                <w:rFonts w:hint="default"/>
                <w:color w:val="auto"/>
                <w:u w:val="single"/>
                <w:lang w:val="en-US" w:eastAsia="zh-CN"/>
              </w:rPr>
            </w:pPr>
            <w:r>
              <w:rPr>
                <w:rFonts w:hint="default"/>
                <w:color w:val="auto"/>
                <w:u w:val="single"/>
                <w:lang w:val="en-US" w:eastAsia="zh-CN"/>
              </w:rPr>
              <w:t>（</w:t>
            </w:r>
            <w:r>
              <w:rPr>
                <w:rFonts w:hint="eastAsia"/>
                <w:color w:val="auto"/>
                <w:u w:val="single"/>
                <w:lang w:val="en-US" w:eastAsia="zh-CN"/>
              </w:rPr>
              <w:t>2</w:t>
            </w:r>
            <w:r>
              <w:rPr>
                <w:rFonts w:hint="default"/>
                <w:color w:val="auto"/>
                <w:u w:val="single"/>
                <w:lang w:val="en-US" w:eastAsia="zh-CN"/>
              </w:rPr>
              <w:t>）</w:t>
            </w:r>
            <w:r>
              <w:rPr>
                <w:rFonts w:hint="eastAsia"/>
                <w:color w:val="auto"/>
                <w:u w:val="single"/>
                <w:lang w:val="en-US" w:eastAsia="zh-CN"/>
              </w:rPr>
              <w:t>与</w:t>
            </w:r>
            <w:r>
              <w:rPr>
                <w:rFonts w:hint="default"/>
                <w:color w:val="auto"/>
                <w:u w:val="single"/>
                <w:lang w:val="en-US" w:eastAsia="zh-CN"/>
              </w:rPr>
              <w:t>生态环境准入清单</w:t>
            </w:r>
            <w:r>
              <w:rPr>
                <w:rFonts w:hint="eastAsia"/>
                <w:color w:val="auto"/>
                <w:u w:val="single"/>
                <w:lang w:val="en-US" w:eastAsia="zh-CN"/>
              </w:rPr>
              <w:t>相符性分析</w:t>
            </w:r>
          </w:p>
          <w:p w14:paraId="3EC9C3D8">
            <w:pPr>
              <w:pStyle w:val="22"/>
              <w:bidi w:val="0"/>
              <w:rPr>
                <w:rFonts w:hint="default"/>
                <w:color w:val="auto"/>
                <w:u w:val="single"/>
                <w:lang w:val="en-US" w:eastAsia="zh-CN"/>
              </w:rPr>
            </w:pPr>
            <w:r>
              <w:rPr>
                <w:rFonts w:hint="default"/>
                <w:color w:val="auto"/>
                <w:u w:val="single"/>
                <w:lang w:val="en-US" w:eastAsia="zh-CN"/>
              </w:rPr>
              <w:t>本项目选址于</w:t>
            </w:r>
            <w:r>
              <w:rPr>
                <w:rFonts w:hint="eastAsia" w:cs="Times New Roman"/>
                <w:color w:val="auto"/>
                <w:u w:val="single" w:color="auto"/>
                <w:lang w:eastAsia="zh-CN"/>
              </w:rPr>
              <w:t>岳阳县高新技术产业开发区</w:t>
            </w:r>
            <w:r>
              <w:rPr>
                <w:rFonts w:hint="eastAsia"/>
                <w:color w:val="auto"/>
                <w:sz w:val="24"/>
                <w:u w:val="single"/>
              </w:rPr>
              <w:t>洪山洞片区</w:t>
            </w:r>
            <w:r>
              <w:rPr>
                <w:rFonts w:hint="default"/>
                <w:color w:val="auto"/>
                <w:u w:val="single"/>
                <w:lang w:val="en-US" w:eastAsia="zh-CN"/>
              </w:rPr>
              <w:t>，根据湖南省生态环境厅发布的《湖南省生态环境分区管控总体管控要求暨省级以上产业园区生态环境准入清单》</w:t>
            </w:r>
            <w:r>
              <w:rPr>
                <w:rFonts w:hint="eastAsia"/>
                <w:color w:val="auto"/>
                <w:u w:val="single"/>
                <w:lang w:val="en-US" w:eastAsia="zh-CN"/>
              </w:rPr>
              <w:t>（</w:t>
            </w:r>
            <w:r>
              <w:rPr>
                <w:rFonts w:hint="eastAsia" w:ascii="宋体" w:hAnsi="宋体" w:eastAsia="宋体" w:cs="宋体"/>
                <w:b w:val="0"/>
                <w:bCs w:val="0"/>
                <w:color w:val="auto"/>
                <w:sz w:val="24"/>
                <w:u w:val="single"/>
                <w:lang w:val="en-US" w:eastAsia="zh-CN"/>
              </w:rPr>
              <w:t>湘环函</w:t>
            </w:r>
            <w:r>
              <w:rPr>
                <w:rFonts w:hint="eastAsia" w:ascii="Times New Roman" w:hAnsi="Times New Roman" w:eastAsia="宋体" w:cs="Times New Roman"/>
                <w:b w:val="0"/>
                <w:bCs w:val="0"/>
                <w:color w:val="auto"/>
                <w:sz w:val="24"/>
                <w:u w:val="single"/>
                <w:lang w:val="en-US" w:eastAsia="zh-CN"/>
              </w:rPr>
              <w:t>[</w:t>
            </w:r>
            <w:r>
              <w:rPr>
                <w:rFonts w:hint="default" w:ascii="Times New Roman" w:hAnsi="Times New Roman" w:eastAsia="宋体" w:cs="Times New Roman"/>
                <w:b w:val="0"/>
                <w:bCs w:val="0"/>
                <w:color w:val="auto"/>
                <w:sz w:val="24"/>
                <w:u w:val="single"/>
                <w:lang w:val="en-US" w:eastAsia="zh-CN"/>
              </w:rPr>
              <w:t>202</w:t>
            </w:r>
            <w:r>
              <w:rPr>
                <w:rFonts w:hint="eastAsia" w:ascii="Times New Roman" w:hAnsi="Times New Roman" w:eastAsia="宋体" w:cs="Times New Roman"/>
                <w:b w:val="0"/>
                <w:bCs w:val="0"/>
                <w:color w:val="auto"/>
                <w:sz w:val="24"/>
                <w:u w:val="single"/>
                <w:lang w:val="en-US" w:eastAsia="zh-CN"/>
              </w:rPr>
              <w:t>4]26号</w:t>
            </w:r>
            <w:r>
              <w:rPr>
                <w:rFonts w:hint="eastAsia"/>
                <w:color w:val="auto"/>
                <w:u w:val="single"/>
                <w:lang w:val="en-US" w:eastAsia="zh-CN"/>
              </w:rPr>
              <w:t>）</w:t>
            </w:r>
            <w:r>
              <w:rPr>
                <w:rFonts w:hint="default"/>
                <w:color w:val="auto"/>
                <w:u w:val="single"/>
                <w:lang w:val="en-US" w:eastAsia="zh-CN"/>
              </w:rPr>
              <w:t>相关内容，本项目符合性分析如下。本项目与生态环境准入清单符合性分析如下</w:t>
            </w:r>
            <w:r>
              <w:rPr>
                <w:rFonts w:hint="eastAsia"/>
                <w:color w:val="auto"/>
                <w:u w:val="single"/>
                <w:lang w:val="en-US" w:eastAsia="zh-CN"/>
              </w:rPr>
              <w:t>。</w:t>
            </w:r>
          </w:p>
          <w:p w14:paraId="63151461">
            <w:pPr>
              <w:pStyle w:val="23"/>
              <w:bidi w:val="0"/>
              <w:rPr>
                <w:rFonts w:hint="default"/>
                <w:color w:val="auto"/>
                <w:u w:val="single" w:color="auto"/>
                <w:lang w:val="en-US" w:eastAsia="zh-CN"/>
              </w:rPr>
            </w:pPr>
            <w:r>
              <w:rPr>
                <w:rFonts w:hint="default"/>
                <w:color w:val="auto"/>
                <w:lang w:val="en-US" w:eastAsia="zh-CN"/>
              </w:rPr>
              <w:t>表1-</w:t>
            </w:r>
            <w:r>
              <w:rPr>
                <w:rFonts w:hint="eastAsia"/>
                <w:color w:val="auto"/>
                <w:lang w:val="en-US" w:eastAsia="zh-CN"/>
              </w:rPr>
              <w:t>3</w:t>
            </w:r>
            <w:r>
              <w:rPr>
                <w:rFonts w:hint="default"/>
                <w:color w:val="auto"/>
                <w:lang w:val="en-US" w:eastAsia="zh-CN"/>
              </w:rPr>
              <w:t xml:space="preserve"> </w:t>
            </w:r>
            <w:r>
              <w:rPr>
                <w:rFonts w:hint="default"/>
                <w:color w:val="auto"/>
                <w:u w:val="single" w:color="auto"/>
                <w:lang w:val="en-US" w:eastAsia="zh-CN"/>
              </w:rPr>
              <w:t>省级以上产业园区生态环境准入清单符合性分析</w:t>
            </w:r>
          </w:p>
          <w:tbl>
            <w:tblPr>
              <w:tblStyle w:val="16"/>
              <w:tblW w:w="62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3240"/>
              <w:gridCol w:w="1661"/>
              <w:gridCol w:w="687"/>
            </w:tblGrid>
            <w:tr w14:paraId="048F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666" w:type="dxa"/>
                  <w:vAlign w:val="center"/>
                </w:tcPr>
                <w:p w14:paraId="2A25461E">
                  <w:pPr>
                    <w:pStyle w:val="24"/>
                    <w:bidi w:val="0"/>
                    <w:jc w:val="center"/>
                    <w:rPr>
                      <w:rFonts w:hint="default"/>
                      <w:color w:val="auto"/>
                      <w:u w:val="single" w:color="auto"/>
                      <w:lang w:val="en-US" w:eastAsia="zh-CN"/>
                    </w:rPr>
                  </w:pPr>
                  <w:r>
                    <w:rPr>
                      <w:rFonts w:hint="eastAsia"/>
                      <w:color w:val="auto"/>
                      <w:u w:val="single" w:color="auto"/>
                      <w:lang w:val="en-US" w:eastAsia="zh-CN"/>
                    </w:rPr>
                    <w:t>管控维度</w:t>
                  </w:r>
                </w:p>
              </w:tc>
              <w:tc>
                <w:tcPr>
                  <w:tcW w:w="3240" w:type="dxa"/>
                  <w:vAlign w:val="center"/>
                </w:tcPr>
                <w:p w14:paraId="64B69140">
                  <w:pPr>
                    <w:pStyle w:val="24"/>
                    <w:bidi w:val="0"/>
                    <w:jc w:val="center"/>
                    <w:rPr>
                      <w:rFonts w:hint="default"/>
                      <w:color w:val="auto"/>
                      <w:u w:val="single" w:color="auto"/>
                      <w:lang w:val="en-US" w:eastAsia="zh-CN"/>
                    </w:rPr>
                  </w:pPr>
                  <w:r>
                    <w:rPr>
                      <w:rFonts w:hint="default"/>
                      <w:color w:val="auto"/>
                      <w:u w:val="single" w:color="auto"/>
                      <w:lang w:val="en-US" w:eastAsia="zh-CN"/>
                    </w:rPr>
                    <w:t>管控要求</w:t>
                  </w:r>
                </w:p>
              </w:tc>
              <w:tc>
                <w:tcPr>
                  <w:tcW w:w="1661" w:type="dxa"/>
                  <w:vAlign w:val="center"/>
                </w:tcPr>
                <w:p w14:paraId="6745D184">
                  <w:pPr>
                    <w:pStyle w:val="24"/>
                    <w:bidi w:val="0"/>
                    <w:jc w:val="center"/>
                    <w:rPr>
                      <w:rFonts w:hint="default"/>
                      <w:color w:val="auto"/>
                      <w:u w:val="single" w:color="auto"/>
                      <w:lang w:val="en-US" w:eastAsia="zh-CN"/>
                    </w:rPr>
                  </w:pPr>
                  <w:r>
                    <w:rPr>
                      <w:rFonts w:hint="default"/>
                      <w:color w:val="auto"/>
                      <w:u w:val="single" w:color="auto"/>
                      <w:lang w:val="en-US" w:eastAsia="zh-CN"/>
                    </w:rPr>
                    <w:t>项目情况</w:t>
                  </w:r>
                </w:p>
              </w:tc>
              <w:tc>
                <w:tcPr>
                  <w:tcW w:w="687" w:type="dxa"/>
                  <w:vAlign w:val="center"/>
                </w:tcPr>
                <w:p w14:paraId="47B5B923">
                  <w:pPr>
                    <w:pStyle w:val="24"/>
                    <w:bidi w:val="0"/>
                    <w:jc w:val="center"/>
                    <w:rPr>
                      <w:rFonts w:hint="default"/>
                      <w:color w:val="auto"/>
                      <w:u w:val="single" w:color="auto"/>
                      <w:lang w:val="en-US" w:eastAsia="zh-CN"/>
                    </w:rPr>
                  </w:pPr>
                  <w:r>
                    <w:rPr>
                      <w:rFonts w:hint="eastAsia"/>
                      <w:color w:val="auto"/>
                      <w:u w:val="single" w:color="auto"/>
                      <w:lang w:val="en-US" w:eastAsia="zh-CN"/>
                    </w:rPr>
                    <w:t>符合性</w:t>
                  </w:r>
                </w:p>
              </w:tc>
            </w:tr>
            <w:tr w14:paraId="2FE13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Merge w:val="restart"/>
                  <w:vAlign w:val="center"/>
                </w:tcPr>
                <w:p w14:paraId="6D5746A4">
                  <w:pPr>
                    <w:pStyle w:val="24"/>
                    <w:bidi w:val="0"/>
                    <w:jc w:val="center"/>
                    <w:rPr>
                      <w:rFonts w:hint="default"/>
                      <w:color w:val="auto"/>
                      <w:u w:val="single" w:color="auto"/>
                      <w:lang w:val="en-US" w:eastAsia="zh-CN"/>
                    </w:rPr>
                  </w:pPr>
                </w:p>
                <w:p w14:paraId="5DA2B055">
                  <w:pPr>
                    <w:pStyle w:val="24"/>
                    <w:bidi w:val="0"/>
                    <w:jc w:val="center"/>
                    <w:rPr>
                      <w:rFonts w:hint="default"/>
                      <w:color w:val="auto"/>
                      <w:u w:val="single" w:color="auto"/>
                      <w:lang w:val="en-US" w:eastAsia="zh-CN"/>
                    </w:rPr>
                  </w:pPr>
                </w:p>
                <w:p w14:paraId="1E55C8AA">
                  <w:pPr>
                    <w:pStyle w:val="24"/>
                    <w:bidi w:val="0"/>
                    <w:jc w:val="center"/>
                    <w:rPr>
                      <w:rFonts w:hint="default"/>
                      <w:color w:val="auto"/>
                      <w:u w:val="single" w:color="auto"/>
                      <w:lang w:val="en-US" w:eastAsia="zh-CN"/>
                    </w:rPr>
                  </w:pPr>
                </w:p>
                <w:p w14:paraId="19604EA4">
                  <w:pPr>
                    <w:pStyle w:val="24"/>
                    <w:bidi w:val="0"/>
                    <w:jc w:val="center"/>
                    <w:rPr>
                      <w:rFonts w:hint="default"/>
                      <w:color w:val="auto"/>
                      <w:u w:val="single" w:color="auto"/>
                      <w:lang w:val="en-US" w:eastAsia="zh-CN"/>
                    </w:rPr>
                  </w:pPr>
                </w:p>
                <w:p w14:paraId="36B2ACB7">
                  <w:pPr>
                    <w:pStyle w:val="24"/>
                    <w:bidi w:val="0"/>
                    <w:jc w:val="center"/>
                    <w:rPr>
                      <w:rFonts w:hint="default"/>
                      <w:color w:val="auto"/>
                      <w:u w:val="single" w:color="auto"/>
                      <w:lang w:val="en-US" w:eastAsia="zh-CN"/>
                    </w:rPr>
                  </w:pPr>
                </w:p>
                <w:p w14:paraId="3DAFCF41">
                  <w:pPr>
                    <w:pStyle w:val="24"/>
                    <w:bidi w:val="0"/>
                    <w:jc w:val="center"/>
                    <w:rPr>
                      <w:rFonts w:hint="default"/>
                      <w:color w:val="auto"/>
                      <w:u w:val="single" w:color="auto"/>
                      <w:lang w:val="en-US" w:eastAsia="zh-CN"/>
                    </w:rPr>
                  </w:pPr>
                </w:p>
                <w:p w14:paraId="59F96D86">
                  <w:pPr>
                    <w:pStyle w:val="24"/>
                    <w:bidi w:val="0"/>
                    <w:jc w:val="both"/>
                    <w:rPr>
                      <w:rFonts w:hint="default"/>
                      <w:color w:val="auto"/>
                      <w:u w:val="single" w:color="auto"/>
                      <w:lang w:val="en-US" w:eastAsia="zh-CN"/>
                    </w:rPr>
                  </w:pPr>
                  <w:r>
                    <w:rPr>
                      <w:rFonts w:hint="default"/>
                      <w:color w:val="auto"/>
                      <w:u w:val="single" w:color="auto"/>
                      <w:lang w:val="en-US" w:eastAsia="zh-CN"/>
                    </w:rPr>
                    <w:t>空间布局约束</w:t>
                  </w:r>
                </w:p>
              </w:tc>
              <w:tc>
                <w:tcPr>
                  <w:tcW w:w="3240" w:type="dxa"/>
                  <w:vAlign w:val="center"/>
                </w:tcPr>
                <w:p w14:paraId="22490304">
                  <w:pPr>
                    <w:pStyle w:val="24"/>
                    <w:bidi w:val="0"/>
                    <w:jc w:val="center"/>
                    <w:rPr>
                      <w:rFonts w:hint="default"/>
                      <w:color w:val="auto"/>
                      <w:u w:val="single" w:color="auto"/>
                      <w:lang w:val="en-US" w:eastAsia="zh-CN"/>
                    </w:rPr>
                  </w:pPr>
                </w:p>
                <w:p w14:paraId="6C8C1A3B">
                  <w:pPr>
                    <w:pStyle w:val="24"/>
                    <w:bidi w:val="0"/>
                    <w:jc w:val="center"/>
                    <w:rPr>
                      <w:rFonts w:hint="default"/>
                      <w:color w:val="auto"/>
                      <w:u w:val="single" w:color="auto"/>
                      <w:lang w:val="en-US" w:eastAsia="zh-CN"/>
                    </w:rPr>
                  </w:pPr>
                </w:p>
                <w:p w14:paraId="34D76FCE">
                  <w:pPr>
                    <w:pStyle w:val="24"/>
                    <w:bidi w:val="0"/>
                    <w:jc w:val="center"/>
                    <w:rPr>
                      <w:rFonts w:hint="default"/>
                      <w:color w:val="auto"/>
                      <w:u w:val="single" w:color="auto"/>
                      <w:lang w:val="en-US" w:eastAsia="zh-CN"/>
                    </w:rPr>
                  </w:pPr>
                  <w:r>
                    <w:rPr>
                      <w:rFonts w:hint="default"/>
                      <w:color w:val="auto"/>
                      <w:u w:val="single" w:color="auto"/>
                      <w:lang w:val="en-US" w:eastAsia="zh-CN"/>
                    </w:rPr>
                    <w:t>（1.1）区块一、区块二（主产业片区）西部生物医药产业区严格限制气型污染为主的企业入驻，并对于已有集中居住区周边工业企业气型污染予以重点控制。</w:t>
                  </w:r>
                </w:p>
                <w:p w14:paraId="20ECA515">
                  <w:pPr>
                    <w:pStyle w:val="24"/>
                    <w:bidi w:val="0"/>
                    <w:jc w:val="center"/>
                    <w:rPr>
                      <w:rFonts w:hint="default"/>
                      <w:color w:val="auto"/>
                      <w:u w:val="single" w:color="auto"/>
                      <w:lang w:val="en-US" w:eastAsia="zh-CN"/>
                    </w:rPr>
                  </w:pPr>
                </w:p>
              </w:tc>
              <w:tc>
                <w:tcPr>
                  <w:tcW w:w="1661" w:type="dxa"/>
                  <w:vAlign w:val="center"/>
                </w:tcPr>
                <w:p w14:paraId="0E5A94DF">
                  <w:pPr>
                    <w:pStyle w:val="24"/>
                    <w:bidi w:val="0"/>
                    <w:jc w:val="center"/>
                    <w:rPr>
                      <w:rFonts w:hint="default"/>
                      <w:color w:val="auto"/>
                      <w:u w:val="single" w:color="auto"/>
                      <w:lang w:val="en-US" w:eastAsia="zh-CN"/>
                    </w:rPr>
                  </w:pPr>
                  <w:r>
                    <w:rPr>
                      <w:rFonts w:hint="eastAsia"/>
                      <w:color w:val="auto"/>
                      <w:u w:val="single" w:color="auto"/>
                      <w:lang w:val="en-US" w:eastAsia="zh-CN"/>
                    </w:rPr>
                    <w:t>本</w:t>
                  </w:r>
                  <w:r>
                    <w:rPr>
                      <w:rFonts w:hint="default"/>
                      <w:color w:val="auto"/>
                      <w:u w:val="single" w:color="auto"/>
                      <w:lang w:val="en-US" w:eastAsia="zh-CN"/>
                    </w:rPr>
                    <w:t>项目为</w:t>
                  </w:r>
                  <w:r>
                    <w:rPr>
                      <w:rFonts w:hint="eastAsia"/>
                      <w:color w:val="auto"/>
                      <w:u w:val="single" w:color="auto"/>
                      <w:lang w:val="en-US" w:eastAsia="zh-CN"/>
                    </w:rPr>
                    <w:t>复合肥料</w:t>
                  </w:r>
                  <w:r>
                    <w:rPr>
                      <w:rFonts w:hint="default"/>
                      <w:color w:val="auto"/>
                      <w:u w:val="single" w:color="auto"/>
                      <w:lang w:val="en-US" w:eastAsia="zh-CN"/>
                    </w:rPr>
                    <w:t>制造，位于区块五（洪山洞片区），</w:t>
                  </w:r>
                  <w:r>
                    <w:rPr>
                      <w:rFonts w:hint="eastAsia"/>
                      <w:color w:val="auto"/>
                      <w:u w:val="single" w:color="auto"/>
                      <w:lang w:val="en-US" w:eastAsia="zh-CN"/>
                    </w:rPr>
                    <w:t>不在区块一、区块二内</w:t>
                  </w:r>
                </w:p>
              </w:tc>
              <w:tc>
                <w:tcPr>
                  <w:tcW w:w="687" w:type="dxa"/>
                  <w:vAlign w:val="center"/>
                </w:tcPr>
                <w:p w14:paraId="2827B5B5">
                  <w:pPr>
                    <w:pStyle w:val="24"/>
                    <w:bidi w:val="0"/>
                    <w:jc w:val="center"/>
                    <w:rPr>
                      <w:rFonts w:hint="eastAsia"/>
                      <w:color w:val="auto"/>
                      <w:u w:val="single" w:color="auto"/>
                      <w:lang w:val="en-US" w:eastAsia="zh-CN"/>
                    </w:rPr>
                  </w:pPr>
                </w:p>
                <w:p w14:paraId="0E16362B">
                  <w:pPr>
                    <w:pStyle w:val="24"/>
                    <w:bidi w:val="0"/>
                    <w:jc w:val="center"/>
                    <w:rPr>
                      <w:rFonts w:hint="eastAsia"/>
                      <w:color w:val="auto"/>
                      <w:u w:val="single" w:color="auto"/>
                      <w:lang w:val="en-US" w:eastAsia="zh-CN"/>
                    </w:rPr>
                  </w:pPr>
                </w:p>
                <w:p w14:paraId="79F4804B">
                  <w:pPr>
                    <w:pStyle w:val="24"/>
                    <w:bidi w:val="0"/>
                    <w:jc w:val="center"/>
                    <w:rPr>
                      <w:rFonts w:hint="eastAsia"/>
                      <w:color w:val="auto"/>
                      <w:u w:val="single" w:color="auto"/>
                      <w:lang w:val="en-US" w:eastAsia="zh-CN"/>
                    </w:rPr>
                  </w:pPr>
                </w:p>
                <w:p w14:paraId="24604CAE">
                  <w:pPr>
                    <w:pStyle w:val="24"/>
                    <w:bidi w:val="0"/>
                    <w:jc w:val="center"/>
                    <w:rPr>
                      <w:rFonts w:hint="eastAsia"/>
                      <w:color w:val="auto"/>
                      <w:u w:val="single" w:color="auto"/>
                      <w:lang w:val="en-US" w:eastAsia="zh-CN"/>
                    </w:rPr>
                  </w:pPr>
                </w:p>
                <w:p w14:paraId="0DC35368">
                  <w:pPr>
                    <w:pStyle w:val="24"/>
                    <w:bidi w:val="0"/>
                    <w:jc w:val="center"/>
                    <w:rPr>
                      <w:rFonts w:hint="default"/>
                      <w:color w:val="auto"/>
                      <w:u w:val="single" w:color="auto"/>
                      <w:lang w:val="en-US" w:eastAsia="zh-CN"/>
                    </w:rPr>
                  </w:pPr>
                  <w:r>
                    <w:rPr>
                      <w:rFonts w:hint="eastAsia"/>
                      <w:color w:val="auto"/>
                      <w:u w:val="single" w:color="auto"/>
                      <w:lang w:val="en-US" w:eastAsia="zh-CN"/>
                    </w:rPr>
                    <w:t>符合</w:t>
                  </w:r>
                </w:p>
              </w:tc>
            </w:tr>
            <w:tr w14:paraId="6B23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Merge w:val="continue"/>
                  <w:vAlign w:val="center"/>
                </w:tcPr>
                <w:p w14:paraId="6E221C79">
                  <w:pPr>
                    <w:pStyle w:val="24"/>
                    <w:bidi w:val="0"/>
                    <w:jc w:val="center"/>
                    <w:rPr>
                      <w:rFonts w:hint="default"/>
                      <w:color w:val="auto"/>
                      <w:u w:val="single" w:color="auto"/>
                      <w:lang w:val="en-US" w:eastAsia="zh-CN"/>
                    </w:rPr>
                  </w:pPr>
                </w:p>
              </w:tc>
              <w:tc>
                <w:tcPr>
                  <w:tcW w:w="3240" w:type="dxa"/>
                  <w:vAlign w:val="center"/>
                </w:tcPr>
                <w:p w14:paraId="6B3C5B59">
                  <w:pPr>
                    <w:pStyle w:val="24"/>
                    <w:bidi w:val="0"/>
                    <w:jc w:val="center"/>
                    <w:rPr>
                      <w:rFonts w:hint="default"/>
                      <w:color w:val="auto"/>
                      <w:u w:val="single" w:color="auto"/>
                      <w:lang w:val="en-US" w:eastAsia="zh-CN"/>
                    </w:rPr>
                  </w:pPr>
                  <w:r>
                    <w:rPr>
                      <w:rFonts w:hint="default"/>
                      <w:color w:val="auto"/>
                      <w:u w:val="single" w:color="auto"/>
                      <w:lang w:val="en-US" w:eastAsia="zh-CN"/>
                    </w:rPr>
                    <w:t>限制在紧临区块三、区块四、区块五（洪山洞片区）东侧布置大气污染较重、工业噪声较大的企业；现状已建的企业需严格按照企业环评及环评批复的要求落实大气、噪声等各项污染物防治措施。</w:t>
                  </w:r>
                </w:p>
              </w:tc>
              <w:tc>
                <w:tcPr>
                  <w:tcW w:w="1661" w:type="dxa"/>
                  <w:vAlign w:val="center"/>
                </w:tcPr>
                <w:p w14:paraId="47B962E0">
                  <w:pPr>
                    <w:pStyle w:val="24"/>
                    <w:bidi w:val="0"/>
                    <w:jc w:val="center"/>
                    <w:rPr>
                      <w:rFonts w:hint="default"/>
                      <w:color w:val="auto"/>
                      <w:u w:val="single" w:color="auto"/>
                      <w:lang w:val="en-US" w:eastAsia="zh-CN"/>
                    </w:rPr>
                  </w:pPr>
                  <w:r>
                    <w:rPr>
                      <w:rFonts w:hint="eastAsia"/>
                      <w:color w:val="auto"/>
                      <w:u w:val="single" w:color="auto"/>
                      <w:lang w:val="en-US" w:eastAsia="zh-CN"/>
                    </w:rPr>
                    <w:t>本</w:t>
                  </w:r>
                  <w:r>
                    <w:rPr>
                      <w:rFonts w:hint="default"/>
                      <w:color w:val="auto"/>
                      <w:u w:val="single" w:color="auto"/>
                      <w:lang w:val="en-US" w:eastAsia="zh-CN"/>
                    </w:rPr>
                    <w:t>项目为</w:t>
                  </w:r>
                  <w:r>
                    <w:rPr>
                      <w:rFonts w:hint="eastAsia"/>
                      <w:color w:val="auto"/>
                      <w:u w:val="single" w:color="auto"/>
                      <w:lang w:val="en-US" w:eastAsia="zh-CN"/>
                    </w:rPr>
                    <w:t>复合肥料</w:t>
                  </w:r>
                  <w:r>
                    <w:rPr>
                      <w:rFonts w:hint="default"/>
                      <w:color w:val="auto"/>
                      <w:u w:val="single" w:color="auto"/>
                      <w:lang w:val="en-US" w:eastAsia="zh-CN"/>
                    </w:rPr>
                    <w:t>制造，位于区块五（洪山洞片区）</w:t>
                  </w:r>
                  <w:r>
                    <w:rPr>
                      <w:rFonts w:hint="eastAsia"/>
                      <w:color w:val="auto"/>
                      <w:u w:val="single" w:color="auto"/>
                      <w:lang w:val="en-US" w:eastAsia="zh-CN"/>
                    </w:rPr>
                    <w:t>西侧，也不为</w:t>
                  </w:r>
                  <w:r>
                    <w:rPr>
                      <w:rFonts w:hint="default"/>
                      <w:color w:val="auto"/>
                      <w:u w:val="single" w:color="auto"/>
                      <w:lang w:val="en-US" w:eastAsia="zh-CN"/>
                    </w:rPr>
                    <w:t>大气污染较重、工业噪声较大的企业</w:t>
                  </w:r>
                </w:p>
              </w:tc>
              <w:tc>
                <w:tcPr>
                  <w:tcW w:w="687" w:type="dxa"/>
                  <w:vAlign w:val="center"/>
                </w:tcPr>
                <w:p w14:paraId="3F7A7BA7">
                  <w:pPr>
                    <w:pStyle w:val="24"/>
                    <w:bidi w:val="0"/>
                    <w:jc w:val="center"/>
                    <w:rPr>
                      <w:rFonts w:hint="default"/>
                      <w:color w:val="auto"/>
                      <w:u w:val="single" w:color="auto"/>
                      <w:lang w:val="en-US" w:eastAsia="zh-CN"/>
                    </w:rPr>
                  </w:pPr>
                  <w:r>
                    <w:rPr>
                      <w:rFonts w:hint="eastAsia"/>
                      <w:color w:val="auto"/>
                      <w:u w:val="single" w:color="auto"/>
                      <w:lang w:val="en-US" w:eastAsia="zh-CN"/>
                    </w:rPr>
                    <w:t>符合</w:t>
                  </w:r>
                </w:p>
              </w:tc>
            </w:tr>
            <w:tr w14:paraId="32594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Merge w:val="restart"/>
                  <w:vAlign w:val="center"/>
                </w:tcPr>
                <w:p w14:paraId="6FA2A70F">
                  <w:pPr>
                    <w:pStyle w:val="24"/>
                    <w:bidi w:val="0"/>
                    <w:jc w:val="center"/>
                    <w:rPr>
                      <w:rFonts w:hint="default"/>
                      <w:color w:val="auto"/>
                      <w:u w:val="single" w:color="auto"/>
                      <w:lang w:val="en-US" w:eastAsia="zh-CN"/>
                    </w:rPr>
                  </w:pPr>
                  <w:r>
                    <w:rPr>
                      <w:rFonts w:hint="default"/>
                      <w:color w:val="auto"/>
                      <w:u w:val="single" w:color="auto"/>
                      <w:lang w:val="en-US" w:eastAsia="zh-CN"/>
                    </w:rPr>
                    <w:t>污染物排放管控</w:t>
                  </w:r>
                </w:p>
              </w:tc>
              <w:tc>
                <w:tcPr>
                  <w:tcW w:w="3240" w:type="dxa"/>
                  <w:vAlign w:val="center"/>
                </w:tcPr>
                <w:p w14:paraId="36B8C7EA">
                  <w:pPr>
                    <w:pStyle w:val="24"/>
                    <w:bidi w:val="0"/>
                    <w:jc w:val="both"/>
                    <w:rPr>
                      <w:rFonts w:hint="eastAsia"/>
                      <w:color w:val="auto"/>
                      <w:u w:val="single" w:color="auto"/>
                      <w:lang w:val="en-US" w:eastAsia="zh-CN"/>
                    </w:rPr>
                  </w:pPr>
                  <w:r>
                    <w:rPr>
                      <w:rFonts w:hint="eastAsia"/>
                      <w:color w:val="auto"/>
                      <w:u w:val="single" w:color="auto"/>
                      <w:lang w:val="en-US" w:eastAsia="zh-CN"/>
                    </w:rPr>
                    <w:t>废水：</w:t>
                  </w:r>
                </w:p>
                <w:p w14:paraId="1545183D">
                  <w:pPr>
                    <w:pStyle w:val="24"/>
                    <w:bidi w:val="0"/>
                    <w:jc w:val="center"/>
                    <w:rPr>
                      <w:rFonts w:hint="eastAsia"/>
                      <w:color w:val="auto"/>
                      <w:u w:val="single" w:color="auto"/>
                      <w:lang w:val="en-US" w:eastAsia="zh-CN"/>
                    </w:rPr>
                  </w:pPr>
                  <w:r>
                    <w:rPr>
                      <w:rFonts w:hint="eastAsia"/>
                      <w:color w:val="auto"/>
                      <w:u w:val="single" w:color="auto"/>
                      <w:lang w:val="en-US" w:eastAsia="zh-CN"/>
                    </w:rPr>
                    <w:t>①高新区实施雨污分流，雨水通过雨水管网收集后排入新墙河。</w:t>
                  </w:r>
                </w:p>
                <w:p w14:paraId="417FE39C">
                  <w:pPr>
                    <w:pStyle w:val="24"/>
                    <w:bidi w:val="0"/>
                    <w:jc w:val="center"/>
                    <w:rPr>
                      <w:rFonts w:hint="default"/>
                      <w:color w:val="auto"/>
                      <w:u w:val="single" w:color="auto"/>
                      <w:lang w:val="en-US" w:eastAsia="zh-CN"/>
                    </w:rPr>
                  </w:pPr>
                  <w:r>
                    <w:rPr>
                      <w:rFonts w:hint="eastAsia"/>
                      <w:color w:val="auto"/>
                      <w:u w:val="single" w:color="auto"/>
                      <w:lang w:val="en-US" w:eastAsia="zh-CN"/>
                    </w:rPr>
                    <w:t>②区块一、区块二（主产业片区）废水经岳阳高新技术产业园区污水处理厂处理达标后排入新墙河。③区块三、区块四、区块五（洪山洞片区）废水经长湖乡污水处理厂处理达标后排入常家大屋河，最终汇入新墙河。④严格限制入园企业的总磷排放浓度，确保污水处理厂的除磷效果。</w:t>
                  </w:r>
                </w:p>
              </w:tc>
              <w:tc>
                <w:tcPr>
                  <w:tcW w:w="1661" w:type="dxa"/>
                  <w:vAlign w:val="center"/>
                </w:tcPr>
                <w:p w14:paraId="1F4CC6D1">
                  <w:pPr>
                    <w:pStyle w:val="24"/>
                    <w:bidi w:val="0"/>
                    <w:jc w:val="center"/>
                    <w:rPr>
                      <w:rFonts w:hint="default"/>
                      <w:color w:val="auto"/>
                      <w:u w:val="single" w:color="auto"/>
                      <w:lang w:val="en-US" w:eastAsia="zh-CN"/>
                    </w:rPr>
                  </w:pPr>
                  <w:r>
                    <w:rPr>
                      <w:rFonts w:hint="eastAsia"/>
                      <w:color w:val="auto"/>
                      <w:u w:val="single" w:color="auto"/>
                      <w:lang w:val="en-US" w:eastAsia="zh-CN"/>
                    </w:rPr>
                    <w:t>本项目已采取雨污分流，雨水通过厂区雨水管网收集后排入新墙河。项目生活污水经生活污水经化粪池处理后排入园区污水管网，最终进入岳阳高新技术产业园区长湖片污水处理厂集中处理。</w:t>
                  </w:r>
                </w:p>
              </w:tc>
              <w:tc>
                <w:tcPr>
                  <w:tcW w:w="687" w:type="dxa"/>
                  <w:vAlign w:val="center"/>
                </w:tcPr>
                <w:p w14:paraId="694D2BC1">
                  <w:pPr>
                    <w:pStyle w:val="24"/>
                    <w:bidi w:val="0"/>
                    <w:jc w:val="center"/>
                    <w:rPr>
                      <w:rFonts w:hint="default"/>
                      <w:color w:val="auto"/>
                      <w:u w:val="single" w:color="auto"/>
                      <w:lang w:val="en-US" w:eastAsia="zh-CN"/>
                    </w:rPr>
                  </w:pPr>
                  <w:r>
                    <w:rPr>
                      <w:rFonts w:hint="eastAsia"/>
                      <w:color w:val="auto"/>
                      <w:u w:val="single" w:color="auto"/>
                      <w:lang w:val="en-US" w:eastAsia="zh-CN"/>
                    </w:rPr>
                    <w:t>符合</w:t>
                  </w:r>
                </w:p>
              </w:tc>
            </w:tr>
            <w:tr w14:paraId="70099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Merge w:val="continue"/>
                  <w:vAlign w:val="center"/>
                </w:tcPr>
                <w:p w14:paraId="4ECA13B7">
                  <w:pPr>
                    <w:pStyle w:val="24"/>
                    <w:bidi w:val="0"/>
                    <w:jc w:val="center"/>
                    <w:rPr>
                      <w:rFonts w:hint="default"/>
                      <w:color w:val="4874CB" w:themeColor="accent1"/>
                      <w:u w:val="single" w:color="auto"/>
                      <w:lang w:val="en-US" w:eastAsia="zh-CN"/>
                      <w14:textFill>
                        <w14:solidFill>
                          <w14:schemeClr w14:val="accent1"/>
                        </w14:solidFill>
                      </w14:textFill>
                    </w:rPr>
                  </w:pPr>
                </w:p>
              </w:tc>
              <w:tc>
                <w:tcPr>
                  <w:tcW w:w="3240" w:type="dxa"/>
                  <w:vAlign w:val="center"/>
                </w:tcPr>
                <w:p w14:paraId="4D885176">
                  <w:pPr>
                    <w:pStyle w:val="24"/>
                    <w:bidi w:val="0"/>
                    <w:jc w:val="center"/>
                    <w:rPr>
                      <w:rFonts w:hint="default"/>
                      <w:color w:val="auto"/>
                      <w:u w:val="single" w:color="auto"/>
                      <w:lang w:val="en-US" w:eastAsia="zh-CN"/>
                    </w:rPr>
                  </w:pPr>
                  <w:r>
                    <w:rPr>
                      <w:rFonts w:hint="default"/>
                      <w:color w:val="auto"/>
                      <w:u w:val="single" w:color="auto"/>
                      <w:lang w:val="en-US" w:eastAsia="zh-CN"/>
                    </w:rPr>
                    <w:t>废气：加快对挥发性有机物排放的治理，加强对重点排放企业的监管，采取有效措施减少污染物排放总量。</w:t>
                  </w:r>
                </w:p>
              </w:tc>
              <w:tc>
                <w:tcPr>
                  <w:tcW w:w="1661" w:type="dxa"/>
                  <w:vAlign w:val="center"/>
                </w:tcPr>
                <w:p w14:paraId="010CD71F">
                  <w:pPr>
                    <w:pStyle w:val="24"/>
                    <w:bidi w:val="0"/>
                    <w:jc w:val="center"/>
                    <w:rPr>
                      <w:rFonts w:hint="default"/>
                      <w:color w:val="auto"/>
                      <w:u w:val="single" w:color="auto"/>
                      <w:lang w:val="en-US" w:eastAsia="zh-CN"/>
                    </w:rPr>
                  </w:pPr>
                  <w:r>
                    <w:rPr>
                      <w:rFonts w:hint="eastAsia"/>
                      <w:color w:val="auto"/>
                      <w:u w:val="single" w:color="auto"/>
                      <w:lang w:val="en-US" w:eastAsia="zh-CN"/>
                    </w:rPr>
                    <w:t>本项目不属于重点排放企业，有机废气排放量较少。</w:t>
                  </w:r>
                </w:p>
              </w:tc>
              <w:tc>
                <w:tcPr>
                  <w:tcW w:w="687" w:type="dxa"/>
                  <w:vAlign w:val="center"/>
                </w:tcPr>
                <w:p w14:paraId="2B3D090D">
                  <w:pPr>
                    <w:pStyle w:val="24"/>
                    <w:bidi w:val="0"/>
                    <w:jc w:val="center"/>
                    <w:rPr>
                      <w:rFonts w:hint="eastAsia"/>
                      <w:color w:val="auto"/>
                      <w:u w:val="single" w:color="auto"/>
                      <w:lang w:val="en-US" w:eastAsia="zh-CN"/>
                    </w:rPr>
                  </w:pPr>
                  <w:r>
                    <w:rPr>
                      <w:rFonts w:hint="eastAsia"/>
                      <w:color w:val="auto"/>
                      <w:u w:val="single" w:color="auto"/>
                      <w:lang w:val="en-US" w:eastAsia="zh-CN"/>
                    </w:rPr>
                    <w:t>符合</w:t>
                  </w:r>
                </w:p>
              </w:tc>
            </w:tr>
            <w:tr w14:paraId="7D3BE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Merge w:val="continue"/>
                  <w:vAlign w:val="center"/>
                </w:tcPr>
                <w:p w14:paraId="03EE5AE1">
                  <w:pPr>
                    <w:pStyle w:val="24"/>
                    <w:bidi w:val="0"/>
                    <w:jc w:val="center"/>
                    <w:rPr>
                      <w:rFonts w:hint="default"/>
                      <w:color w:val="4874CB" w:themeColor="accent1"/>
                      <w:u w:val="single" w:color="auto"/>
                      <w:lang w:val="en-US" w:eastAsia="zh-CN"/>
                      <w14:textFill>
                        <w14:solidFill>
                          <w14:schemeClr w14:val="accent1"/>
                        </w14:solidFill>
                      </w14:textFill>
                    </w:rPr>
                  </w:pPr>
                </w:p>
              </w:tc>
              <w:tc>
                <w:tcPr>
                  <w:tcW w:w="3240" w:type="dxa"/>
                  <w:vAlign w:val="center"/>
                </w:tcPr>
                <w:p w14:paraId="4102BAD7">
                  <w:pPr>
                    <w:pStyle w:val="24"/>
                    <w:bidi w:val="0"/>
                    <w:jc w:val="center"/>
                    <w:rPr>
                      <w:rFonts w:hint="default"/>
                      <w:color w:val="auto"/>
                      <w:u w:val="single" w:color="auto"/>
                      <w:lang w:val="en-US" w:eastAsia="zh-CN"/>
                    </w:rPr>
                  </w:pPr>
                </w:p>
                <w:p w14:paraId="1EE9AB09">
                  <w:pPr>
                    <w:pStyle w:val="24"/>
                    <w:bidi w:val="0"/>
                    <w:jc w:val="center"/>
                    <w:rPr>
                      <w:rFonts w:hint="default"/>
                      <w:color w:val="auto"/>
                      <w:u w:val="single" w:color="auto"/>
                      <w:lang w:val="en-US" w:eastAsia="zh-CN"/>
                    </w:rPr>
                  </w:pPr>
                </w:p>
                <w:p w14:paraId="4CF9A3DA">
                  <w:pPr>
                    <w:pStyle w:val="24"/>
                    <w:bidi w:val="0"/>
                    <w:jc w:val="center"/>
                    <w:rPr>
                      <w:rFonts w:hint="default"/>
                      <w:color w:val="auto"/>
                      <w:u w:val="single" w:color="auto"/>
                      <w:lang w:val="en-US" w:eastAsia="zh-CN"/>
                    </w:rPr>
                  </w:pPr>
                </w:p>
                <w:p w14:paraId="58F88E6C">
                  <w:pPr>
                    <w:pStyle w:val="24"/>
                    <w:bidi w:val="0"/>
                    <w:jc w:val="center"/>
                    <w:rPr>
                      <w:rFonts w:hint="default"/>
                      <w:color w:val="auto"/>
                      <w:u w:val="single" w:color="auto"/>
                      <w:lang w:val="en-US" w:eastAsia="zh-CN"/>
                    </w:rPr>
                  </w:pPr>
                </w:p>
                <w:p w14:paraId="36991DB4">
                  <w:pPr>
                    <w:pStyle w:val="24"/>
                    <w:bidi w:val="0"/>
                    <w:jc w:val="center"/>
                    <w:rPr>
                      <w:rFonts w:hint="default"/>
                      <w:color w:val="auto"/>
                      <w:u w:val="single" w:color="auto"/>
                      <w:lang w:val="en-US" w:eastAsia="zh-CN"/>
                    </w:rPr>
                  </w:pPr>
                </w:p>
                <w:p w14:paraId="2364451E">
                  <w:pPr>
                    <w:pStyle w:val="24"/>
                    <w:bidi w:val="0"/>
                    <w:jc w:val="center"/>
                    <w:rPr>
                      <w:rFonts w:hint="default"/>
                      <w:color w:val="auto"/>
                      <w:u w:val="single" w:color="auto"/>
                      <w:lang w:val="en-US" w:eastAsia="zh-CN"/>
                    </w:rPr>
                  </w:pPr>
                  <w:r>
                    <w:rPr>
                      <w:rFonts w:hint="default"/>
                      <w:color w:val="auto"/>
                      <w:u w:val="single" w:color="auto"/>
                      <w:lang w:val="en-US" w:eastAsia="zh-CN"/>
                    </w:rPr>
                    <w:t>固体废弃物：建立高新区固废规范化管理体系，做好工业固体废物的分类收集、转运、综合利用和无害化处理。对危险废物应严格按照国家有关规定综合利用或妥善处置，对危险废物产生企业和经营单位，应强化日常环境监管。</w:t>
                  </w:r>
                </w:p>
              </w:tc>
              <w:tc>
                <w:tcPr>
                  <w:tcW w:w="1661" w:type="dxa"/>
                  <w:vAlign w:val="center"/>
                </w:tcPr>
                <w:p w14:paraId="3CB0DE5B">
                  <w:pPr>
                    <w:pStyle w:val="24"/>
                    <w:bidi w:val="0"/>
                    <w:jc w:val="center"/>
                    <w:rPr>
                      <w:rFonts w:hint="eastAsia"/>
                      <w:color w:val="auto"/>
                      <w:u w:val="single" w:color="auto"/>
                      <w:lang w:val="en-US" w:eastAsia="zh-CN"/>
                    </w:rPr>
                  </w:pPr>
                  <w:r>
                    <w:rPr>
                      <w:rFonts w:hint="eastAsia"/>
                      <w:color w:val="auto"/>
                      <w:u w:val="single" w:color="auto"/>
                      <w:lang w:val="en-US" w:eastAsia="zh-CN"/>
                    </w:rPr>
                    <w:t>企业已设置一般固废暂存间危险废物暂存间，建立了固</w:t>
                  </w:r>
                </w:p>
                <w:p w14:paraId="1E3BCFE2">
                  <w:pPr>
                    <w:pStyle w:val="24"/>
                    <w:bidi w:val="0"/>
                    <w:jc w:val="center"/>
                    <w:rPr>
                      <w:rFonts w:hint="eastAsia"/>
                      <w:color w:val="auto"/>
                      <w:u w:val="single" w:color="auto"/>
                      <w:lang w:val="en-US" w:eastAsia="zh-CN"/>
                    </w:rPr>
                  </w:pPr>
                  <w:r>
                    <w:rPr>
                      <w:rFonts w:hint="eastAsia"/>
                      <w:color w:val="auto"/>
                      <w:u w:val="single" w:color="auto"/>
                      <w:lang w:val="en-US" w:eastAsia="zh-CN"/>
                    </w:rPr>
                    <w:t>废规范化管理体系，做好了工业固体废物和生活垃圾的分类收集、转运、综合利用和无</w:t>
                  </w:r>
                </w:p>
                <w:p w14:paraId="093FF2F2">
                  <w:pPr>
                    <w:pStyle w:val="24"/>
                    <w:bidi w:val="0"/>
                    <w:jc w:val="center"/>
                    <w:rPr>
                      <w:rFonts w:hint="default"/>
                      <w:color w:val="auto"/>
                      <w:u w:val="single" w:color="auto"/>
                      <w:lang w:val="en-US" w:eastAsia="zh-CN"/>
                    </w:rPr>
                  </w:pPr>
                  <w:r>
                    <w:rPr>
                      <w:rFonts w:hint="eastAsia"/>
                      <w:color w:val="auto"/>
                      <w:u w:val="single" w:color="auto"/>
                      <w:lang w:val="en-US" w:eastAsia="zh-CN"/>
                    </w:rPr>
                    <w:t>害化处理，强化对危险废物产生的日常环境监管。</w:t>
                  </w:r>
                </w:p>
              </w:tc>
              <w:tc>
                <w:tcPr>
                  <w:tcW w:w="687" w:type="dxa"/>
                  <w:vAlign w:val="center"/>
                </w:tcPr>
                <w:p w14:paraId="4CC5D611">
                  <w:pPr>
                    <w:pStyle w:val="24"/>
                    <w:bidi w:val="0"/>
                    <w:jc w:val="center"/>
                    <w:rPr>
                      <w:rFonts w:hint="eastAsia"/>
                      <w:color w:val="auto"/>
                      <w:u w:val="single" w:color="auto"/>
                      <w:lang w:val="en-US" w:eastAsia="zh-CN"/>
                    </w:rPr>
                  </w:pPr>
                  <w:r>
                    <w:rPr>
                      <w:rFonts w:hint="eastAsia"/>
                      <w:color w:val="auto"/>
                      <w:u w:val="single" w:color="auto"/>
                      <w:lang w:val="en-US" w:eastAsia="zh-CN"/>
                    </w:rPr>
                    <w:t>符合</w:t>
                  </w:r>
                </w:p>
              </w:tc>
            </w:tr>
            <w:tr w14:paraId="6E376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Merge w:val="continue"/>
                  <w:vAlign w:val="center"/>
                </w:tcPr>
                <w:p w14:paraId="08131FF0">
                  <w:pPr>
                    <w:pStyle w:val="24"/>
                    <w:bidi w:val="0"/>
                    <w:jc w:val="center"/>
                    <w:rPr>
                      <w:rFonts w:hint="default"/>
                      <w:color w:val="4874CB" w:themeColor="accent1"/>
                      <w:u w:val="single" w:color="auto"/>
                      <w:lang w:val="en-US" w:eastAsia="zh-CN"/>
                      <w14:textFill>
                        <w14:solidFill>
                          <w14:schemeClr w14:val="accent1"/>
                        </w14:solidFill>
                      </w14:textFill>
                    </w:rPr>
                  </w:pPr>
                </w:p>
              </w:tc>
              <w:tc>
                <w:tcPr>
                  <w:tcW w:w="3240" w:type="dxa"/>
                  <w:vAlign w:val="center"/>
                </w:tcPr>
                <w:p w14:paraId="686A2FCC">
                  <w:pPr>
                    <w:pStyle w:val="24"/>
                    <w:bidi w:val="0"/>
                    <w:jc w:val="center"/>
                    <w:rPr>
                      <w:rFonts w:hint="default"/>
                      <w:color w:val="auto"/>
                      <w:u w:val="single" w:color="auto"/>
                      <w:lang w:val="en-US" w:eastAsia="zh-CN"/>
                    </w:rPr>
                  </w:pPr>
                  <w:r>
                    <w:rPr>
                      <w:rFonts w:hint="default"/>
                      <w:color w:val="auto"/>
                      <w:u w:val="single" w:color="auto"/>
                      <w:lang w:val="en-US" w:eastAsia="zh-CN"/>
                    </w:rPr>
                    <w:t>高新区内相关行业污染物排放满足《湖南省生态环境厅关于执行污染物特别排放限值（第一批）的公告》中的要求。</w:t>
                  </w:r>
                </w:p>
              </w:tc>
              <w:tc>
                <w:tcPr>
                  <w:tcW w:w="1661" w:type="dxa"/>
                  <w:vAlign w:val="center"/>
                </w:tcPr>
                <w:p w14:paraId="0E8C7A9A">
                  <w:pPr>
                    <w:pStyle w:val="24"/>
                    <w:bidi w:val="0"/>
                    <w:jc w:val="center"/>
                    <w:rPr>
                      <w:rFonts w:hint="default"/>
                      <w:color w:val="auto"/>
                      <w:u w:val="single" w:color="auto"/>
                      <w:lang w:val="en-US" w:eastAsia="zh-CN"/>
                    </w:rPr>
                  </w:pPr>
                  <w:r>
                    <w:rPr>
                      <w:rFonts w:hint="eastAsia"/>
                      <w:color w:val="auto"/>
                      <w:u w:val="single" w:color="auto"/>
                      <w:lang w:val="en-US" w:eastAsia="zh-CN"/>
                    </w:rPr>
                    <w:t>本项目污染物排放满足</w:t>
                  </w:r>
                  <w:r>
                    <w:rPr>
                      <w:rFonts w:hint="default"/>
                      <w:color w:val="auto"/>
                      <w:u w:val="single" w:color="auto"/>
                      <w:lang w:val="en-US" w:eastAsia="zh-CN"/>
                    </w:rPr>
                    <w:t>《湖南省生态环境厅关于执行污染物特别排放限值（第一批）的公告》</w:t>
                  </w:r>
                  <w:r>
                    <w:rPr>
                      <w:rFonts w:hint="eastAsia"/>
                      <w:color w:val="auto"/>
                      <w:u w:val="single" w:color="auto"/>
                      <w:lang w:val="en-US" w:eastAsia="zh-CN"/>
                    </w:rPr>
                    <w:t>中的要求。</w:t>
                  </w:r>
                </w:p>
              </w:tc>
              <w:tc>
                <w:tcPr>
                  <w:tcW w:w="687" w:type="dxa"/>
                  <w:vAlign w:val="center"/>
                </w:tcPr>
                <w:p w14:paraId="00DBBC69">
                  <w:pPr>
                    <w:pStyle w:val="24"/>
                    <w:bidi w:val="0"/>
                    <w:jc w:val="center"/>
                    <w:rPr>
                      <w:rFonts w:hint="eastAsia"/>
                      <w:color w:val="auto"/>
                      <w:u w:val="single" w:color="auto"/>
                      <w:lang w:val="en-US" w:eastAsia="zh-CN"/>
                    </w:rPr>
                  </w:pPr>
                  <w:r>
                    <w:rPr>
                      <w:rFonts w:hint="eastAsia"/>
                      <w:color w:val="auto"/>
                      <w:u w:val="single" w:color="auto"/>
                      <w:lang w:val="en-US" w:eastAsia="zh-CN"/>
                    </w:rPr>
                    <w:t>符合</w:t>
                  </w:r>
                </w:p>
              </w:tc>
            </w:tr>
            <w:tr w14:paraId="7A94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Merge w:val="restart"/>
                  <w:vAlign w:val="center"/>
                </w:tcPr>
                <w:p w14:paraId="6005D18A">
                  <w:pPr>
                    <w:pStyle w:val="24"/>
                    <w:bidi w:val="0"/>
                    <w:jc w:val="center"/>
                    <w:rPr>
                      <w:rFonts w:hint="default"/>
                      <w:color w:val="auto"/>
                      <w:u w:val="single" w:color="auto"/>
                      <w:lang w:val="en-US" w:eastAsia="zh-CN"/>
                    </w:rPr>
                  </w:pPr>
                  <w:r>
                    <w:rPr>
                      <w:rFonts w:hint="default"/>
                      <w:color w:val="auto"/>
                      <w:u w:val="single" w:color="auto"/>
                      <w:lang w:val="en-US" w:eastAsia="zh-CN"/>
                    </w:rPr>
                    <w:t>环境风险防控</w:t>
                  </w:r>
                </w:p>
              </w:tc>
              <w:tc>
                <w:tcPr>
                  <w:tcW w:w="3240" w:type="dxa"/>
                  <w:vAlign w:val="center"/>
                </w:tcPr>
                <w:p w14:paraId="17039E94">
                  <w:pPr>
                    <w:pStyle w:val="24"/>
                    <w:bidi w:val="0"/>
                    <w:jc w:val="center"/>
                    <w:rPr>
                      <w:rFonts w:hint="default"/>
                      <w:color w:val="auto"/>
                      <w:u w:val="single" w:color="auto"/>
                      <w:lang w:val="en-US" w:eastAsia="zh-CN"/>
                    </w:rPr>
                  </w:pPr>
                  <w:r>
                    <w:rPr>
                      <w:rFonts w:hint="default"/>
                      <w:color w:val="auto"/>
                      <w:u w:val="single" w:color="auto"/>
                      <w:lang w:val="en-US" w:eastAsia="zh-CN"/>
                    </w:rPr>
                    <w:t>高新区各区块须建立健全环境风险防控体系，严格落实《岳阳高新技术产业园区突发环境事件应急预案》的相关要求，严防环境风险事故发生，提高应急处置能力。</w:t>
                  </w:r>
                </w:p>
              </w:tc>
              <w:tc>
                <w:tcPr>
                  <w:tcW w:w="1661" w:type="dxa"/>
                  <w:vAlign w:val="center"/>
                </w:tcPr>
                <w:p w14:paraId="7F955995">
                  <w:pPr>
                    <w:pStyle w:val="24"/>
                    <w:bidi w:val="0"/>
                    <w:jc w:val="center"/>
                    <w:rPr>
                      <w:rFonts w:hint="default"/>
                      <w:color w:val="auto"/>
                      <w:u w:val="single" w:color="auto"/>
                      <w:lang w:val="en-US" w:eastAsia="zh-CN"/>
                    </w:rPr>
                  </w:pPr>
                  <w:r>
                    <w:rPr>
                      <w:rFonts w:hint="eastAsia"/>
                      <w:color w:val="auto"/>
                      <w:u w:val="single" w:color="auto"/>
                      <w:lang w:val="en-US" w:eastAsia="zh-CN"/>
                    </w:rPr>
                    <w:t>本项目严格</w:t>
                  </w:r>
                  <w:r>
                    <w:rPr>
                      <w:rFonts w:hint="default"/>
                      <w:color w:val="auto"/>
                      <w:u w:val="single" w:color="auto"/>
                      <w:lang w:val="en-US" w:eastAsia="zh-CN"/>
                    </w:rPr>
                    <w:t>落实《岳阳高新</w:t>
                  </w:r>
                </w:p>
                <w:p w14:paraId="6A031A04">
                  <w:pPr>
                    <w:pStyle w:val="24"/>
                    <w:bidi w:val="0"/>
                    <w:jc w:val="center"/>
                    <w:rPr>
                      <w:rFonts w:hint="default"/>
                      <w:color w:val="auto"/>
                      <w:u w:val="single" w:color="auto"/>
                      <w:lang w:val="en-US" w:eastAsia="zh-CN"/>
                    </w:rPr>
                  </w:pPr>
                  <w:r>
                    <w:rPr>
                      <w:rFonts w:hint="default"/>
                      <w:color w:val="auto"/>
                      <w:u w:val="single" w:color="auto"/>
                      <w:lang w:val="en-US" w:eastAsia="zh-CN"/>
                    </w:rPr>
                    <w:t>技术产业园区突发环境事件应急预案》的相关要求。</w:t>
                  </w:r>
                </w:p>
              </w:tc>
              <w:tc>
                <w:tcPr>
                  <w:tcW w:w="687" w:type="dxa"/>
                  <w:vAlign w:val="center"/>
                </w:tcPr>
                <w:p w14:paraId="7CCC8401">
                  <w:pPr>
                    <w:pStyle w:val="24"/>
                    <w:bidi w:val="0"/>
                    <w:jc w:val="center"/>
                    <w:rPr>
                      <w:rFonts w:hint="default"/>
                      <w:color w:val="auto"/>
                      <w:u w:val="single" w:color="auto"/>
                      <w:lang w:val="en-US" w:eastAsia="zh-CN"/>
                    </w:rPr>
                  </w:pPr>
                  <w:r>
                    <w:rPr>
                      <w:rFonts w:hint="eastAsia"/>
                      <w:color w:val="auto"/>
                      <w:u w:val="single" w:color="auto"/>
                      <w:lang w:val="en-US" w:eastAsia="zh-CN"/>
                    </w:rPr>
                    <w:t>符合</w:t>
                  </w:r>
                </w:p>
              </w:tc>
            </w:tr>
            <w:tr w14:paraId="26E76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Merge w:val="continue"/>
                  <w:vAlign w:val="center"/>
                </w:tcPr>
                <w:p w14:paraId="3EEED21D">
                  <w:pPr>
                    <w:pStyle w:val="24"/>
                    <w:bidi w:val="0"/>
                    <w:jc w:val="center"/>
                    <w:rPr>
                      <w:rFonts w:hint="default"/>
                      <w:color w:val="4874CB" w:themeColor="accent1"/>
                      <w:u w:val="single" w:color="auto"/>
                      <w:lang w:val="en-US" w:eastAsia="zh-CN"/>
                      <w14:textFill>
                        <w14:solidFill>
                          <w14:schemeClr w14:val="accent1"/>
                        </w14:solidFill>
                      </w14:textFill>
                    </w:rPr>
                  </w:pPr>
                </w:p>
              </w:tc>
              <w:tc>
                <w:tcPr>
                  <w:tcW w:w="3240" w:type="dxa"/>
                  <w:vAlign w:val="center"/>
                </w:tcPr>
                <w:p w14:paraId="3EB40A92">
                  <w:pPr>
                    <w:pStyle w:val="24"/>
                    <w:bidi w:val="0"/>
                    <w:jc w:val="center"/>
                    <w:rPr>
                      <w:rFonts w:hint="default"/>
                      <w:color w:val="auto"/>
                      <w:u w:val="single" w:color="auto"/>
                      <w:lang w:val="en-US" w:eastAsia="zh-CN"/>
                    </w:rPr>
                  </w:pPr>
                  <w:r>
                    <w:rPr>
                      <w:rFonts w:hint="default"/>
                      <w:color w:val="auto"/>
                      <w:u w:val="single" w:color="auto"/>
                      <w:lang w:val="en-US" w:eastAsia="zh-CN"/>
                    </w:rPr>
                    <w:t>高新区可能发生突发环境事件的污染物排放企业，生产、储存、运输、使用危险化学品的企业，产生、收集、贮存、运输、利用、处置危险废物的企业等应当编制和实施环境应急预案；鼓励其他企业制定单独的环境应急预案，或在突发事件应急预案中制定环境应急预案专章，并备案。</w:t>
                  </w:r>
                </w:p>
              </w:tc>
              <w:tc>
                <w:tcPr>
                  <w:tcW w:w="1661" w:type="dxa"/>
                  <w:vAlign w:val="center"/>
                </w:tcPr>
                <w:p w14:paraId="2B1960B7">
                  <w:pPr>
                    <w:pStyle w:val="24"/>
                    <w:bidi w:val="0"/>
                    <w:jc w:val="center"/>
                    <w:rPr>
                      <w:rFonts w:hint="default"/>
                      <w:color w:val="auto"/>
                      <w:u w:val="single" w:color="auto"/>
                      <w:lang w:val="en-US" w:eastAsia="zh-CN"/>
                    </w:rPr>
                  </w:pPr>
                  <w:r>
                    <w:rPr>
                      <w:rFonts w:hint="default"/>
                      <w:color w:val="auto"/>
                      <w:u w:val="single" w:color="auto"/>
                      <w:lang w:val="en-US" w:eastAsia="zh-CN"/>
                    </w:rPr>
                    <w:t>按照相关要求，项目建设完成后对现有突发</w:t>
                  </w:r>
                </w:p>
                <w:p w14:paraId="6CF9419E">
                  <w:pPr>
                    <w:pStyle w:val="24"/>
                    <w:bidi w:val="0"/>
                    <w:jc w:val="center"/>
                    <w:rPr>
                      <w:rFonts w:hint="default"/>
                      <w:color w:val="auto"/>
                      <w:u w:val="single" w:color="auto"/>
                      <w:lang w:val="en-US" w:eastAsia="zh-CN"/>
                    </w:rPr>
                  </w:pPr>
                  <w:r>
                    <w:rPr>
                      <w:rFonts w:hint="default"/>
                      <w:color w:val="auto"/>
                      <w:u w:val="single" w:color="auto"/>
                      <w:lang w:val="en-US" w:eastAsia="zh-CN"/>
                    </w:rPr>
                    <w:t>环境事件应急预案进行修编并备案。</w:t>
                  </w:r>
                </w:p>
              </w:tc>
              <w:tc>
                <w:tcPr>
                  <w:tcW w:w="687" w:type="dxa"/>
                  <w:vAlign w:val="center"/>
                </w:tcPr>
                <w:p w14:paraId="236989A2">
                  <w:pPr>
                    <w:pStyle w:val="24"/>
                    <w:bidi w:val="0"/>
                    <w:jc w:val="center"/>
                    <w:rPr>
                      <w:rFonts w:hint="eastAsia"/>
                      <w:color w:val="auto"/>
                      <w:u w:val="single" w:color="auto"/>
                      <w:lang w:val="en-US" w:eastAsia="zh-CN"/>
                    </w:rPr>
                  </w:pPr>
                  <w:r>
                    <w:rPr>
                      <w:rFonts w:hint="eastAsia"/>
                      <w:color w:val="auto"/>
                      <w:u w:val="single" w:color="auto"/>
                      <w:lang w:val="en-US" w:eastAsia="zh-CN"/>
                    </w:rPr>
                    <w:t>符合</w:t>
                  </w:r>
                </w:p>
              </w:tc>
            </w:tr>
            <w:tr w14:paraId="47CB4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Merge w:val="continue"/>
                  <w:vAlign w:val="center"/>
                </w:tcPr>
                <w:p w14:paraId="113004A2">
                  <w:pPr>
                    <w:pStyle w:val="24"/>
                    <w:bidi w:val="0"/>
                    <w:jc w:val="center"/>
                    <w:rPr>
                      <w:rFonts w:hint="default"/>
                      <w:color w:val="4874CB" w:themeColor="accent1"/>
                      <w:u w:val="single" w:color="auto"/>
                      <w:lang w:val="en-US" w:eastAsia="zh-CN"/>
                      <w14:textFill>
                        <w14:solidFill>
                          <w14:schemeClr w14:val="accent1"/>
                        </w14:solidFill>
                      </w14:textFill>
                    </w:rPr>
                  </w:pPr>
                </w:p>
              </w:tc>
              <w:tc>
                <w:tcPr>
                  <w:tcW w:w="3240" w:type="dxa"/>
                  <w:vAlign w:val="center"/>
                </w:tcPr>
                <w:p w14:paraId="7E3E524C">
                  <w:pPr>
                    <w:pStyle w:val="24"/>
                    <w:bidi w:val="0"/>
                    <w:jc w:val="center"/>
                    <w:rPr>
                      <w:rFonts w:hint="default"/>
                      <w:color w:val="auto"/>
                      <w:u w:val="single" w:color="auto"/>
                      <w:lang w:val="en-US" w:eastAsia="zh-CN"/>
                    </w:rPr>
                  </w:pPr>
                  <w:r>
                    <w:rPr>
                      <w:rFonts w:hint="default"/>
                      <w:color w:val="auto"/>
                      <w:u w:val="single" w:color="auto"/>
                      <w:lang w:val="en-US" w:eastAsia="zh-CN"/>
                    </w:rPr>
                    <w:t>建设用地土壤风险防控：加强土壤污染源头防控，开展重点行业土壤污染防治，加强土壤污染重点监管单位环境管理，制定土壤污染隐患排查计划，落实土壤环境监督性监测任务。</w:t>
                  </w:r>
                </w:p>
              </w:tc>
              <w:tc>
                <w:tcPr>
                  <w:tcW w:w="1661" w:type="dxa"/>
                  <w:vAlign w:val="center"/>
                </w:tcPr>
                <w:p w14:paraId="7A7D1269">
                  <w:pPr>
                    <w:pStyle w:val="24"/>
                    <w:bidi w:val="0"/>
                    <w:jc w:val="center"/>
                    <w:rPr>
                      <w:rFonts w:hint="default"/>
                      <w:color w:val="auto"/>
                      <w:u w:val="single" w:color="auto"/>
                      <w:lang w:val="en-US" w:eastAsia="zh-CN"/>
                    </w:rPr>
                  </w:pPr>
                  <w:r>
                    <w:rPr>
                      <w:rFonts w:hint="eastAsia"/>
                      <w:color w:val="auto"/>
                      <w:u w:val="single" w:color="auto"/>
                      <w:lang w:val="en-US" w:eastAsia="zh-CN"/>
                    </w:rPr>
                    <w:t>项目在施工期间采用合规设备及合规方式进行建设，加强施工期土壤污染管理和风险防控</w:t>
                  </w:r>
                </w:p>
              </w:tc>
              <w:tc>
                <w:tcPr>
                  <w:tcW w:w="687" w:type="dxa"/>
                  <w:vAlign w:val="center"/>
                </w:tcPr>
                <w:p w14:paraId="43572220">
                  <w:pPr>
                    <w:pStyle w:val="24"/>
                    <w:bidi w:val="0"/>
                    <w:jc w:val="center"/>
                    <w:rPr>
                      <w:rFonts w:hint="eastAsia"/>
                      <w:color w:val="auto"/>
                      <w:u w:val="single" w:color="auto"/>
                      <w:lang w:val="en-US" w:eastAsia="zh-CN"/>
                    </w:rPr>
                  </w:pPr>
                  <w:r>
                    <w:rPr>
                      <w:rFonts w:hint="eastAsia"/>
                      <w:color w:val="auto"/>
                      <w:u w:val="single" w:color="auto"/>
                      <w:lang w:val="en-US" w:eastAsia="zh-CN"/>
                    </w:rPr>
                    <w:t>符合</w:t>
                  </w:r>
                </w:p>
              </w:tc>
            </w:tr>
            <w:tr w14:paraId="4FE65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Merge w:val="restart"/>
                  <w:vAlign w:val="center"/>
                </w:tcPr>
                <w:p w14:paraId="5A7CB654">
                  <w:pPr>
                    <w:pStyle w:val="24"/>
                    <w:bidi w:val="0"/>
                    <w:jc w:val="center"/>
                    <w:rPr>
                      <w:rFonts w:hint="default"/>
                      <w:color w:val="4874CB" w:themeColor="accent1"/>
                      <w:u w:val="single" w:color="auto"/>
                      <w:lang w:val="en-US" w:eastAsia="zh-CN"/>
                      <w14:textFill>
                        <w14:solidFill>
                          <w14:schemeClr w14:val="accent1"/>
                        </w14:solidFill>
                      </w14:textFill>
                    </w:rPr>
                  </w:pPr>
                </w:p>
                <w:p w14:paraId="028CBBAE">
                  <w:pPr>
                    <w:pStyle w:val="24"/>
                    <w:bidi w:val="0"/>
                    <w:jc w:val="center"/>
                    <w:rPr>
                      <w:rFonts w:hint="default"/>
                      <w:color w:val="4874CB" w:themeColor="accent1"/>
                      <w:u w:val="single" w:color="auto"/>
                      <w:lang w:val="en-US" w:eastAsia="zh-CN"/>
                      <w14:textFill>
                        <w14:solidFill>
                          <w14:schemeClr w14:val="accent1"/>
                        </w14:solidFill>
                      </w14:textFill>
                    </w:rPr>
                  </w:pPr>
                </w:p>
                <w:p w14:paraId="2602CA22">
                  <w:pPr>
                    <w:pStyle w:val="24"/>
                    <w:bidi w:val="0"/>
                    <w:jc w:val="center"/>
                    <w:rPr>
                      <w:rFonts w:hint="default"/>
                      <w:color w:val="4874CB" w:themeColor="accent1"/>
                      <w:u w:val="single" w:color="auto"/>
                      <w:lang w:val="en-US" w:eastAsia="zh-CN"/>
                      <w14:textFill>
                        <w14:solidFill>
                          <w14:schemeClr w14:val="accent1"/>
                        </w14:solidFill>
                      </w14:textFill>
                    </w:rPr>
                  </w:pPr>
                </w:p>
                <w:p w14:paraId="7831E6C0">
                  <w:pPr>
                    <w:pStyle w:val="24"/>
                    <w:bidi w:val="0"/>
                    <w:jc w:val="center"/>
                    <w:rPr>
                      <w:rFonts w:hint="default"/>
                      <w:color w:val="4874CB" w:themeColor="accent1"/>
                      <w:u w:val="single" w:color="auto"/>
                      <w:lang w:val="en-US" w:eastAsia="zh-CN"/>
                      <w14:textFill>
                        <w14:solidFill>
                          <w14:schemeClr w14:val="accent1"/>
                        </w14:solidFill>
                      </w14:textFill>
                    </w:rPr>
                  </w:pPr>
                </w:p>
                <w:p w14:paraId="5EA9250F">
                  <w:pPr>
                    <w:pStyle w:val="24"/>
                    <w:bidi w:val="0"/>
                    <w:jc w:val="center"/>
                    <w:rPr>
                      <w:rFonts w:hint="default"/>
                      <w:color w:val="4874CB" w:themeColor="accent1"/>
                      <w:u w:val="single" w:color="auto"/>
                      <w:lang w:val="en-US" w:eastAsia="zh-CN"/>
                      <w14:textFill>
                        <w14:solidFill>
                          <w14:schemeClr w14:val="accent1"/>
                        </w14:solidFill>
                      </w14:textFill>
                    </w:rPr>
                  </w:pPr>
                </w:p>
                <w:p w14:paraId="76551208">
                  <w:pPr>
                    <w:pStyle w:val="24"/>
                    <w:bidi w:val="0"/>
                    <w:jc w:val="center"/>
                    <w:rPr>
                      <w:rFonts w:hint="default"/>
                      <w:color w:val="4874CB" w:themeColor="accent1"/>
                      <w:u w:val="single" w:color="auto"/>
                      <w:lang w:val="en-US" w:eastAsia="zh-CN"/>
                      <w14:textFill>
                        <w14:solidFill>
                          <w14:schemeClr w14:val="accent1"/>
                        </w14:solidFill>
                      </w14:textFill>
                    </w:rPr>
                  </w:pPr>
                </w:p>
                <w:p w14:paraId="418F8056">
                  <w:pPr>
                    <w:pStyle w:val="24"/>
                    <w:bidi w:val="0"/>
                    <w:jc w:val="center"/>
                    <w:rPr>
                      <w:rFonts w:hint="default"/>
                      <w:color w:val="4874CB" w:themeColor="accent1"/>
                      <w:u w:val="single" w:color="auto"/>
                      <w:lang w:val="en-US" w:eastAsia="zh-CN"/>
                      <w14:textFill>
                        <w14:solidFill>
                          <w14:schemeClr w14:val="accent1"/>
                        </w14:solidFill>
                      </w14:textFill>
                    </w:rPr>
                  </w:pPr>
                </w:p>
                <w:p w14:paraId="20F5DB1C">
                  <w:pPr>
                    <w:pStyle w:val="24"/>
                    <w:bidi w:val="0"/>
                    <w:jc w:val="center"/>
                    <w:rPr>
                      <w:rFonts w:hint="default"/>
                      <w:color w:val="4874CB" w:themeColor="accent1"/>
                      <w:u w:val="single" w:color="auto"/>
                      <w:lang w:val="en-US" w:eastAsia="zh-CN"/>
                      <w14:textFill>
                        <w14:solidFill>
                          <w14:schemeClr w14:val="accent1"/>
                        </w14:solidFill>
                      </w14:textFill>
                    </w:rPr>
                  </w:pPr>
                </w:p>
                <w:p w14:paraId="6E89E2E2">
                  <w:pPr>
                    <w:pStyle w:val="24"/>
                    <w:bidi w:val="0"/>
                    <w:jc w:val="center"/>
                    <w:rPr>
                      <w:rFonts w:hint="default"/>
                      <w:color w:val="4874CB" w:themeColor="accent1"/>
                      <w:u w:val="single" w:color="auto"/>
                      <w:lang w:val="en-US" w:eastAsia="zh-CN"/>
                      <w14:textFill>
                        <w14:solidFill>
                          <w14:schemeClr w14:val="accent1"/>
                        </w14:solidFill>
                      </w14:textFill>
                    </w:rPr>
                  </w:pPr>
                </w:p>
                <w:p w14:paraId="369DAD5A">
                  <w:pPr>
                    <w:pStyle w:val="24"/>
                    <w:bidi w:val="0"/>
                    <w:jc w:val="center"/>
                    <w:rPr>
                      <w:rFonts w:hint="default"/>
                      <w:color w:val="4874CB" w:themeColor="accent1"/>
                      <w:u w:val="single" w:color="auto"/>
                      <w:lang w:val="en-US" w:eastAsia="zh-CN"/>
                      <w14:textFill>
                        <w14:solidFill>
                          <w14:schemeClr w14:val="accent1"/>
                        </w14:solidFill>
                      </w14:textFill>
                    </w:rPr>
                  </w:pPr>
                  <w:r>
                    <w:rPr>
                      <w:rFonts w:hint="default"/>
                      <w:color w:val="auto"/>
                      <w:u w:val="single" w:color="auto"/>
                      <w:lang w:val="en-US" w:eastAsia="zh-CN"/>
                    </w:rPr>
                    <w:t>资源开发要求</w:t>
                  </w:r>
                </w:p>
              </w:tc>
              <w:tc>
                <w:tcPr>
                  <w:tcW w:w="3240" w:type="dxa"/>
                  <w:vAlign w:val="center"/>
                </w:tcPr>
                <w:p w14:paraId="2ACC7770">
                  <w:pPr>
                    <w:pStyle w:val="24"/>
                    <w:bidi w:val="0"/>
                    <w:jc w:val="center"/>
                    <w:rPr>
                      <w:rFonts w:hint="default"/>
                      <w:color w:val="auto"/>
                      <w:u w:val="single" w:color="auto"/>
                      <w:lang w:val="en-US" w:eastAsia="zh-CN"/>
                    </w:rPr>
                  </w:pPr>
                  <w:r>
                    <w:rPr>
                      <w:rFonts w:hint="default"/>
                      <w:color w:val="auto"/>
                      <w:u w:val="single" w:color="auto"/>
                      <w:lang w:val="en-US" w:eastAsia="zh-CN"/>
                    </w:rPr>
                    <w:t>能源：推动高新区能源系统整体优化和污染综合整治，鼓励工业企业、园区优先利用可再生能源。2025年区域综合能耗消费量预测当量值为596900吨标煤，区域单位GDP能耗预测值为0.497吨标煤/万元，区域</w:t>
                  </w:r>
                  <w:r>
                    <w:rPr>
                      <w:rFonts w:hint="eastAsia"/>
                      <w:color w:val="auto"/>
                      <w:u w:val="single" w:color="auto"/>
                      <w:lang w:val="en-US" w:eastAsia="zh-CN"/>
                    </w:rPr>
                    <w:t>“</w:t>
                  </w:r>
                  <w:r>
                    <w:rPr>
                      <w:rFonts w:hint="default"/>
                      <w:color w:val="auto"/>
                      <w:u w:val="single" w:color="auto"/>
                      <w:lang w:val="en-US" w:eastAsia="zh-CN"/>
                    </w:rPr>
                    <w:t>十四五</w:t>
                  </w:r>
                  <w:r>
                    <w:rPr>
                      <w:rFonts w:hint="eastAsia"/>
                      <w:color w:val="auto"/>
                      <w:u w:val="single" w:color="auto"/>
                      <w:lang w:val="en-US" w:eastAsia="zh-CN"/>
                    </w:rPr>
                    <w:t>”</w:t>
                  </w:r>
                  <w:r>
                    <w:rPr>
                      <w:rFonts w:hint="default"/>
                      <w:color w:val="auto"/>
                      <w:u w:val="single" w:color="auto"/>
                      <w:lang w:val="en-US" w:eastAsia="zh-CN"/>
                    </w:rPr>
                    <w:t>时期能源消耗增量控制在113500吨标煤。</w:t>
                  </w:r>
                </w:p>
              </w:tc>
              <w:tc>
                <w:tcPr>
                  <w:tcW w:w="1661" w:type="dxa"/>
                  <w:vAlign w:val="center"/>
                </w:tcPr>
                <w:p w14:paraId="0EB9D0B8">
                  <w:pPr>
                    <w:pStyle w:val="24"/>
                    <w:bidi w:val="0"/>
                    <w:jc w:val="center"/>
                    <w:rPr>
                      <w:rFonts w:hint="default"/>
                      <w:color w:val="auto"/>
                      <w:u w:val="single" w:color="auto"/>
                      <w:lang w:val="en-US" w:eastAsia="zh-CN"/>
                    </w:rPr>
                  </w:pPr>
                  <w:r>
                    <w:rPr>
                      <w:rFonts w:hint="eastAsia"/>
                      <w:color w:val="auto"/>
                      <w:u w:val="single" w:color="auto"/>
                      <w:lang w:val="en-US" w:eastAsia="zh-CN"/>
                    </w:rPr>
                    <w:t>主要采取园区内湖南金力泰新材料科技有限公司的余热供热，设轻质柴油（0#）热风炉备用供热</w:t>
                  </w:r>
                </w:p>
              </w:tc>
              <w:tc>
                <w:tcPr>
                  <w:tcW w:w="687" w:type="dxa"/>
                  <w:vAlign w:val="center"/>
                </w:tcPr>
                <w:p w14:paraId="19A958EF">
                  <w:pPr>
                    <w:pStyle w:val="24"/>
                    <w:bidi w:val="0"/>
                    <w:jc w:val="center"/>
                    <w:rPr>
                      <w:rFonts w:hint="default"/>
                      <w:color w:val="auto"/>
                      <w:u w:val="single" w:color="auto"/>
                      <w:lang w:val="en-US" w:eastAsia="zh-CN"/>
                    </w:rPr>
                  </w:pPr>
                  <w:r>
                    <w:rPr>
                      <w:rFonts w:hint="eastAsia"/>
                      <w:color w:val="auto"/>
                      <w:u w:val="single" w:color="auto"/>
                      <w:lang w:val="en-US" w:eastAsia="zh-CN"/>
                    </w:rPr>
                    <w:t>符合</w:t>
                  </w:r>
                </w:p>
              </w:tc>
            </w:tr>
            <w:tr w14:paraId="31B50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Merge w:val="continue"/>
                  <w:vAlign w:val="center"/>
                </w:tcPr>
                <w:p w14:paraId="1A302F42">
                  <w:pPr>
                    <w:pStyle w:val="24"/>
                    <w:bidi w:val="0"/>
                    <w:jc w:val="center"/>
                    <w:rPr>
                      <w:rFonts w:hint="default"/>
                      <w:color w:val="4874CB" w:themeColor="accent1"/>
                      <w:u w:val="single" w:color="auto"/>
                      <w:lang w:val="en-US" w:eastAsia="zh-CN"/>
                      <w14:textFill>
                        <w14:solidFill>
                          <w14:schemeClr w14:val="accent1"/>
                        </w14:solidFill>
                      </w14:textFill>
                    </w:rPr>
                  </w:pPr>
                </w:p>
              </w:tc>
              <w:tc>
                <w:tcPr>
                  <w:tcW w:w="3240" w:type="dxa"/>
                  <w:vAlign w:val="center"/>
                </w:tcPr>
                <w:p w14:paraId="20352DFE">
                  <w:pPr>
                    <w:pStyle w:val="24"/>
                    <w:bidi w:val="0"/>
                    <w:jc w:val="center"/>
                    <w:rPr>
                      <w:rFonts w:hint="default"/>
                      <w:color w:val="auto"/>
                      <w:u w:val="single" w:color="auto"/>
                      <w:lang w:val="en-US" w:eastAsia="zh-CN"/>
                    </w:rPr>
                  </w:pPr>
                  <w:r>
                    <w:rPr>
                      <w:rFonts w:hint="default"/>
                      <w:color w:val="auto"/>
                      <w:u w:val="single" w:color="auto"/>
                      <w:lang w:val="en-US" w:eastAsia="zh-CN"/>
                    </w:rPr>
                    <w:t>水资源</w:t>
                  </w:r>
                  <w:r>
                    <w:rPr>
                      <w:rFonts w:hint="eastAsia"/>
                      <w:color w:val="auto"/>
                      <w:u w:val="single" w:color="auto"/>
                      <w:lang w:val="en-US" w:eastAsia="zh-CN"/>
                    </w:rPr>
                    <w:t>：</w:t>
                  </w:r>
                  <w:r>
                    <w:rPr>
                      <w:rFonts w:hint="default"/>
                      <w:color w:val="auto"/>
                      <w:u w:val="single" w:color="auto"/>
                      <w:lang w:val="en-US" w:eastAsia="zh-CN"/>
                    </w:rPr>
                    <w:t>①强化生产用水管理，大力推广高效冷却、循环用水等节水工艺和技术，支持企业开展节水技术改造。②积极推行水循环梯级利用，推动现有企业和高新区开展绿色高质量升级和循环化改造，促进企业间串联用水、分质用水，一水多用和循环利用。③2025年，高新区指标应符合相应行政区域的管控要求，岳阳县用水总量控制在4.07亿立方米以内，2025年万元地区生产总值用水量比2020年下降21.53%，2025年万元工业增加值用水量比2020年下降12.65%。</w:t>
                  </w:r>
                </w:p>
              </w:tc>
              <w:tc>
                <w:tcPr>
                  <w:tcW w:w="1661" w:type="dxa"/>
                  <w:vAlign w:val="center"/>
                </w:tcPr>
                <w:p w14:paraId="298F78CE">
                  <w:pPr>
                    <w:pStyle w:val="24"/>
                    <w:bidi w:val="0"/>
                    <w:jc w:val="center"/>
                    <w:rPr>
                      <w:rFonts w:hint="default"/>
                      <w:color w:val="auto"/>
                      <w:u w:val="single" w:color="auto"/>
                      <w:lang w:val="en-US" w:eastAsia="zh-CN"/>
                    </w:rPr>
                  </w:pPr>
                  <w:r>
                    <w:rPr>
                      <w:rFonts w:hint="eastAsia"/>
                      <w:color w:val="auto"/>
                      <w:u w:val="single" w:color="auto"/>
                      <w:lang w:val="en-US" w:eastAsia="zh-CN"/>
                    </w:rPr>
                    <w:t>本项目不属于高耗水资源落后产能项目。</w:t>
                  </w:r>
                </w:p>
              </w:tc>
              <w:tc>
                <w:tcPr>
                  <w:tcW w:w="687" w:type="dxa"/>
                  <w:vAlign w:val="center"/>
                </w:tcPr>
                <w:p w14:paraId="281B5B27">
                  <w:pPr>
                    <w:pStyle w:val="24"/>
                    <w:bidi w:val="0"/>
                    <w:jc w:val="center"/>
                    <w:rPr>
                      <w:rFonts w:hint="default"/>
                      <w:color w:val="auto"/>
                      <w:u w:val="single" w:color="auto"/>
                      <w:lang w:val="en-US" w:eastAsia="zh-CN"/>
                    </w:rPr>
                  </w:pPr>
                  <w:r>
                    <w:rPr>
                      <w:rFonts w:hint="eastAsia"/>
                      <w:color w:val="auto"/>
                      <w:u w:val="single" w:color="auto"/>
                      <w:lang w:val="en-US" w:eastAsia="zh-CN"/>
                    </w:rPr>
                    <w:t>符合</w:t>
                  </w:r>
                </w:p>
              </w:tc>
            </w:tr>
            <w:tr w14:paraId="16003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Merge w:val="continue"/>
                  <w:vAlign w:val="center"/>
                </w:tcPr>
                <w:p w14:paraId="5C44E3B3">
                  <w:pPr>
                    <w:pStyle w:val="24"/>
                    <w:bidi w:val="0"/>
                    <w:jc w:val="center"/>
                    <w:rPr>
                      <w:rFonts w:hint="default"/>
                      <w:color w:val="auto"/>
                      <w:u w:val="single" w:color="auto"/>
                      <w:lang w:val="en-US" w:eastAsia="zh-CN"/>
                    </w:rPr>
                  </w:pPr>
                </w:p>
              </w:tc>
              <w:tc>
                <w:tcPr>
                  <w:tcW w:w="3240" w:type="dxa"/>
                  <w:vAlign w:val="center"/>
                </w:tcPr>
                <w:p w14:paraId="2268EC5B">
                  <w:pPr>
                    <w:pStyle w:val="24"/>
                    <w:bidi w:val="0"/>
                    <w:jc w:val="center"/>
                    <w:rPr>
                      <w:rFonts w:hint="default"/>
                      <w:color w:val="auto"/>
                      <w:u w:val="single" w:color="auto"/>
                      <w:lang w:val="en-US" w:eastAsia="zh-CN"/>
                    </w:rPr>
                  </w:pPr>
                  <w:r>
                    <w:rPr>
                      <w:rFonts w:hint="default"/>
                      <w:color w:val="auto"/>
                      <w:u w:val="single" w:color="auto"/>
                      <w:lang w:val="en-US" w:eastAsia="zh-CN"/>
                    </w:rPr>
                    <w:t>土地资源：在详细规划编制、用地预审与选址、用地报批、土地出让、规划许可、竣工验收等环节，全面推行工业项目建设用地引导指标和工业项目供地负面清单管理。省级园区工业用地固定资产支入强度达到260万元/亩，工业用地地均税收达到13万元/亩</w:t>
                  </w:r>
                </w:p>
              </w:tc>
              <w:tc>
                <w:tcPr>
                  <w:tcW w:w="1661" w:type="dxa"/>
                  <w:vAlign w:val="center"/>
                </w:tcPr>
                <w:p w14:paraId="7DF20496">
                  <w:pPr>
                    <w:pStyle w:val="24"/>
                    <w:bidi w:val="0"/>
                    <w:jc w:val="center"/>
                    <w:rPr>
                      <w:rFonts w:hint="default"/>
                      <w:color w:val="auto"/>
                      <w:u w:val="single" w:color="auto"/>
                      <w:lang w:val="en-US" w:eastAsia="zh-CN"/>
                    </w:rPr>
                  </w:pPr>
                  <w:r>
                    <w:rPr>
                      <w:rFonts w:hint="eastAsia"/>
                      <w:color w:val="auto"/>
                      <w:u w:val="single" w:color="auto"/>
                      <w:lang w:val="en-US" w:eastAsia="zh-CN"/>
                    </w:rPr>
                    <w:t>本项目用地性质为工业用地</w:t>
                  </w:r>
                  <w:r>
                    <w:rPr>
                      <w:rFonts w:hint="default"/>
                      <w:color w:val="auto"/>
                      <w:u w:val="single" w:color="auto"/>
                      <w:lang w:val="en-US" w:eastAsia="zh-CN"/>
                    </w:rPr>
                    <w:t>全面</w:t>
                  </w:r>
                  <w:r>
                    <w:rPr>
                      <w:rFonts w:hint="eastAsia"/>
                      <w:color w:val="auto"/>
                      <w:u w:val="single" w:color="auto"/>
                      <w:lang w:val="en-US" w:eastAsia="zh-CN"/>
                    </w:rPr>
                    <w:t>执行</w:t>
                  </w:r>
                  <w:r>
                    <w:rPr>
                      <w:rFonts w:hint="default"/>
                      <w:color w:val="auto"/>
                      <w:u w:val="single" w:color="auto"/>
                      <w:lang w:val="en-US" w:eastAsia="zh-CN"/>
                    </w:rPr>
                    <w:t>工业项目建设用地引导指标和工业项目供地负面清单管理。</w:t>
                  </w:r>
                </w:p>
              </w:tc>
              <w:tc>
                <w:tcPr>
                  <w:tcW w:w="687" w:type="dxa"/>
                  <w:vAlign w:val="center"/>
                </w:tcPr>
                <w:p w14:paraId="71858422">
                  <w:pPr>
                    <w:pStyle w:val="24"/>
                    <w:bidi w:val="0"/>
                    <w:jc w:val="center"/>
                    <w:rPr>
                      <w:rFonts w:hint="default"/>
                      <w:color w:val="auto"/>
                      <w:u w:val="single" w:color="auto"/>
                      <w:lang w:val="en-US" w:eastAsia="zh-CN"/>
                    </w:rPr>
                  </w:pPr>
                  <w:r>
                    <w:rPr>
                      <w:rFonts w:hint="eastAsia"/>
                      <w:color w:val="auto"/>
                      <w:u w:val="single" w:color="auto"/>
                      <w:lang w:val="en-US" w:eastAsia="zh-CN"/>
                    </w:rPr>
                    <w:t>符合</w:t>
                  </w:r>
                </w:p>
              </w:tc>
            </w:tr>
          </w:tbl>
          <w:p w14:paraId="79C39083">
            <w:pPr>
              <w:pStyle w:val="21"/>
              <w:bidi w:val="0"/>
              <w:rPr>
                <w:rFonts w:hint="default"/>
                <w:b w:val="0"/>
                <w:bCs/>
                <w:color w:val="auto"/>
                <w:u w:val="single" w:color="auto"/>
                <w:lang w:val="en-US" w:eastAsia="zh-CN"/>
              </w:rPr>
            </w:pPr>
            <w:r>
              <w:rPr>
                <w:rFonts w:hint="default"/>
                <w:b w:val="0"/>
                <w:bCs/>
                <w:color w:val="auto"/>
                <w:u w:val="single" w:color="auto"/>
                <w:lang w:val="en-US" w:eastAsia="zh-CN"/>
              </w:rPr>
              <w:t>综上所述，本项目符合《湖南省生态环境分区管控总体管控要求暨省级以上产业园区生态环境准入清单》（湘环函[2024]26号）中的相关要求。</w:t>
            </w:r>
          </w:p>
          <w:p w14:paraId="21AC21F8">
            <w:pPr>
              <w:pStyle w:val="21"/>
              <w:bidi w:val="0"/>
              <w:rPr>
                <w:rFonts w:hint="eastAsia"/>
                <w:color w:val="auto"/>
                <w:lang w:val="en-US" w:eastAsia="zh-CN"/>
              </w:rPr>
            </w:pPr>
            <w:r>
              <w:rPr>
                <w:rFonts w:hint="eastAsia"/>
                <w:color w:val="auto"/>
                <w:lang w:val="en-US" w:eastAsia="zh-CN"/>
              </w:rPr>
              <w:t>3、与《湖南省“两高”项目管理目录》的符合性</w:t>
            </w:r>
          </w:p>
          <w:p w14:paraId="1A09005C">
            <w:pPr>
              <w:pStyle w:val="22"/>
              <w:bidi w:val="0"/>
              <w:rPr>
                <w:rFonts w:hint="eastAsia"/>
                <w:color w:val="auto"/>
                <w:highlight w:val="none"/>
                <w:lang w:val="en-US" w:eastAsia="zh-CN"/>
              </w:rPr>
            </w:pPr>
            <w:r>
              <w:rPr>
                <w:rFonts w:hint="eastAsia"/>
                <w:color w:val="auto"/>
                <w:highlight w:val="none"/>
                <w:lang w:val="en-US" w:eastAsia="zh-CN"/>
              </w:rPr>
              <w:t>根据湖南省发展和改革委员会印发的《湖南省“两高”项目管理目录》，对照目录中的行业和涉及主要产品及工序，本项目为复合肥料制造，不属于“两高”项目。</w:t>
            </w:r>
          </w:p>
          <w:p w14:paraId="3E660703">
            <w:pPr>
              <w:pStyle w:val="21"/>
              <w:bidi w:val="0"/>
              <w:rPr>
                <w:rFonts w:hint="eastAsia"/>
                <w:color w:val="auto"/>
                <w:u w:val="none" w:color="auto"/>
                <w:lang w:val="en-US" w:eastAsia="zh-CN"/>
              </w:rPr>
            </w:pPr>
            <w:r>
              <w:rPr>
                <w:rFonts w:hint="eastAsia"/>
                <w:color w:val="auto"/>
                <w:u w:val="none" w:color="auto"/>
                <w:lang w:val="en-US" w:eastAsia="zh-CN"/>
              </w:rPr>
              <w:t>4、与《湖南省长江经济带发展负面清单实施细则（试行，2022版）》相符性分析</w:t>
            </w:r>
          </w:p>
          <w:p w14:paraId="0F558A01">
            <w:pPr>
              <w:pStyle w:val="22"/>
              <w:bidi w:val="0"/>
              <w:rPr>
                <w:rFonts w:hint="default"/>
                <w:color w:val="auto"/>
                <w:u w:val="none" w:color="auto"/>
                <w:lang w:val="en-US" w:eastAsia="zh-CN"/>
              </w:rPr>
            </w:pPr>
            <w:r>
              <w:rPr>
                <w:rFonts w:hint="eastAsia"/>
                <w:color w:val="auto"/>
                <w:highlight w:val="none"/>
                <w:u w:val="none" w:color="auto"/>
                <w:lang w:val="en-US" w:eastAsia="zh-CN"/>
              </w:rPr>
              <w:t>本项目与《湖南省长江经济带发展负面清单实施细则》（试行，2022年版）相关要求的符合性分析见下表。</w:t>
            </w:r>
          </w:p>
          <w:p w14:paraId="6E0BFEF1">
            <w:pPr>
              <w:pStyle w:val="23"/>
              <w:bidi w:val="0"/>
              <w:rPr>
                <w:rFonts w:hint="default"/>
                <w:color w:val="auto"/>
                <w:u w:val="none" w:color="auto"/>
                <w:lang w:val="en-US" w:eastAsia="zh-CN"/>
              </w:rPr>
            </w:pPr>
            <w:r>
              <w:rPr>
                <w:rFonts w:hint="default"/>
                <w:color w:val="auto"/>
                <w:u w:val="none" w:color="auto"/>
                <w:lang w:val="en-US" w:eastAsia="zh-CN"/>
              </w:rPr>
              <w:t>表1-</w:t>
            </w:r>
            <w:r>
              <w:rPr>
                <w:rFonts w:hint="eastAsia"/>
                <w:color w:val="auto"/>
                <w:u w:val="none" w:color="auto"/>
                <w:lang w:val="en-US" w:eastAsia="zh-CN"/>
              </w:rPr>
              <w:t>4</w:t>
            </w:r>
            <w:r>
              <w:rPr>
                <w:rFonts w:hint="default"/>
                <w:color w:val="auto"/>
                <w:u w:val="none" w:color="auto"/>
                <w:lang w:val="en-US" w:eastAsia="zh-CN"/>
              </w:rPr>
              <w:t xml:space="preserve">  与《湖南省长江经济带发展负面清单实施细则》（试行，2022年版）符合性分析</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3"/>
              <w:gridCol w:w="4561"/>
              <w:gridCol w:w="1155"/>
            </w:tblGrid>
            <w:tr w14:paraId="5DCC9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6EA955A8">
                  <w:pPr>
                    <w:pStyle w:val="24"/>
                    <w:bidi w:val="0"/>
                    <w:jc w:val="center"/>
                    <w:rPr>
                      <w:rFonts w:hint="default"/>
                      <w:color w:val="auto"/>
                      <w:u w:val="none" w:color="auto"/>
                      <w:lang w:val="en-US" w:eastAsia="zh-CN"/>
                    </w:rPr>
                  </w:pPr>
                  <w:r>
                    <w:rPr>
                      <w:rFonts w:hint="eastAsia"/>
                      <w:color w:val="auto"/>
                      <w:u w:val="none" w:color="auto"/>
                      <w:lang w:val="en-US" w:eastAsia="zh-CN"/>
                    </w:rPr>
                    <w:t>序号</w:t>
                  </w:r>
                </w:p>
              </w:tc>
              <w:tc>
                <w:tcPr>
                  <w:tcW w:w="4561" w:type="dxa"/>
                  <w:vAlign w:val="center"/>
                </w:tcPr>
                <w:p w14:paraId="5E2A16BF">
                  <w:pPr>
                    <w:pStyle w:val="24"/>
                    <w:bidi w:val="0"/>
                    <w:jc w:val="center"/>
                    <w:rPr>
                      <w:rFonts w:hint="default"/>
                      <w:color w:val="auto"/>
                      <w:u w:val="none" w:color="auto"/>
                      <w:lang w:val="en-US" w:eastAsia="zh-CN"/>
                    </w:rPr>
                  </w:pPr>
                  <w:r>
                    <w:rPr>
                      <w:rFonts w:hint="eastAsia"/>
                      <w:color w:val="auto"/>
                      <w:u w:val="none" w:color="auto"/>
                      <w:lang w:val="en-US" w:eastAsia="zh-CN"/>
                    </w:rPr>
                    <w:t>要求内容</w:t>
                  </w:r>
                </w:p>
              </w:tc>
              <w:tc>
                <w:tcPr>
                  <w:tcW w:w="1155" w:type="dxa"/>
                  <w:vAlign w:val="center"/>
                </w:tcPr>
                <w:p w14:paraId="35C56D2C">
                  <w:pPr>
                    <w:pStyle w:val="24"/>
                    <w:bidi w:val="0"/>
                    <w:jc w:val="center"/>
                    <w:rPr>
                      <w:rFonts w:hint="default"/>
                      <w:color w:val="auto"/>
                      <w:u w:val="none" w:color="auto"/>
                      <w:lang w:val="en-US" w:eastAsia="zh-CN"/>
                    </w:rPr>
                  </w:pPr>
                  <w:r>
                    <w:rPr>
                      <w:rFonts w:hint="eastAsia"/>
                      <w:color w:val="auto"/>
                      <w:u w:val="none" w:color="auto"/>
                      <w:lang w:val="en-US" w:eastAsia="zh-CN"/>
                    </w:rPr>
                    <w:t>项目情况</w:t>
                  </w:r>
                </w:p>
              </w:tc>
            </w:tr>
            <w:tr w14:paraId="2480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4A47C4D1">
                  <w:pPr>
                    <w:pStyle w:val="24"/>
                    <w:bidi w:val="0"/>
                    <w:jc w:val="center"/>
                    <w:rPr>
                      <w:rFonts w:hint="default"/>
                      <w:color w:val="auto"/>
                      <w:u w:val="none" w:color="auto"/>
                      <w:lang w:val="en-US" w:eastAsia="zh-CN"/>
                    </w:rPr>
                  </w:pPr>
                  <w:r>
                    <w:rPr>
                      <w:rFonts w:hint="eastAsia"/>
                      <w:color w:val="auto"/>
                      <w:u w:val="none" w:color="auto"/>
                      <w:lang w:val="en-US" w:eastAsia="zh-CN"/>
                    </w:rPr>
                    <w:t>1</w:t>
                  </w:r>
                </w:p>
              </w:tc>
              <w:tc>
                <w:tcPr>
                  <w:tcW w:w="4561" w:type="dxa"/>
                  <w:vAlign w:val="center"/>
                </w:tcPr>
                <w:p w14:paraId="724470D9">
                  <w:pPr>
                    <w:pStyle w:val="24"/>
                    <w:bidi w:val="0"/>
                    <w:jc w:val="center"/>
                    <w:rPr>
                      <w:rFonts w:hint="default"/>
                      <w:color w:val="auto"/>
                      <w:u w:val="none" w:color="auto"/>
                      <w:lang w:val="en-US" w:eastAsia="zh-CN"/>
                    </w:rPr>
                  </w:pPr>
                  <w:r>
                    <w:rPr>
                      <w:rFonts w:hint="default"/>
                      <w:color w:val="auto"/>
                      <w:u w:val="none" w:color="auto"/>
                      <w:lang w:val="en-US" w:eastAsia="zh-CN"/>
                    </w:rPr>
                    <w:t>禁止建设不符合全国和省级港口布局规划以及港口总体规划的码头项目。对不符合港口总体规划的新建、改建和扩建的码头工程（含舾装码头工程）及其同时建设的配套设施、防波堤、锚地、护岸等工程投资主管部门不得审批或核准。码头工程建设项目需要使用港口岸的，项目单位应当按照国家、省港口岸线使用的管理规定办理港口岸线使用手续。未取得岸线使用批准文件或者岸线使用意见的，不得开工建设。禁止建设不符合《长江干线过江通道布局规划》的过长江通道项目。</w:t>
                  </w:r>
                </w:p>
              </w:tc>
              <w:tc>
                <w:tcPr>
                  <w:tcW w:w="1155" w:type="dxa"/>
                  <w:vAlign w:val="center"/>
                </w:tcPr>
                <w:p w14:paraId="099F8FFD">
                  <w:pPr>
                    <w:pStyle w:val="24"/>
                    <w:bidi w:val="0"/>
                    <w:jc w:val="center"/>
                    <w:rPr>
                      <w:rFonts w:hint="default"/>
                      <w:color w:val="auto"/>
                      <w:u w:val="none" w:color="auto"/>
                      <w:lang w:val="en-US" w:eastAsia="zh-CN"/>
                    </w:rPr>
                  </w:pPr>
                  <w:r>
                    <w:rPr>
                      <w:rFonts w:hint="default"/>
                      <w:color w:val="auto"/>
                      <w:u w:val="none" w:color="auto"/>
                      <w:lang w:val="en-US" w:eastAsia="zh-CN"/>
                    </w:rPr>
                    <w:t>本项目</w:t>
                  </w:r>
                  <w:r>
                    <w:rPr>
                      <w:rFonts w:hint="eastAsia"/>
                      <w:color w:val="auto"/>
                      <w:u w:val="none" w:color="auto"/>
                      <w:lang w:val="en-US" w:eastAsia="zh-CN"/>
                    </w:rPr>
                    <w:t>为复合肥料生产项目，</w:t>
                  </w:r>
                  <w:r>
                    <w:rPr>
                      <w:rFonts w:hint="default"/>
                      <w:color w:val="auto"/>
                      <w:u w:val="none" w:color="auto"/>
                      <w:lang w:val="en-US" w:eastAsia="zh-CN"/>
                    </w:rPr>
                    <w:t>不属于码头项目</w:t>
                  </w:r>
                  <w:r>
                    <w:rPr>
                      <w:rFonts w:hint="eastAsia"/>
                      <w:color w:val="auto"/>
                      <w:u w:val="none" w:color="auto"/>
                      <w:lang w:val="en-US" w:eastAsia="zh-CN"/>
                    </w:rPr>
                    <w:t>。</w:t>
                  </w:r>
                </w:p>
              </w:tc>
            </w:tr>
            <w:tr w14:paraId="6FBEE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76A17F04">
                  <w:pPr>
                    <w:pStyle w:val="24"/>
                    <w:bidi w:val="0"/>
                    <w:jc w:val="center"/>
                    <w:rPr>
                      <w:rFonts w:hint="default"/>
                      <w:color w:val="auto"/>
                      <w:u w:val="none" w:color="auto"/>
                      <w:lang w:val="en-US" w:eastAsia="zh-CN"/>
                    </w:rPr>
                  </w:pPr>
                  <w:r>
                    <w:rPr>
                      <w:rFonts w:hint="eastAsia"/>
                      <w:color w:val="auto"/>
                      <w:u w:val="none" w:color="auto"/>
                      <w:lang w:val="en-US" w:eastAsia="zh-CN"/>
                    </w:rPr>
                    <w:t>2</w:t>
                  </w:r>
                </w:p>
              </w:tc>
              <w:tc>
                <w:tcPr>
                  <w:tcW w:w="4561" w:type="dxa"/>
                  <w:vAlign w:val="center"/>
                </w:tcPr>
                <w:p w14:paraId="24A3D10D">
                  <w:pPr>
                    <w:pStyle w:val="24"/>
                    <w:bidi w:val="0"/>
                    <w:jc w:val="center"/>
                    <w:rPr>
                      <w:rFonts w:hint="default"/>
                      <w:color w:val="auto"/>
                      <w:u w:val="none" w:color="auto"/>
                      <w:lang w:val="en-US" w:eastAsia="zh-CN"/>
                    </w:rPr>
                  </w:pPr>
                  <w:r>
                    <w:rPr>
                      <w:rFonts w:hint="default"/>
                      <w:color w:val="auto"/>
                      <w:u w:val="none" w:color="auto"/>
                      <w:lang w:val="en-US" w:eastAsia="zh-CN"/>
                    </w:rPr>
                    <w:t>禁止在自然保护区核心区、缓冲区的岸线和河段范围内投资建设以下项目：（一）高尔夫球场开发、房地产开发、索道建设、会所建设等项目；（二）光伏发电、风力发电、火力发电建设项目；（三）社会资金进行商业性探矿勘查，以及不属于国家紧缺矿种资源的基础地质调查和矿产远景调查等公益性工作的设施建设；（四）野生动物驯养繁殖、展览基地建设项目；（五）污染环境、破坏自然资源或自然景观的建设设施；（六）对自然保护区主要保护对象产生重大影响、改变自然生态系统完整性、原真性、破坏自然景观的设施；（七）其他不符合自然保护区主体功能定位和国家禁止的设施。</w:t>
                  </w:r>
                </w:p>
              </w:tc>
              <w:tc>
                <w:tcPr>
                  <w:tcW w:w="1155" w:type="dxa"/>
                  <w:vAlign w:val="center"/>
                </w:tcPr>
                <w:p w14:paraId="7C8EA320">
                  <w:pPr>
                    <w:pStyle w:val="24"/>
                    <w:bidi w:val="0"/>
                    <w:jc w:val="center"/>
                    <w:rPr>
                      <w:rFonts w:hint="default"/>
                      <w:color w:val="auto"/>
                      <w:u w:val="none" w:color="auto"/>
                      <w:lang w:val="en-US" w:eastAsia="zh-CN"/>
                    </w:rPr>
                  </w:pPr>
                  <w:r>
                    <w:rPr>
                      <w:rFonts w:hint="default"/>
                      <w:color w:val="auto"/>
                      <w:u w:val="none" w:color="auto"/>
                      <w:lang w:val="en-US" w:eastAsia="zh-CN"/>
                    </w:rPr>
                    <w:t>本项目位于</w:t>
                  </w:r>
                  <w:r>
                    <w:rPr>
                      <w:rFonts w:hint="eastAsia"/>
                      <w:color w:val="auto"/>
                      <w:u w:val="none" w:color="auto"/>
                      <w:lang w:val="en-US" w:eastAsia="zh-CN"/>
                    </w:rPr>
                    <w:t>岳阳县</w:t>
                  </w:r>
                  <w:r>
                    <w:rPr>
                      <w:rFonts w:hint="eastAsia" w:cs="Times New Roman"/>
                      <w:color w:val="auto"/>
                      <w:u w:val="none" w:color="auto"/>
                      <w:lang w:val="en-US" w:eastAsia="zh-CN"/>
                    </w:rPr>
                    <w:t>长湖乡大众村</w:t>
                  </w:r>
                  <w:r>
                    <w:rPr>
                      <w:rFonts w:hint="default"/>
                      <w:color w:val="auto"/>
                      <w:u w:val="none" w:color="auto"/>
                      <w:lang w:val="en-US" w:eastAsia="zh-CN"/>
                    </w:rPr>
                    <w:t>，不在自然保护区核心区、缓冲区的岸线和河段范围内</w:t>
                  </w:r>
                  <w:r>
                    <w:rPr>
                      <w:rFonts w:hint="eastAsia"/>
                      <w:color w:val="auto"/>
                      <w:u w:val="none" w:color="auto"/>
                      <w:lang w:val="en-US" w:eastAsia="zh-CN"/>
                    </w:rPr>
                    <w:t>。</w:t>
                  </w:r>
                </w:p>
              </w:tc>
            </w:tr>
            <w:tr w14:paraId="0717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117D8349">
                  <w:pPr>
                    <w:pStyle w:val="24"/>
                    <w:bidi w:val="0"/>
                    <w:jc w:val="center"/>
                    <w:rPr>
                      <w:rFonts w:hint="default"/>
                      <w:color w:val="auto"/>
                      <w:u w:val="none" w:color="auto"/>
                      <w:lang w:val="en-US" w:eastAsia="zh-CN"/>
                    </w:rPr>
                  </w:pPr>
                  <w:r>
                    <w:rPr>
                      <w:rFonts w:hint="eastAsia"/>
                      <w:color w:val="auto"/>
                      <w:u w:val="none" w:color="auto"/>
                      <w:lang w:val="en-US" w:eastAsia="zh-CN"/>
                    </w:rPr>
                    <w:t>3</w:t>
                  </w:r>
                </w:p>
              </w:tc>
              <w:tc>
                <w:tcPr>
                  <w:tcW w:w="4561" w:type="dxa"/>
                  <w:vAlign w:val="center"/>
                </w:tcPr>
                <w:p w14:paraId="60845308">
                  <w:pPr>
                    <w:pStyle w:val="24"/>
                    <w:bidi w:val="0"/>
                    <w:jc w:val="center"/>
                    <w:rPr>
                      <w:rFonts w:hint="default"/>
                      <w:color w:val="auto"/>
                      <w:u w:val="none" w:color="auto"/>
                      <w:lang w:val="en-US" w:eastAsia="zh-CN"/>
                    </w:rPr>
                  </w:pPr>
                  <w:r>
                    <w:rPr>
                      <w:rFonts w:hint="default"/>
                      <w:color w:val="auto"/>
                      <w:u w:val="none" w:color="auto"/>
                      <w:lang w:val="en-US" w:eastAsia="zh-CN"/>
                    </w:rPr>
                    <w:t>机场、铁路、公路、水利、航运、围堰等公益性基础设施的选址选线应多方案优化比选，尽量避让相关自然保护区域、野生动物迁徙洄游通道；无法避让的，应当采取修建野生动物通道、过鱼设施等措施，消除或者减少对野生动物的不利影响。</w:t>
                  </w:r>
                </w:p>
              </w:tc>
              <w:tc>
                <w:tcPr>
                  <w:tcW w:w="1155" w:type="dxa"/>
                  <w:vAlign w:val="center"/>
                </w:tcPr>
                <w:p w14:paraId="6351846B">
                  <w:pPr>
                    <w:pStyle w:val="24"/>
                    <w:bidi w:val="0"/>
                    <w:jc w:val="center"/>
                    <w:rPr>
                      <w:rFonts w:hint="default"/>
                      <w:color w:val="auto"/>
                      <w:u w:val="none" w:color="auto"/>
                      <w:lang w:val="en-US" w:eastAsia="zh-CN"/>
                    </w:rPr>
                  </w:pPr>
                  <w:r>
                    <w:rPr>
                      <w:rFonts w:hint="default"/>
                      <w:color w:val="auto"/>
                      <w:u w:val="none" w:color="auto"/>
                      <w:lang w:val="en-US" w:eastAsia="zh-CN"/>
                    </w:rPr>
                    <w:t>本项目不涉及机场、铁路、公路、水利、航运、围堰等公益性基础设施。</w:t>
                  </w:r>
                </w:p>
              </w:tc>
            </w:tr>
            <w:tr w14:paraId="4F79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78A35B92">
                  <w:pPr>
                    <w:pStyle w:val="24"/>
                    <w:bidi w:val="0"/>
                    <w:jc w:val="center"/>
                    <w:rPr>
                      <w:rFonts w:hint="default"/>
                      <w:color w:val="auto"/>
                      <w:u w:val="none" w:color="auto"/>
                      <w:lang w:val="en-US" w:eastAsia="zh-CN"/>
                    </w:rPr>
                  </w:pPr>
                  <w:r>
                    <w:rPr>
                      <w:rFonts w:hint="eastAsia"/>
                      <w:color w:val="auto"/>
                      <w:u w:val="none" w:color="auto"/>
                      <w:lang w:val="en-US" w:eastAsia="zh-CN"/>
                    </w:rPr>
                    <w:t>4</w:t>
                  </w:r>
                </w:p>
              </w:tc>
              <w:tc>
                <w:tcPr>
                  <w:tcW w:w="4561" w:type="dxa"/>
                  <w:vAlign w:val="center"/>
                </w:tcPr>
                <w:p w14:paraId="0E5C6141">
                  <w:pPr>
                    <w:pStyle w:val="24"/>
                    <w:bidi w:val="0"/>
                    <w:jc w:val="center"/>
                    <w:rPr>
                      <w:rFonts w:hint="default"/>
                      <w:color w:val="auto"/>
                      <w:u w:val="none" w:color="auto"/>
                      <w:lang w:val="en-US" w:eastAsia="zh-CN"/>
                    </w:rPr>
                  </w:pPr>
                  <w:r>
                    <w:rPr>
                      <w:rFonts w:hint="default"/>
                      <w:color w:val="auto"/>
                      <w:u w:val="none" w:color="auto"/>
                      <w:lang w:val="en-US" w:eastAsia="zh-CN"/>
                    </w:rPr>
                    <w:t>禁止违反风景名胜区规划，在风景名胜区内设立各类开发区和在核心景区内建设宾馆、招待所、培训中心、疗养院以及与风景名胜资源保护无关的其他建筑物；已经建设的，应当按照风景名胜区规划，逐步迁出。</w:t>
                  </w:r>
                </w:p>
              </w:tc>
              <w:tc>
                <w:tcPr>
                  <w:tcW w:w="1155" w:type="dxa"/>
                  <w:vAlign w:val="center"/>
                </w:tcPr>
                <w:p w14:paraId="00862DEA">
                  <w:pPr>
                    <w:pStyle w:val="24"/>
                    <w:bidi w:val="0"/>
                    <w:jc w:val="center"/>
                    <w:rPr>
                      <w:rFonts w:hint="default"/>
                      <w:color w:val="auto"/>
                      <w:u w:val="none" w:color="auto"/>
                      <w:lang w:val="en-US" w:eastAsia="zh-CN"/>
                    </w:rPr>
                  </w:pPr>
                  <w:r>
                    <w:rPr>
                      <w:rFonts w:hint="default"/>
                      <w:color w:val="auto"/>
                      <w:u w:val="none" w:color="auto"/>
                      <w:lang w:val="en-US" w:eastAsia="zh-CN"/>
                    </w:rPr>
                    <w:t>本项目不涉及风景名胜区。</w:t>
                  </w:r>
                </w:p>
              </w:tc>
            </w:tr>
            <w:tr w14:paraId="1E5C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13FE6DF0">
                  <w:pPr>
                    <w:pStyle w:val="24"/>
                    <w:bidi w:val="0"/>
                    <w:jc w:val="center"/>
                    <w:rPr>
                      <w:rFonts w:hint="default"/>
                      <w:color w:val="auto"/>
                      <w:u w:val="none" w:color="auto"/>
                      <w:lang w:val="en-US" w:eastAsia="zh-CN"/>
                    </w:rPr>
                  </w:pPr>
                  <w:r>
                    <w:rPr>
                      <w:rFonts w:hint="eastAsia"/>
                      <w:color w:val="auto"/>
                      <w:u w:val="none" w:color="auto"/>
                      <w:lang w:val="en-US" w:eastAsia="zh-CN"/>
                    </w:rPr>
                    <w:t>5</w:t>
                  </w:r>
                </w:p>
              </w:tc>
              <w:tc>
                <w:tcPr>
                  <w:tcW w:w="4561" w:type="dxa"/>
                  <w:vAlign w:val="center"/>
                </w:tcPr>
                <w:p w14:paraId="41B7F2F3">
                  <w:pPr>
                    <w:pStyle w:val="24"/>
                    <w:bidi w:val="0"/>
                    <w:jc w:val="center"/>
                    <w:rPr>
                      <w:rFonts w:hint="default"/>
                      <w:color w:val="auto"/>
                      <w:u w:val="none" w:color="auto"/>
                      <w:lang w:val="en-US" w:eastAsia="zh-CN"/>
                    </w:rPr>
                  </w:pPr>
                  <w:r>
                    <w:rPr>
                      <w:rFonts w:hint="default"/>
                      <w:color w:val="auto"/>
                      <w:u w:val="none" w:color="auto"/>
                      <w:lang w:val="en-US" w:eastAsia="zh-CN"/>
                    </w:rPr>
                    <w:t>饮用水水源一级保护区内禁止新建、改建、扩建与供水设施和保护水源无关的建设项目，以及网箱养殖、畜禽养殖、旅游等可能污染饮用水水体的投资建设项目；禁止向水域排放污水，已设置的排污口必须拆除；不得设置与供水需要无关的码头，禁止停靠船舶；禁止堆置和存放工业废渣、城市垃圾、粪便和其它废弃物；禁止设置油库；禁止使用含磷洗涤用品。</w:t>
                  </w:r>
                </w:p>
              </w:tc>
              <w:tc>
                <w:tcPr>
                  <w:tcW w:w="1155" w:type="dxa"/>
                  <w:vAlign w:val="center"/>
                </w:tcPr>
                <w:p w14:paraId="0737709A">
                  <w:pPr>
                    <w:pStyle w:val="24"/>
                    <w:bidi w:val="0"/>
                    <w:jc w:val="center"/>
                    <w:rPr>
                      <w:rFonts w:hint="default"/>
                      <w:color w:val="auto"/>
                      <w:u w:val="none" w:color="auto"/>
                      <w:lang w:val="en-US" w:eastAsia="zh-CN"/>
                    </w:rPr>
                  </w:pPr>
                  <w:r>
                    <w:rPr>
                      <w:rFonts w:hint="default"/>
                      <w:color w:val="auto"/>
                      <w:u w:val="none" w:color="auto"/>
                      <w:lang w:val="en-US" w:eastAsia="zh-CN"/>
                    </w:rPr>
                    <w:t>本项目不在饮用水保护区内。</w:t>
                  </w:r>
                </w:p>
              </w:tc>
            </w:tr>
            <w:tr w14:paraId="56AD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6CE5AA75">
                  <w:pPr>
                    <w:pStyle w:val="24"/>
                    <w:bidi w:val="0"/>
                    <w:jc w:val="center"/>
                    <w:rPr>
                      <w:rFonts w:hint="default"/>
                      <w:color w:val="auto"/>
                      <w:u w:val="none" w:color="auto"/>
                      <w:lang w:val="en-US" w:eastAsia="zh-CN"/>
                    </w:rPr>
                  </w:pPr>
                  <w:r>
                    <w:rPr>
                      <w:rFonts w:hint="eastAsia"/>
                      <w:color w:val="auto"/>
                      <w:u w:val="none" w:color="auto"/>
                      <w:lang w:val="en-US" w:eastAsia="zh-CN"/>
                    </w:rPr>
                    <w:t>6</w:t>
                  </w:r>
                </w:p>
              </w:tc>
              <w:tc>
                <w:tcPr>
                  <w:tcW w:w="4561" w:type="dxa"/>
                  <w:vAlign w:val="center"/>
                </w:tcPr>
                <w:p w14:paraId="1E752C26">
                  <w:pPr>
                    <w:pStyle w:val="24"/>
                    <w:bidi w:val="0"/>
                    <w:jc w:val="center"/>
                    <w:rPr>
                      <w:rFonts w:hint="default"/>
                      <w:color w:val="auto"/>
                      <w:u w:val="none" w:color="auto"/>
                      <w:lang w:val="en-US" w:eastAsia="zh-CN"/>
                    </w:rPr>
                  </w:pPr>
                  <w:r>
                    <w:rPr>
                      <w:rFonts w:hint="default"/>
                      <w:color w:val="auto"/>
                      <w:u w:val="none" w:color="auto"/>
                      <w:lang w:val="en-US" w:eastAsia="zh-CN"/>
                    </w:rPr>
                    <w:t>饮用水水源二级保护区内禁止新建、改建、扩建向水体排放污染物的投资建设项目。原有排污口依法拆除或关闭。禁止设立装卸垃圾、粪便、油类和有毒物品的码头。</w:t>
                  </w:r>
                </w:p>
              </w:tc>
              <w:tc>
                <w:tcPr>
                  <w:tcW w:w="1155" w:type="dxa"/>
                  <w:vAlign w:val="center"/>
                </w:tcPr>
                <w:p w14:paraId="7B6FEE53">
                  <w:pPr>
                    <w:pStyle w:val="24"/>
                    <w:bidi w:val="0"/>
                    <w:jc w:val="center"/>
                    <w:rPr>
                      <w:rFonts w:hint="default"/>
                      <w:color w:val="auto"/>
                      <w:u w:val="none" w:color="auto"/>
                      <w:lang w:val="en-US" w:eastAsia="zh-CN"/>
                    </w:rPr>
                  </w:pPr>
                  <w:r>
                    <w:rPr>
                      <w:rFonts w:hint="default"/>
                      <w:color w:val="auto"/>
                      <w:u w:val="none" w:color="auto"/>
                      <w:lang w:val="en-US" w:eastAsia="zh-CN"/>
                    </w:rPr>
                    <w:t>本项目不在饮用水保护区内。</w:t>
                  </w:r>
                </w:p>
              </w:tc>
            </w:tr>
            <w:tr w14:paraId="1F59F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3D6DC5A7">
                  <w:pPr>
                    <w:pStyle w:val="24"/>
                    <w:bidi w:val="0"/>
                    <w:jc w:val="center"/>
                    <w:rPr>
                      <w:rFonts w:hint="default"/>
                      <w:color w:val="auto"/>
                      <w:u w:val="none" w:color="auto"/>
                      <w:lang w:val="en-US" w:eastAsia="zh-CN"/>
                    </w:rPr>
                  </w:pPr>
                  <w:r>
                    <w:rPr>
                      <w:rFonts w:hint="eastAsia"/>
                      <w:color w:val="auto"/>
                      <w:u w:val="none" w:color="auto"/>
                      <w:lang w:val="en-US" w:eastAsia="zh-CN"/>
                    </w:rPr>
                    <w:t>7</w:t>
                  </w:r>
                </w:p>
              </w:tc>
              <w:tc>
                <w:tcPr>
                  <w:tcW w:w="4561" w:type="dxa"/>
                  <w:vAlign w:val="center"/>
                </w:tcPr>
                <w:p w14:paraId="20B489FC">
                  <w:pPr>
                    <w:pStyle w:val="24"/>
                    <w:bidi w:val="0"/>
                    <w:jc w:val="center"/>
                    <w:rPr>
                      <w:rFonts w:hint="default"/>
                      <w:color w:val="auto"/>
                      <w:u w:val="none" w:color="auto"/>
                      <w:lang w:val="en-US" w:eastAsia="zh-CN"/>
                    </w:rPr>
                  </w:pPr>
                  <w:r>
                    <w:rPr>
                      <w:rFonts w:hint="default"/>
                      <w:color w:val="auto"/>
                      <w:u w:val="none" w:color="auto"/>
                      <w:lang w:val="en-US" w:eastAsia="zh-CN"/>
                    </w:rPr>
                    <w:t>禁止在水产种质资源保护区的岸线和河段范围内新建排污口、实施非法围垦河道和围湖造田造地等投资建设项目。</w:t>
                  </w:r>
                </w:p>
              </w:tc>
              <w:tc>
                <w:tcPr>
                  <w:tcW w:w="1155" w:type="dxa"/>
                  <w:vAlign w:val="center"/>
                </w:tcPr>
                <w:p w14:paraId="37456775">
                  <w:pPr>
                    <w:pStyle w:val="24"/>
                    <w:bidi w:val="0"/>
                    <w:jc w:val="center"/>
                    <w:rPr>
                      <w:rFonts w:hint="default"/>
                      <w:color w:val="auto"/>
                      <w:u w:val="none" w:color="auto"/>
                      <w:lang w:val="en-US" w:eastAsia="zh-CN"/>
                    </w:rPr>
                  </w:pPr>
                  <w:r>
                    <w:rPr>
                      <w:rFonts w:hint="default"/>
                      <w:color w:val="auto"/>
                      <w:u w:val="none" w:color="auto"/>
                      <w:lang w:val="en-US" w:eastAsia="zh-CN"/>
                    </w:rPr>
                    <w:t>本项目不在水产种质资源保护区。</w:t>
                  </w:r>
                </w:p>
              </w:tc>
            </w:tr>
            <w:tr w14:paraId="4AE3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758C147A">
                  <w:pPr>
                    <w:pStyle w:val="24"/>
                    <w:bidi w:val="0"/>
                    <w:jc w:val="center"/>
                    <w:rPr>
                      <w:rFonts w:hint="default"/>
                      <w:color w:val="auto"/>
                      <w:u w:val="none" w:color="auto"/>
                      <w:lang w:val="en-US" w:eastAsia="zh-CN"/>
                    </w:rPr>
                  </w:pPr>
                  <w:r>
                    <w:rPr>
                      <w:rFonts w:hint="eastAsia"/>
                      <w:color w:val="auto"/>
                      <w:u w:val="none" w:color="auto"/>
                      <w:lang w:val="en-US" w:eastAsia="zh-CN"/>
                    </w:rPr>
                    <w:t>8</w:t>
                  </w:r>
                </w:p>
              </w:tc>
              <w:tc>
                <w:tcPr>
                  <w:tcW w:w="4561" w:type="dxa"/>
                  <w:vAlign w:val="center"/>
                </w:tcPr>
                <w:p w14:paraId="55950F05">
                  <w:pPr>
                    <w:pStyle w:val="24"/>
                    <w:bidi w:val="0"/>
                    <w:jc w:val="center"/>
                    <w:rPr>
                      <w:rFonts w:hint="default"/>
                      <w:color w:val="auto"/>
                      <w:u w:val="none" w:color="auto"/>
                      <w:lang w:val="en-US" w:eastAsia="zh-CN"/>
                    </w:rPr>
                  </w:pPr>
                  <w:r>
                    <w:rPr>
                      <w:rFonts w:hint="default"/>
                      <w:color w:val="auto"/>
                      <w:u w:val="none" w:color="auto"/>
                      <w:lang w:val="en-US" w:eastAsia="zh-CN"/>
                    </w:rPr>
                    <w:t>除《中华人民共和国防洪法》规定的紧急防汛期采取的紧急措施外，禁止在国家湿地公园的岸线和河段范围内挖沙、采矿，以及以下不符合主体功能定位的行为和活动：（一）开（围）垦、填埋或者排干湿地；（二）截断湿地水源；（三）倾倒有毒有害物质、废弃物、垃圾；（四）从事房地产、度假村、高尔夫球场、风力发电、光伏发电等任何不符合主体功能定位的建设项目和开发活动；（五）破坏野生动物栖息地和迁徙通道、鱼类洄游通道，滥采滥捕野生动植物；（六）引入外来物种；（七）擅自放牧、捕捞、取土、取水、排污、放生。</w:t>
                  </w:r>
                  <w:r>
                    <w:rPr>
                      <w:rFonts w:hint="eastAsia"/>
                      <w:color w:val="auto"/>
                      <w:u w:val="none" w:color="auto"/>
                      <w:lang w:val="en-US" w:eastAsia="zh-CN"/>
                    </w:rPr>
                    <w:t>（</w:t>
                  </w:r>
                  <w:r>
                    <w:rPr>
                      <w:rFonts w:hint="default"/>
                      <w:color w:val="auto"/>
                      <w:u w:val="none" w:color="auto"/>
                      <w:lang w:val="en-US" w:eastAsia="zh-CN"/>
                    </w:rPr>
                    <w:t>八）其他破坏湿地及其生态功能的活动。</w:t>
                  </w:r>
                </w:p>
              </w:tc>
              <w:tc>
                <w:tcPr>
                  <w:tcW w:w="1155" w:type="dxa"/>
                  <w:vAlign w:val="center"/>
                </w:tcPr>
                <w:p w14:paraId="7240FD6F">
                  <w:pPr>
                    <w:pStyle w:val="24"/>
                    <w:bidi w:val="0"/>
                    <w:jc w:val="center"/>
                    <w:rPr>
                      <w:rFonts w:hint="default"/>
                      <w:color w:val="auto"/>
                      <w:u w:val="none" w:color="auto"/>
                      <w:lang w:val="en-US" w:eastAsia="zh-CN"/>
                    </w:rPr>
                  </w:pPr>
                  <w:r>
                    <w:rPr>
                      <w:rFonts w:hint="default"/>
                      <w:color w:val="auto"/>
                      <w:u w:val="none" w:color="auto"/>
                      <w:lang w:val="en-US" w:eastAsia="zh-CN"/>
                    </w:rPr>
                    <w:t>本项目不在国家湿地公园范围内。</w:t>
                  </w:r>
                </w:p>
              </w:tc>
            </w:tr>
            <w:tr w14:paraId="06A3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43ACE9DE">
                  <w:pPr>
                    <w:pStyle w:val="24"/>
                    <w:bidi w:val="0"/>
                    <w:jc w:val="center"/>
                    <w:rPr>
                      <w:rFonts w:hint="default"/>
                      <w:color w:val="auto"/>
                      <w:u w:val="none" w:color="auto"/>
                      <w:lang w:val="en-US" w:eastAsia="zh-CN"/>
                    </w:rPr>
                  </w:pPr>
                  <w:r>
                    <w:rPr>
                      <w:rFonts w:hint="eastAsia"/>
                      <w:color w:val="auto"/>
                      <w:u w:val="none" w:color="auto"/>
                      <w:lang w:val="en-US" w:eastAsia="zh-CN"/>
                    </w:rPr>
                    <w:t>9</w:t>
                  </w:r>
                </w:p>
              </w:tc>
              <w:tc>
                <w:tcPr>
                  <w:tcW w:w="4561" w:type="dxa"/>
                  <w:vAlign w:val="center"/>
                </w:tcPr>
                <w:p w14:paraId="0A38D2A9">
                  <w:pPr>
                    <w:pStyle w:val="24"/>
                    <w:bidi w:val="0"/>
                    <w:jc w:val="center"/>
                    <w:rPr>
                      <w:rFonts w:hint="default"/>
                      <w:color w:val="auto"/>
                      <w:u w:val="none" w:color="auto"/>
                      <w:lang w:val="en-US" w:eastAsia="zh-CN"/>
                    </w:rPr>
                  </w:pPr>
                  <w:r>
                    <w:rPr>
                      <w:rFonts w:hint="default"/>
                      <w:color w:val="auto"/>
                      <w:u w:val="none" w:color="auto"/>
                      <w:lang w:val="en-US" w:eastAsia="zh-CN"/>
                    </w:rPr>
                    <w:t>禁止违法利用、占用长江流域河湖岸线。禁止在《长江岸线保护和开发利用总体规划》划定的岸线保护区和保留区内投资建设除事关公共安全及公众利益的防洪护岸、河道治理、供水、生态环境保护、航道整治、国家重要基础设施以外的项目。禁止填湖造地、围湖造田及非法围垦河道，禁止非法建设矮围网围、填埋湿地等侵占河湖水域或者违法利用、占用河湖岸线的行为。</w:t>
                  </w:r>
                </w:p>
              </w:tc>
              <w:tc>
                <w:tcPr>
                  <w:tcW w:w="1155" w:type="dxa"/>
                  <w:vAlign w:val="center"/>
                </w:tcPr>
                <w:p w14:paraId="2A6A3139">
                  <w:pPr>
                    <w:pStyle w:val="24"/>
                    <w:bidi w:val="0"/>
                    <w:jc w:val="center"/>
                    <w:rPr>
                      <w:rFonts w:hint="default"/>
                      <w:color w:val="auto"/>
                      <w:u w:val="none" w:color="auto"/>
                      <w:lang w:val="en-US" w:eastAsia="zh-CN"/>
                    </w:rPr>
                  </w:pPr>
                  <w:r>
                    <w:rPr>
                      <w:rFonts w:hint="default"/>
                      <w:color w:val="auto"/>
                      <w:u w:val="none" w:color="auto"/>
                      <w:lang w:val="en-US" w:eastAsia="zh-CN"/>
                    </w:rPr>
                    <w:t>本项目不在长江岸线保护区内。</w:t>
                  </w:r>
                </w:p>
              </w:tc>
            </w:tr>
            <w:tr w14:paraId="36A7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19A6631F">
                  <w:pPr>
                    <w:pStyle w:val="24"/>
                    <w:bidi w:val="0"/>
                    <w:jc w:val="center"/>
                    <w:rPr>
                      <w:rFonts w:hint="default"/>
                      <w:color w:val="auto"/>
                      <w:u w:val="none" w:color="auto"/>
                      <w:lang w:val="en-US" w:eastAsia="zh-CN"/>
                    </w:rPr>
                  </w:pPr>
                  <w:r>
                    <w:rPr>
                      <w:rFonts w:hint="eastAsia"/>
                      <w:color w:val="auto"/>
                      <w:u w:val="none" w:color="auto"/>
                      <w:lang w:val="en-US" w:eastAsia="zh-CN"/>
                    </w:rPr>
                    <w:t>10</w:t>
                  </w:r>
                </w:p>
              </w:tc>
              <w:tc>
                <w:tcPr>
                  <w:tcW w:w="4561" w:type="dxa"/>
                  <w:vAlign w:val="center"/>
                </w:tcPr>
                <w:p w14:paraId="4252580D">
                  <w:pPr>
                    <w:pStyle w:val="24"/>
                    <w:bidi w:val="0"/>
                    <w:jc w:val="center"/>
                    <w:rPr>
                      <w:rFonts w:hint="default"/>
                      <w:color w:val="auto"/>
                      <w:u w:val="none" w:color="auto"/>
                      <w:lang w:val="en-US" w:eastAsia="zh-CN"/>
                    </w:rPr>
                  </w:pPr>
                  <w:r>
                    <w:rPr>
                      <w:rFonts w:hint="default"/>
                      <w:color w:val="auto"/>
                      <w:u w:val="none" w:color="auto"/>
                      <w:lang w:val="en-US" w:eastAsia="zh-CN"/>
                    </w:rPr>
                    <w:t>禁止在《全国重要江河湖泊水功能区划》划定的河段保护区、保留区内投资建设不利于水资源及自然生态保护的项目。</w:t>
                  </w:r>
                </w:p>
              </w:tc>
              <w:tc>
                <w:tcPr>
                  <w:tcW w:w="1155" w:type="dxa"/>
                  <w:vAlign w:val="center"/>
                </w:tcPr>
                <w:p w14:paraId="3AF12BA7">
                  <w:pPr>
                    <w:pStyle w:val="24"/>
                    <w:bidi w:val="0"/>
                    <w:jc w:val="center"/>
                    <w:rPr>
                      <w:rFonts w:hint="default"/>
                      <w:color w:val="auto"/>
                      <w:u w:val="none" w:color="auto"/>
                      <w:lang w:val="en-US" w:eastAsia="zh-CN"/>
                    </w:rPr>
                  </w:pPr>
                  <w:r>
                    <w:rPr>
                      <w:rFonts w:hint="default"/>
                      <w:color w:val="auto"/>
                      <w:u w:val="none" w:color="auto"/>
                      <w:lang w:val="en-US" w:eastAsia="zh-CN"/>
                    </w:rPr>
                    <w:t>本项目不在全国重要江河湖泊水功能区划划定的河段保护区、保留区内。</w:t>
                  </w:r>
                </w:p>
              </w:tc>
            </w:tr>
            <w:tr w14:paraId="7BDCF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3F66B16D">
                  <w:pPr>
                    <w:pStyle w:val="24"/>
                    <w:bidi w:val="0"/>
                    <w:jc w:val="center"/>
                    <w:rPr>
                      <w:rFonts w:hint="default"/>
                      <w:color w:val="auto"/>
                      <w:u w:val="none" w:color="auto"/>
                      <w:lang w:val="en-US" w:eastAsia="zh-CN"/>
                    </w:rPr>
                  </w:pPr>
                  <w:r>
                    <w:rPr>
                      <w:rFonts w:hint="eastAsia"/>
                      <w:color w:val="auto"/>
                      <w:u w:val="none" w:color="auto"/>
                      <w:lang w:val="en-US" w:eastAsia="zh-CN"/>
                    </w:rPr>
                    <w:t>11</w:t>
                  </w:r>
                </w:p>
              </w:tc>
              <w:tc>
                <w:tcPr>
                  <w:tcW w:w="4561" w:type="dxa"/>
                  <w:vAlign w:val="center"/>
                </w:tcPr>
                <w:p w14:paraId="48F0E241">
                  <w:pPr>
                    <w:pStyle w:val="24"/>
                    <w:bidi w:val="0"/>
                    <w:jc w:val="center"/>
                    <w:rPr>
                      <w:rFonts w:hint="default"/>
                      <w:color w:val="auto"/>
                      <w:u w:val="none" w:color="auto"/>
                      <w:lang w:val="en-US" w:eastAsia="zh-CN"/>
                    </w:rPr>
                  </w:pPr>
                  <w:r>
                    <w:rPr>
                      <w:rFonts w:hint="default"/>
                      <w:color w:val="auto"/>
                      <w:u w:val="none" w:color="auto"/>
                      <w:lang w:val="en-US" w:eastAsia="zh-CN"/>
                    </w:rPr>
                    <w:t>禁止未经许可在长江干支流及湖泊新设、改设或扩大排污口。</w:t>
                  </w:r>
                </w:p>
              </w:tc>
              <w:tc>
                <w:tcPr>
                  <w:tcW w:w="1155" w:type="dxa"/>
                  <w:vAlign w:val="center"/>
                </w:tcPr>
                <w:p w14:paraId="249B974F">
                  <w:pPr>
                    <w:pStyle w:val="24"/>
                    <w:bidi w:val="0"/>
                    <w:jc w:val="center"/>
                    <w:rPr>
                      <w:rFonts w:hint="default"/>
                      <w:color w:val="auto"/>
                      <w:u w:val="none" w:color="auto"/>
                      <w:lang w:val="en-US" w:eastAsia="zh-CN"/>
                    </w:rPr>
                  </w:pPr>
                  <w:r>
                    <w:rPr>
                      <w:rFonts w:hint="default"/>
                      <w:color w:val="auto"/>
                      <w:u w:val="none" w:color="auto"/>
                      <w:lang w:val="en-US" w:eastAsia="zh-CN"/>
                    </w:rPr>
                    <w:t>项目不新设、改设或扩大排污口。</w:t>
                  </w:r>
                </w:p>
              </w:tc>
            </w:tr>
            <w:tr w14:paraId="53C55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65F5CFC2">
                  <w:pPr>
                    <w:pStyle w:val="24"/>
                    <w:bidi w:val="0"/>
                    <w:jc w:val="center"/>
                    <w:rPr>
                      <w:rFonts w:hint="default"/>
                      <w:color w:val="auto"/>
                      <w:u w:val="none" w:color="auto"/>
                      <w:lang w:val="en-US" w:eastAsia="zh-CN"/>
                    </w:rPr>
                  </w:pPr>
                  <w:r>
                    <w:rPr>
                      <w:rFonts w:hint="eastAsia"/>
                      <w:color w:val="auto"/>
                      <w:u w:val="none" w:color="auto"/>
                      <w:lang w:val="en-US" w:eastAsia="zh-CN"/>
                    </w:rPr>
                    <w:t>12</w:t>
                  </w:r>
                </w:p>
              </w:tc>
              <w:tc>
                <w:tcPr>
                  <w:tcW w:w="4561" w:type="dxa"/>
                  <w:vAlign w:val="center"/>
                </w:tcPr>
                <w:p w14:paraId="150EF5EE">
                  <w:pPr>
                    <w:pStyle w:val="24"/>
                    <w:bidi w:val="0"/>
                    <w:jc w:val="center"/>
                    <w:rPr>
                      <w:rFonts w:hint="default"/>
                      <w:color w:val="auto"/>
                      <w:u w:val="none" w:color="auto"/>
                      <w:lang w:val="en-US" w:eastAsia="zh-CN"/>
                    </w:rPr>
                  </w:pPr>
                  <w:r>
                    <w:rPr>
                      <w:rFonts w:hint="default"/>
                      <w:color w:val="auto"/>
                      <w:u w:val="none" w:color="auto"/>
                      <w:lang w:val="en-US" w:eastAsia="zh-CN"/>
                    </w:rPr>
                    <w:t>禁止在洞庭湖、湘江、资江、沅江、澧水干流和45个水生生物保护区开展生产性捕捞。在相关自然保护区域和禁猎（渔）区、禁猎（渔）期内，禁止猎捕以及其他妨碍野生动物生息繁衍的活动，但法律法规另有规定的除外。</w:t>
                  </w:r>
                </w:p>
              </w:tc>
              <w:tc>
                <w:tcPr>
                  <w:tcW w:w="1155" w:type="dxa"/>
                  <w:vAlign w:val="center"/>
                </w:tcPr>
                <w:p w14:paraId="3174A9B9">
                  <w:pPr>
                    <w:pStyle w:val="24"/>
                    <w:bidi w:val="0"/>
                    <w:jc w:val="center"/>
                    <w:rPr>
                      <w:rFonts w:hint="default"/>
                      <w:color w:val="auto"/>
                      <w:u w:val="none" w:color="auto"/>
                      <w:lang w:val="en-US" w:eastAsia="zh-CN"/>
                    </w:rPr>
                  </w:pPr>
                  <w:r>
                    <w:rPr>
                      <w:rFonts w:hint="default"/>
                      <w:color w:val="auto"/>
                      <w:u w:val="none" w:color="auto"/>
                      <w:lang w:val="en-US" w:eastAsia="zh-CN"/>
                    </w:rPr>
                    <w:t>项目不涉及生产性捕捞</w:t>
                  </w:r>
                  <w:r>
                    <w:rPr>
                      <w:rFonts w:hint="eastAsia"/>
                      <w:color w:val="auto"/>
                      <w:u w:val="none" w:color="auto"/>
                      <w:lang w:val="en-US" w:eastAsia="zh-CN"/>
                    </w:rPr>
                    <w:t>。</w:t>
                  </w:r>
                </w:p>
              </w:tc>
            </w:tr>
            <w:tr w14:paraId="4C3B6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4D1D991C">
                  <w:pPr>
                    <w:pStyle w:val="24"/>
                    <w:bidi w:val="0"/>
                    <w:jc w:val="center"/>
                    <w:rPr>
                      <w:rFonts w:hint="default"/>
                      <w:color w:val="auto"/>
                      <w:u w:val="none" w:color="auto"/>
                      <w:lang w:val="en-US" w:eastAsia="zh-CN"/>
                    </w:rPr>
                  </w:pPr>
                  <w:r>
                    <w:rPr>
                      <w:rFonts w:hint="eastAsia"/>
                      <w:color w:val="auto"/>
                      <w:u w:val="none" w:color="auto"/>
                      <w:lang w:val="en-US" w:eastAsia="zh-CN"/>
                    </w:rPr>
                    <w:t>13</w:t>
                  </w:r>
                </w:p>
              </w:tc>
              <w:tc>
                <w:tcPr>
                  <w:tcW w:w="4561" w:type="dxa"/>
                  <w:vAlign w:val="center"/>
                </w:tcPr>
                <w:p w14:paraId="1C73309B">
                  <w:pPr>
                    <w:pStyle w:val="24"/>
                    <w:bidi w:val="0"/>
                    <w:jc w:val="center"/>
                    <w:rPr>
                      <w:rFonts w:hint="default"/>
                      <w:color w:val="auto"/>
                      <w:u w:val="none" w:color="auto"/>
                      <w:lang w:val="en-US" w:eastAsia="zh-CN"/>
                    </w:rPr>
                  </w:pPr>
                  <w:r>
                    <w:rPr>
                      <w:rFonts w:hint="default"/>
                      <w:color w:val="auto"/>
                      <w:u w:val="none" w:color="auto"/>
                      <w:lang w:val="en-US" w:eastAsia="zh-CN"/>
                    </w:rPr>
                    <w:t>禁止在长江湖南段和洞庭湖、湘江、资江、沅江、澧水干流岸线一公里范围内新建、扩建化工园区和化工项目。禁止在长江湖南段岸线三公里范围内和湘江、资江、沅江、澧水岸线一公里范围内新建、改建、扩建尾矿库、冶炼渣库和磷石膏库，以提升安全、生态环境保护水平为目的的改建除外。</w:t>
                  </w:r>
                </w:p>
              </w:tc>
              <w:tc>
                <w:tcPr>
                  <w:tcW w:w="1155" w:type="dxa"/>
                  <w:vAlign w:val="center"/>
                </w:tcPr>
                <w:p w14:paraId="4917A9B8">
                  <w:pPr>
                    <w:pStyle w:val="24"/>
                    <w:bidi w:val="0"/>
                    <w:jc w:val="center"/>
                    <w:rPr>
                      <w:rFonts w:hint="default"/>
                      <w:color w:val="auto"/>
                      <w:u w:val="none" w:color="auto"/>
                      <w:lang w:val="en-US" w:eastAsia="zh-CN"/>
                    </w:rPr>
                  </w:pPr>
                  <w:r>
                    <w:rPr>
                      <w:rFonts w:hint="default"/>
                      <w:color w:val="auto"/>
                      <w:u w:val="none" w:color="auto"/>
                      <w:lang w:val="en-US" w:eastAsia="zh-CN"/>
                    </w:rPr>
                    <w:t>本项目距离洞庭湖</w:t>
                  </w:r>
                  <w:r>
                    <w:rPr>
                      <w:rFonts w:hint="eastAsia"/>
                      <w:color w:val="auto"/>
                      <w:u w:val="none" w:color="auto"/>
                      <w:lang w:val="en-US" w:eastAsia="zh-CN"/>
                    </w:rPr>
                    <w:t>25</w:t>
                  </w:r>
                  <w:r>
                    <w:rPr>
                      <w:rFonts w:hint="default"/>
                      <w:color w:val="auto"/>
                      <w:u w:val="none" w:color="auto"/>
                      <w:lang w:val="en-US" w:eastAsia="zh-CN"/>
                    </w:rPr>
                    <w:t>公里。</w:t>
                  </w:r>
                </w:p>
              </w:tc>
            </w:tr>
            <w:tr w14:paraId="41FEC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5962A5B7">
                  <w:pPr>
                    <w:pStyle w:val="24"/>
                    <w:bidi w:val="0"/>
                    <w:jc w:val="center"/>
                    <w:rPr>
                      <w:rFonts w:hint="default"/>
                      <w:color w:val="auto"/>
                      <w:u w:val="none" w:color="auto"/>
                      <w:lang w:val="en-US" w:eastAsia="zh-CN"/>
                    </w:rPr>
                  </w:pPr>
                  <w:r>
                    <w:rPr>
                      <w:rFonts w:hint="eastAsia"/>
                      <w:color w:val="auto"/>
                      <w:u w:val="none" w:color="auto"/>
                      <w:lang w:val="en-US" w:eastAsia="zh-CN"/>
                    </w:rPr>
                    <w:t>14</w:t>
                  </w:r>
                </w:p>
              </w:tc>
              <w:tc>
                <w:tcPr>
                  <w:tcW w:w="4561" w:type="dxa"/>
                  <w:vAlign w:val="center"/>
                </w:tcPr>
                <w:p w14:paraId="5808B0C2">
                  <w:pPr>
                    <w:pStyle w:val="24"/>
                    <w:bidi w:val="0"/>
                    <w:jc w:val="center"/>
                    <w:rPr>
                      <w:rFonts w:hint="default"/>
                      <w:color w:val="auto"/>
                      <w:u w:val="none" w:color="auto"/>
                      <w:lang w:val="en-US" w:eastAsia="zh-CN"/>
                    </w:rPr>
                  </w:pPr>
                  <w:r>
                    <w:rPr>
                      <w:rFonts w:hint="default"/>
                      <w:color w:val="auto"/>
                      <w:u w:val="none" w:color="auto"/>
                      <w:lang w:val="en-US" w:eastAsia="zh-CN"/>
                    </w:rPr>
                    <w:t>禁止在合规园区外新建、扩建钢铁、石化、化工、焦化、建材、有色、制浆造纸等高污染项目。高污染项目严格按照生态环境部《环境保护综合名录（2021 年版）》有关要求执行。</w:t>
                  </w:r>
                </w:p>
              </w:tc>
              <w:tc>
                <w:tcPr>
                  <w:tcW w:w="1155" w:type="dxa"/>
                  <w:vAlign w:val="center"/>
                </w:tcPr>
                <w:p w14:paraId="73451F8E">
                  <w:pPr>
                    <w:pStyle w:val="24"/>
                    <w:bidi w:val="0"/>
                    <w:jc w:val="center"/>
                    <w:rPr>
                      <w:rFonts w:hint="default"/>
                      <w:color w:val="auto"/>
                      <w:u w:val="none" w:color="auto"/>
                      <w:lang w:val="en-US" w:eastAsia="zh-CN"/>
                    </w:rPr>
                  </w:pPr>
                  <w:r>
                    <w:rPr>
                      <w:rFonts w:hint="default"/>
                      <w:color w:val="auto"/>
                      <w:u w:val="none" w:color="auto"/>
                      <w:lang w:val="en-US" w:eastAsia="zh-CN"/>
                    </w:rPr>
                    <w:t>本项目不属于高污染项目</w:t>
                  </w:r>
                  <w:r>
                    <w:rPr>
                      <w:rFonts w:hint="eastAsia"/>
                      <w:color w:val="auto"/>
                      <w:u w:val="none" w:color="auto"/>
                      <w:lang w:val="en-US" w:eastAsia="zh-CN"/>
                    </w:rPr>
                    <w:t>。</w:t>
                  </w:r>
                </w:p>
              </w:tc>
            </w:tr>
            <w:tr w14:paraId="65BA5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20EA1FD8">
                  <w:pPr>
                    <w:pStyle w:val="24"/>
                    <w:bidi w:val="0"/>
                    <w:jc w:val="center"/>
                    <w:rPr>
                      <w:rFonts w:hint="default"/>
                      <w:color w:val="auto"/>
                      <w:u w:val="none" w:color="auto"/>
                      <w:lang w:val="en-US" w:eastAsia="zh-CN"/>
                    </w:rPr>
                  </w:pPr>
                  <w:r>
                    <w:rPr>
                      <w:rFonts w:hint="eastAsia"/>
                      <w:color w:val="auto"/>
                      <w:u w:val="none" w:color="auto"/>
                      <w:lang w:val="en-US" w:eastAsia="zh-CN"/>
                    </w:rPr>
                    <w:t>15</w:t>
                  </w:r>
                </w:p>
              </w:tc>
              <w:tc>
                <w:tcPr>
                  <w:tcW w:w="4561" w:type="dxa"/>
                  <w:vAlign w:val="center"/>
                </w:tcPr>
                <w:p w14:paraId="44E2CAE6">
                  <w:pPr>
                    <w:pStyle w:val="24"/>
                    <w:bidi w:val="0"/>
                    <w:jc w:val="center"/>
                    <w:rPr>
                      <w:rFonts w:hint="default"/>
                      <w:color w:val="auto"/>
                      <w:u w:val="none" w:color="auto"/>
                      <w:lang w:val="en-US" w:eastAsia="zh-CN"/>
                    </w:rPr>
                  </w:pPr>
                  <w:r>
                    <w:rPr>
                      <w:rFonts w:hint="default"/>
                      <w:color w:val="auto"/>
                      <w:u w:val="none" w:color="auto"/>
                      <w:lang w:val="en-US" w:eastAsia="zh-CN"/>
                    </w:rPr>
                    <w:t>禁止新建、扩建不符合国家石化、现代煤化工等产业布局规划的项目。未通过认定的化工园区，不得新建、改扩建化工项目（安全、环保、节能和智能化改造项目除外）。</w:t>
                  </w:r>
                </w:p>
              </w:tc>
              <w:tc>
                <w:tcPr>
                  <w:tcW w:w="1155" w:type="dxa"/>
                  <w:vAlign w:val="center"/>
                </w:tcPr>
                <w:p w14:paraId="1206CEC6">
                  <w:pPr>
                    <w:pStyle w:val="24"/>
                    <w:bidi w:val="0"/>
                    <w:jc w:val="center"/>
                    <w:rPr>
                      <w:rFonts w:hint="default"/>
                      <w:color w:val="auto"/>
                      <w:u w:val="none" w:color="auto"/>
                      <w:lang w:val="en-US" w:eastAsia="zh-CN"/>
                    </w:rPr>
                  </w:pPr>
                  <w:r>
                    <w:rPr>
                      <w:rFonts w:hint="default"/>
                      <w:color w:val="auto"/>
                      <w:u w:val="none" w:color="auto"/>
                      <w:lang w:val="en-US" w:eastAsia="zh-CN"/>
                    </w:rPr>
                    <w:t>本项目不涉及石化、现代煤化工。</w:t>
                  </w:r>
                </w:p>
              </w:tc>
            </w:tr>
            <w:tr w14:paraId="21902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3" w:type="dxa"/>
                  <w:vAlign w:val="center"/>
                </w:tcPr>
                <w:p w14:paraId="470D899F">
                  <w:pPr>
                    <w:pStyle w:val="24"/>
                    <w:bidi w:val="0"/>
                    <w:jc w:val="center"/>
                    <w:rPr>
                      <w:rFonts w:hint="default"/>
                      <w:color w:val="auto"/>
                      <w:u w:val="none" w:color="auto"/>
                      <w:lang w:val="en-US" w:eastAsia="zh-CN"/>
                    </w:rPr>
                  </w:pPr>
                  <w:r>
                    <w:rPr>
                      <w:rFonts w:hint="eastAsia"/>
                      <w:color w:val="auto"/>
                      <w:u w:val="none" w:color="auto"/>
                      <w:lang w:val="en-US" w:eastAsia="zh-CN"/>
                    </w:rPr>
                    <w:t>16</w:t>
                  </w:r>
                </w:p>
              </w:tc>
              <w:tc>
                <w:tcPr>
                  <w:tcW w:w="4561" w:type="dxa"/>
                  <w:vAlign w:val="center"/>
                </w:tcPr>
                <w:p w14:paraId="55DDF67F">
                  <w:pPr>
                    <w:pStyle w:val="24"/>
                    <w:bidi w:val="0"/>
                    <w:jc w:val="center"/>
                    <w:rPr>
                      <w:rFonts w:hint="default"/>
                      <w:color w:val="auto"/>
                      <w:u w:val="none" w:color="auto"/>
                      <w:lang w:val="en-US" w:eastAsia="zh-CN"/>
                    </w:rPr>
                  </w:pPr>
                  <w:r>
                    <w:rPr>
                      <w:rFonts w:hint="default"/>
                      <w:color w:val="auto"/>
                      <w:u w:val="none" w:color="auto"/>
                      <w:lang w:val="en-US" w:eastAsia="zh-CN"/>
                    </w:rPr>
                    <w:t>禁止新建、扩建法律法规和相关政策明令禁止的落后产能项目</w:t>
                  </w:r>
                  <w:r>
                    <w:rPr>
                      <w:rFonts w:hint="eastAsia"/>
                      <w:color w:val="auto"/>
                      <w:u w:val="none" w:color="auto"/>
                      <w:lang w:val="en-US" w:eastAsia="zh-CN"/>
                    </w:rPr>
                    <w:t>；</w:t>
                  </w:r>
                  <w:r>
                    <w:rPr>
                      <w:rFonts w:hint="default"/>
                      <w:color w:val="auto"/>
                      <w:u w:val="none" w:color="auto"/>
                      <w:lang w:val="en-US" w:eastAsia="zh-CN"/>
                    </w:rPr>
                    <w:t>对不符合要求的落后产能存量项目依法依规退出。禁止新建、扩建不符合国家产能置换要求的严重过剩产能行业（钢铁、水泥，电解铝、平板玻璃、船舶等行业）的项目。对确有必要新建、扩建的，必须严格执行产能置换实施办法，实施减量或等量置换，依法依规办理有关手续。禁止新建、扩建不符合要求的高耗能高排放项目。</w:t>
                  </w:r>
                </w:p>
              </w:tc>
              <w:tc>
                <w:tcPr>
                  <w:tcW w:w="1155" w:type="dxa"/>
                  <w:vAlign w:val="center"/>
                </w:tcPr>
                <w:p w14:paraId="0545918F">
                  <w:pPr>
                    <w:pStyle w:val="24"/>
                    <w:bidi w:val="0"/>
                    <w:jc w:val="center"/>
                    <w:rPr>
                      <w:rFonts w:hint="default"/>
                      <w:color w:val="auto"/>
                      <w:u w:val="none" w:color="auto"/>
                      <w:lang w:val="en-US" w:eastAsia="zh-CN"/>
                    </w:rPr>
                  </w:pPr>
                  <w:r>
                    <w:rPr>
                      <w:rFonts w:hint="eastAsia"/>
                      <w:color w:val="auto"/>
                      <w:u w:val="none" w:color="auto"/>
                      <w:lang w:val="en-US" w:eastAsia="zh-CN"/>
                    </w:rPr>
                    <w:t>本</w:t>
                  </w:r>
                  <w:r>
                    <w:rPr>
                      <w:rFonts w:hint="default"/>
                      <w:color w:val="auto"/>
                      <w:u w:val="none" w:color="auto"/>
                      <w:lang w:val="en-US" w:eastAsia="zh-CN"/>
                    </w:rPr>
                    <w:t>项目建设符合国家相关政策，不</w:t>
                  </w:r>
                </w:p>
                <w:p w14:paraId="3A89BADF">
                  <w:pPr>
                    <w:pStyle w:val="24"/>
                    <w:bidi w:val="0"/>
                    <w:jc w:val="center"/>
                    <w:rPr>
                      <w:rFonts w:hint="default"/>
                      <w:color w:val="auto"/>
                      <w:u w:val="none" w:color="auto"/>
                      <w:lang w:val="en-US" w:eastAsia="zh-CN"/>
                    </w:rPr>
                  </w:pPr>
                  <w:r>
                    <w:rPr>
                      <w:rFonts w:hint="default"/>
                      <w:color w:val="auto"/>
                      <w:u w:val="none" w:color="auto"/>
                      <w:lang w:val="en-US" w:eastAsia="zh-CN"/>
                    </w:rPr>
                    <w:t>属于产能过剩行业，不属于高耗能高排放项目。</w:t>
                  </w:r>
                </w:p>
              </w:tc>
            </w:tr>
          </w:tbl>
          <w:p w14:paraId="33E4C5A0">
            <w:pPr>
              <w:pStyle w:val="22"/>
              <w:bidi w:val="0"/>
              <w:ind w:left="0" w:leftChars="0" w:firstLine="480" w:firstLineChars="200"/>
              <w:rPr>
                <w:rFonts w:hint="default"/>
                <w:color w:val="auto"/>
                <w:u w:val="none" w:color="auto"/>
                <w:lang w:val="en-US" w:eastAsia="zh-CN"/>
              </w:rPr>
            </w:pPr>
            <w:r>
              <w:rPr>
                <w:rFonts w:hint="default"/>
                <w:color w:val="auto"/>
                <w:u w:val="none" w:color="auto"/>
                <w:lang w:val="en-US" w:eastAsia="zh-CN"/>
              </w:rPr>
              <w:t>由上表可知，本项目</w:t>
            </w:r>
            <w:r>
              <w:rPr>
                <w:rFonts w:hint="eastAsia"/>
                <w:color w:val="auto"/>
                <w:u w:val="none" w:color="auto"/>
                <w:lang w:val="en-US" w:eastAsia="zh-CN"/>
              </w:rPr>
              <w:t>不属于</w:t>
            </w:r>
            <w:r>
              <w:rPr>
                <w:rFonts w:hint="default"/>
                <w:color w:val="auto"/>
                <w:u w:val="none" w:color="auto"/>
                <w:lang w:val="en-US" w:eastAsia="zh-CN"/>
              </w:rPr>
              <w:t>《湖南省长江经济带发展负面清单实施细则》（试行，2022 年版）</w:t>
            </w:r>
            <w:r>
              <w:rPr>
                <w:rFonts w:hint="eastAsia"/>
                <w:lang w:val="en-US" w:eastAsia="zh-CN"/>
              </w:rPr>
              <w:t>中项目</w:t>
            </w:r>
            <w:r>
              <w:rPr>
                <w:rFonts w:hint="default"/>
                <w:color w:val="auto"/>
                <w:u w:val="none" w:color="auto"/>
                <w:lang w:val="en-US" w:eastAsia="zh-CN"/>
              </w:rPr>
              <w:t>。</w:t>
            </w:r>
          </w:p>
          <w:p w14:paraId="7CB0B09F">
            <w:pPr>
              <w:pStyle w:val="21"/>
              <w:bidi w:val="0"/>
              <w:rPr>
                <w:rFonts w:hint="default"/>
                <w:color w:val="auto"/>
                <w:lang w:val="en-US" w:eastAsia="zh-CN"/>
              </w:rPr>
            </w:pPr>
            <w:r>
              <w:rPr>
                <w:rFonts w:hint="eastAsia"/>
                <w:color w:val="auto"/>
                <w:lang w:val="en-US" w:eastAsia="zh-CN"/>
              </w:rPr>
              <w:t>5、选址合理性分析</w:t>
            </w:r>
          </w:p>
          <w:p w14:paraId="56E0FAC9">
            <w:pPr>
              <w:pStyle w:val="22"/>
              <w:bidi w:val="0"/>
              <w:rPr>
                <w:rFonts w:hint="default"/>
                <w:color w:val="auto"/>
                <w:u w:val="single"/>
                <w:lang w:val="en-US" w:eastAsia="zh-CN"/>
              </w:rPr>
            </w:pPr>
            <w:r>
              <w:rPr>
                <w:rFonts w:hint="default"/>
                <w:color w:val="auto"/>
                <w:u w:val="single"/>
                <w:lang w:val="en-US" w:eastAsia="zh-CN"/>
              </w:rPr>
              <w:t>本项目选址位于</w:t>
            </w:r>
            <w:r>
              <w:rPr>
                <w:rFonts w:hint="eastAsia"/>
                <w:color w:val="auto"/>
                <w:u w:val="single"/>
                <w:lang w:val="en-US" w:eastAsia="zh-CN"/>
              </w:rPr>
              <w:t>岳阳县高新技术产业开发区</w:t>
            </w:r>
            <w:r>
              <w:rPr>
                <w:rFonts w:hint="eastAsia"/>
                <w:sz w:val="24"/>
                <w:u w:val="single"/>
              </w:rPr>
              <w:t>洪山洞片区</w:t>
            </w:r>
            <w:r>
              <w:rPr>
                <w:rFonts w:hint="eastAsia"/>
                <w:color w:val="auto"/>
                <w:u w:val="single"/>
                <w:lang w:val="en-US" w:eastAsia="zh-CN"/>
              </w:rPr>
              <w:t>，园区</w:t>
            </w:r>
            <w:r>
              <w:rPr>
                <w:rFonts w:hint="default"/>
                <w:color w:val="auto"/>
                <w:u w:val="single"/>
                <w:lang w:val="en-US" w:eastAsia="zh-CN"/>
              </w:rPr>
              <w:t>区域交通运输条件好</w:t>
            </w:r>
            <w:r>
              <w:rPr>
                <w:rFonts w:hint="eastAsia"/>
                <w:color w:val="auto"/>
                <w:u w:val="single"/>
                <w:lang w:val="en-US" w:eastAsia="zh-CN"/>
              </w:rPr>
              <w:t>，工业配套设施较为完善，水电管网和排污管网已完成铺设，园区规划建设的岳阳高新技术产业园区长湖片污水处理厂已投入运营。</w:t>
            </w:r>
          </w:p>
          <w:p w14:paraId="351ADF39">
            <w:pPr>
              <w:pStyle w:val="22"/>
              <w:bidi w:val="0"/>
              <w:rPr>
                <w:rFonts w:hint="default"/>
                <w:color w:val="auto"/>
                <w:u w:val="single"/>
                <w:lang w:val="en-US" w:eastAsia="zh-CN"/>
              </w:rPr>
            </w:pPr>
            <w:r>
              <w:rPr>
                <w:rFonts w:hint="eastAsia"/>
                <w:color w:val="auto"/>
                <w:u w:val="single"/>
                <w:lang w:val="en-US" w:eastAsia="zh-CN"/>
              </w:rPr>
              <w:t>项目</w:t>
            </w:r>
            <w:r>
              <w:rPr>
                <w:rFonts w:hint="default"/>
                <w:color w:val="auto"/>
                <w:u w:val="single"/>
                <w:lang w:val="en-US" w:eastAsia="zh-CN"/>
              </w:rPr>
              <w:t>占地面积</w:t>
            </w:r>
            <w:r>
              <w:rPr>
                <w:rFonts w:hint="eastAsia"/>
                <w:color w:val="auto"/>
                <w:u w:val="single"/>
                <w:lang w:val="en-US" w:eastAsia="zh-CN"/>
              </w:rPr>
              <w:t>13554.15平方米，</w:t>
            </w:r>
            <w:r>
              <w:rPr>
                <w:rFonts w:hint="default"/>
                <w:color w:val="auto"/>
                <w:u w:val="single"/>
                <w:lang w:val="en-US" w:eastAsia="zh-CN"/>
              </w:rPr>
              <w:t>项目的选址不在自然保护区、风景名胜区等环境敏感区内，项目建设场址所在地水、电供应均有保证，</w:t>
            </w:r>
            <w:r>
              <w:rPr>
                <w:rFonts w:hint="eastAsia"/>
                <w:color w:val="auto"/>
                <w:u w:val="single"/>
                <w:lang w:val="en-US" w:eastAsia="zh-CN"/>
              </w:rPr>
              <w:t>项目主要依靠园区内湖南金力泰新材料科技有限公司的余热供热（设热风炉备用），能够</w:t>
            </w:r>
            <w:r>
              <w:rPr>
                <w:rFonts w:hint="default"/>
                <w:color w:val="auto"/>
                <w:u w:val="single"/>
                <w:lang w:val="en-US" w:eastAsia="zh-CN"/>
              </w:rPr>
              <w:t>满足本项目生产及生活需求。</w:t>
            </w:r>
          </w:p>
          <w:p w14:paraId="257FE5C9">
            <w:pPr>
              <w:pStyle w:val="22"/>
              <w:bidi w:val="0"/>
              <w:rPr>
                <w:rFonts w:hint="default"/>
                <w:u w:val="single"/>
                <w:lang w:val="en-US" w:eastAsia="zh-CN"/>
              </w:rPr>
            </w:pPr>
            <w:r>
              <w:rPr>
                <w:rFonts w:hint="default"/>
                <w:u w:val="single"/>
                <w:lang w:val="en-US" w:eastAsia="zh-CN"/>
              </w:rPr>
              <w:t>本项目建成运营后，产生的废水、废气、固废和噪声等污染物通过加强管理及采取各项污染防治措施可有效实现污染物达标排放，对周边环境的影响较小，从环保的角度考虑，本项目选址合理可行。</w:t>
            </w:r>
          </w:p>
          <w:p w14:paraId="7541204B">
            <w:pPr>
              <w:pStyle w:val="21"/>
              <w:bidi w:val="0"/>
              <w:rPr>
                <w:rFonts w:hint="default"/>
                <w:color w:val="auto"/>
                <w:lang w:val="en-US" w:eastAsia="zh-CN"/>
              </w:rPr>
            </w:pPr>
            <w:r>
              <w:rPr>
                <w:rFonts w:hint="eastAsia"/>
                <w:color w:val="auto"/>
                <w:lang w:val="en-US" w:eastAsia="zh-CN"/>
              </w:rPr>
              <w:t>6、厂区平面布局合理性分析</w:t>
            </w:r>
          </w:p>
          <w:p w14:paraId="736323E5">
            <w:pPr>
              <w:pStyle w:val="22"/>
              <w:bidi w:val="0"/>
              <w:rPr>
                <w:rFonts w:hint="default"/>
                <w:u w:val="single"/>
                <w:lang w:val="en-US" w:eastAsia="zh-CN"/>
              </w:rPr>
            </w:pPr>
            <w:r>
              <w:rPr>
                <w:rFonts w:hint="eastAsia"/>
                <w:u w:val="single"/>
                <w:lang w:val="en-US" w:eastAsia="zh-CN"/>
              </w:rPr>
              <w:t>厂区分为生产车间、仓库、研发楼三个主体建筑，将生产区、仓储区、办公生活区明确分开。生产车间与仓库相邻，且之间有连廊沟通，厂区东北角设次入口，物料从入口→仓库→生产→成品库→出口的路线短捷顺畅符合工艺流程。研发楼东西两侧设绿化带，能减少生产噪声和道路车辆噪声对办公区的影响。根据上述分析，本项目厂区平面布局合理。</w:t>
            </w:r>
          </w:p>
        </w:tc>
      </w:tr>
    </w:tbl>
    <w:p w14:paraId="3708B419">
      <w:pPr>
        <w:rPr>
          <w:rStyle w:val="17"/>
          <w:rFonts w:hint="eastAsia"/>
          <w:color w:val="4874CB" w:themeColor="accent1"/>
          <w:lang w:val="en-US" w:eastAsia="zh-CN"/>
          <w14:textFill>
            <w14:solidFill>
              <w14:schemeClr w14:val="accent1"/>
            </w14:solidFill>
          </w14:textFill>
        </w:rPr>
      </w:pPr>
      <w:r>
        <w:rPr>
          <w:rStyle w:val="17"/>
          <w:rFonts w:hint="eastAsia"/>
          <w:color w:val="4874CB" w:themeColor="accent1"/>
          <w:lang w:val="en-US" w:eastAsia="zh-CN"/>
          <w14:textFill>
            <w14:solidFill>
              <w14:schemeClr w14:val="accent1"/>
            </w14:solidFill>
          </w14:textFill>
        </w:rPr>
        <w:br w:type="page"/>
      </w:r>
    </w:p>
    <w:p w14:paraId="389D9EF6">
      <w:pPr>
        <w:pStyle w:val="2"/>
        <w:bidi w:val="0"/>
        <w:rPr>
          <w:rFonts w:hint="default" w:ascii="Times New Roman" w:hAnsi="Times New Roman" w:eastAsia="宋体" w:cs="Times New Roman"/>
          <w:color w:val="auto"/>
          <w:u w:val="none" w:color="auto"/>
        </w:rPr>
      </w:pPr>
      <w:bookmarkStart w:id="8" w:name="_Toc21316"/>
      <w:r>
        <w:rPr>
          <w:rFonts w:hint="default" w:ascii="Times New Roman" w:hAnsi="Times New Roman" w:eastAsia="宋体" w:cs="Times New Roman"/>
          <w:color w:val="auto"/>
          <w:u w:val="none" w:color="auto"/>
        </w:rPr>
        <w:t>二、建设项目工程分析</w:t>
      </w:r>
      <w:bookmarkEnd w:id="8"/>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8074"/>
      </w:tblGrid>
      <w:tr w14:paraId="351F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8" w:type="dxa"/>
            <w:vAlign w:val="center"/>
          </w:tcPr>
          <w:p w14:paraId="555262FA">
            <w:pPr>
              <w:bidi w:val="0"/>
              <w:ind w:left="0" w:leftChars="0" w:firstLine="0" w:firstLineChars="0"/>
              <w:jc w:val="center"/>
              <w:rPr>
                <w:rFonts w:hint="eastAsia"/>
                <w:color w:val="4874CB" w:themeColor="accent1"/>
                <w:lang w:val="en-US" w:eastAsia="zh-CN"/>
                <w14:textFill>
                  <w14:solidFill>
                    <w14:schemeClr w14:val="accent1"/>
                  </w14:solidFill>
                </w14:textFill>
              </w:rPr>
            </w:pPr>
            <w:r>
              <w:rPr>
                <w:rFonts w:hint="eastAsia"/>
                <w:color w:val="auto"/>
                <w:lang w:val="en-US" w:eastAsia="zh-CN"/>
              </w:rPr>
              <w:t>建设内容</w:t>
            </w:r>
          </w:p>
        </w:tc>
        <w:tc>
          <w:tcPr>
            <w:tcW w:w="8074" w:type="dxa"/>
          </w:tcPr>
          <w:p w14:paraId="44FB9B93">
            <w:pPr>
              <w:pStyle w:val="21"/>
              <w:numPr>
                <w:ilvl w:val="0"/>
                <w:numId w:val="2"/>
              </w:numPr>
              <w:bidi w:val="0"/>
              <w:rPr>
                <w:rFonts w:hint="eastAsia"/>
                <w:color w:val="auto"/>
                <w:lang w:val="en-US" w:eastAsia="zh-CN"/>
              </w:rPr>
            </w:pPr>
            <w:r>
              <w:rPr>
                <w:rFonts w:hint="eastAsia"/>
                <w:color w:val="auto"/>
                <w:lang w:val="en-US" w:eastAsia="zh-CN"/>
              </w:rPr>
              <w:t>项目由来</w:t>
            </w:r>
          </w:p>
          <w:p w14:paraId="6A84F6F6">
            <w:pPr>
              <w:pStyle w:val="22"/>
              <w:bidi w:val="0"/>
              <w:rPr>
                <w:rFonts w:hint="default"/>
                <w:color w:val="4874CB" w:themeColor="accent1"/>
                <w:highlight w:val="none"/>
                <w:u w:val="single"/>
                <w:lang w:val="en-US" w:eastAsia="zh-CN"/>
                <w14:textFill>
                  <w14:solidFill>
                    <w14:schemeClr w14:val="accent1"/>
                  </w14:solidFill>
                </w14:textFill>
              </w:rPr>
            </w:pPr>
            <w:r>
              <w:rPr>
                <w:rFonts w:hint="eastAsia"/>
                <w:color w:val="auto"/>
                <w:lang w:val="en-US" w:eastAsia="zh-CN"/>
              </w:rPr>
              <w:t>湖南鑫澳兴农业科技有限公司成立于2025年06月17日，从事肥料生产，肥料销售等业务。</w:t>
            </w:r>
            <w:r>
              <w:rPr>
                <w:rFonts w:hint="eastAsia" w:ascii="Times New Roman" w:hAnsi="Times New Roman" w:eastAsia="宋体" w:cs="Times New Roman"/>
                <w:color w:val="auto"/>
                <w:lang w:val="en-US" w:eastAsia="zh-CN"/>
              </w:rPr>
              <w:t>当前农村化肥供应存在季节性强、用肥集中、价格波动大、中间环节多，产量</w:t>
            </w:r>
            <w:r>
              <w:rPr>
                <w:rFonts w:hint="eastAsia" w:cs="Times New Roman"/>
                <w:color w:val="auto"/>
                <w:lang w:val="en-US" w:eastAsia="zh-CN"/>
              </w:rPr>
              <w:t>产量与</w:t>
            </w:r>
            <w:r>
              <w:rPr>
                <w:rFonts w:hint="eastAsia" w:ascii="Times New Roman" w:hAnsi="Times New Roman" w:eastAsia="宋体" w:cs="Times New Roman"/>
                <w:color w:val="auto"/>
                <w:lang w:val="en-US" w:eastAsia="zh-CN"/>
              </w:rPr>
              <w:t>质量参差不齐等诸多问题，亟需由供销系统牵头建立一个集中化、高效化、质量和货源有充足保障的生产与仓储体系。而传统化肥生产与仓储模式存在资源浪费、环境污染等问题，需通过绿色化、智能化升级来减轻环保压力。</w:t>
            </w:r>
            <w:r>
              <w:rPr>
                <w:rFonts w:hint="eastAsia" w:ascii="Times New Roman" w:hAnsi="Times New Roman" w:eastAsia="宋体" w:cs="Times New Roman"/>
                <w:color w:val="auto"/>
                <w:u w:val="single"/>
                <w:lang w:val="en-US" w:eastAsia="zh-CN"/>
              </w:rPr>
              <w:t>因此</w:t>
            </w:r>
            <w:r>
              <w:rPr>
                <w:rFonts w:hint="eastAsia"/>
                <w:color w:val="auto"/>
                <w:u w:val="single"/>
                <w:lang w:val="en-US" w:eastAsia="zh-CN"/>
              </w:rPr>
              <w:t>湖南鑫澳兴农业科技有限公司</w:t>
            </w:r>
            <w:r>
              <w:rPr>
                <w:rFonts w:hint="eastAsia" w:ascii="Times New Roman" w:hAnsi="Times New Roman" w:eastAsia="宋体" w:cs="Times New Roman"/>
                <w:color w:val="auto"/>
                <w:u w:val="single"/>
                <w:lang w:val="en-US" w:eastAsia="zh-CN"/>
              </w:rPr>
              <w:t>拟于</w:t>
            </w:r>
            <w:r>
              <w:rPr>
                <w:rFonts w:hint="eastAsia" w:cs="Times New Roman"/>
                <w:color w:val="auto"/>
                <w:u w:val="single" w:color="auto"/>
                <w:lang w:eastAsia="zh-CN"/>
              </w:rPr>
              <w:t>岳阳县高新技术产业开发区</w:t>
            </w:r>
            <w:r>
              <w:rPr>
                <w:rFonts w:hint="eastAsia"/>
                <w:sz w:val="24"/>
                <w:u w:val="single"/>
              </w:rPr>
              <w:t>洪山洞片区</w:t>
            </w:r>
            <w:r>
              <w:rPr>
                <w:rFonts w:hint="eastAsia"/>
                <w:sz w:val="24"/>
                <w:u w:val="single"/>
                <w:lang w:eastAsia="zh-CN"/>
              </w:rPr>
              <w:t>（</w:t>
            </w:r>
            <w:r>
              <w:rPr>
                <w:rFonts w:hint="eastAsia" w:cs="Times New Roman"/>
                <w:color w:val="auto"/>
                <w:u w:val="single" w:color="auto"/>
                <w:lang w:val="en-US" w:eastAsia="zh-CN"/>
              </w:rPr>
              <w:t>长湖工业组团）内投资22000万元建设“年产2万吨复合肥料、3万吨掺混肥料生产线建设项目”，该项目将建设成为</w:t>
            </w:r>
            <w:r>
              <w:rPr>
                <w:rFonts w:hint="eastAsia" w:ascii="Times New Roman" w:hAnsi="Times New Roman" w:eastAsia="宋体" w:cs="Times New Roman"/>
                <w:color w:val="auto"/>
                <w:u w:val="single"/>
                <w:lang w:val="en-US" w:eastAsia="zh-CN"/>
              </w:rPr>
              <w:t>由供销系统主导的集肥料生产、物流、仓储为一体的配送中心。</w:t>
            </w:r>
          </w:p>
          <w:p w14:paraId="2621DE0C">
            <w:pPr>
              <w:pStyle w:val="22"/>
              <w:bidi w:val="0"/>
              <w:rPr>
                <w:rFonts w:hint="default"/>
                <w:color w:val="auto"/>
                <w:highlight w:val="none"/>
                <w:u w:val="none"/>
                <w:lang w:val="en-US" w:eastAsia="zh-CN"/>
              </w:rPr>
            </w:pPr>
            <w:r>
              <w:rPr>
                <w:rFonts w:hint="eastAsia"/>
                <w:color w:val="auto"/>
                <w:highlight w:val="none"/>
                <w:u w:val="none"/>
                <w:lang w:val="en-US" w:eastAsia="zh-CN"/>
              </w:rPr>
              <w:t>根据</w:t>
            </w:r>
            <w:r>
              <w:rPr>
                <w:rFonts w:hint="default"/>
                <w:color w:val="auto"/>
                <w:highlight w:val="none"/>
                <w:u w:val="none"/>
                <w:lang w:val="en-US" w:eastAsia="zh-CN"/>
              </w:rPr>
              <w:t>《中华人民共和国环境影响评价法》、《建设项目环境保护管理条例》的有关规定，项目需进行</w:t>
            </w:r>
            <w:r>
              <w:rPr>
                <w:rFonts w:hint="eastAsia"/>
                <w:color w:val="auto"/>
                <w:highlight w:val="none"/>
                <w:u w:val="none"/>
                <w:lang w:val="en-US" w:eastAsia="zh-CN"/>
              </w:rPr>
              <w:t>环境</w:t>
            </w:r>
            <w:r>
              <w:rPr>
                <w:rFonts w:hint="default"/>
                <w:color w:val="auto"/>
                <w:highlight w:val="none"/>
                <w:u w:val="none"/>
                <w:lang w:val="en-US" w:eastAsia="zh-CN"/>
              </w:rPr>
              <w:t>影响评价。对照《建设项目环境影响评价分类管理名录（2021年版）》，本项目行业类别属于</w:t>
            </w:r>
            <w:r>
              <w:rPr>
                <w:rFonts w:hint="eastAsia"/>
                <w:color w:val="auto"/>
                <w:highlight w:val="none"/>
                <w:u w:val="none"/>
                <w:lang w:val="en-US" w:eastAsia="zh-CN"/>
              </w:rPr>
              <w:t>“</w:t>
            </w:r>
            <w:r>
              <w:rPr>
                <w:rFonts w:hint="default" w:ascii="Times New Roman" w:hAnsi="Times New Roman" w:eastAsia="宋体" w:cs="Times New Roman"/>
                <w:color w:val="auto"/>
                <w:szCs w:val="21"/>
                <w:u w:val="none" w:color="auto"/>
                <w:lang w:val="en-US" w:eastAsia="zh-CN"/>
              </w:rPr>
              <w:t>二十</w:t>
            </w:r>
            <w:r>
              <w:rPr>
                <w:rFonts w:hint="eastAsia" w:cs="Times New Roman"/>
                <w:color w:val="auto"/>
                <w:szCs w:val="21"/>
                <w:u w:val="none" w:color="auto"/>
                <w:lang w:val="en-US" w:eastAsia="zh-CN"/>
              </w:rPr>
              <w:t>三</w:t>
            </w:r>
            <w:r>
              <w:rPr>
                <w:rFonts w:hint="default" w:ascii="Times New Roman" w:hAnsi="Times New Roman" w:eastAsia="宋体" w:cs="Times New Roman"/>
                <w:color w:val="auto"/>
                <w:szCs w:val="21"/>
                <w:u w:val="none" w:color="auto"/>
                <w:lang w:val="en-US" w:eastAsia="zh-CN"/>
              </w:rPr>
              <w:t>、</w:t>
            </w:r>
            <w:r>
              <w:rPr>
                <w:rFonts w:hint="eastAsia" w:cs="Times New Roman"/>
                <w:color w:val="auto"/>
                <w:szCs w:val="21"/>
                <w:u w:val="none" w:color="auto"/>
                <w:lang w:val="en-US" w:eastAsia="zh-CN"/>
              </w:rPr>
              <w:t>化学原料和化学制品制造业 45</w:t>
            </w:r>
            <w:r>
              <w:rPr>
                <w:rFonts w:hint="default" w:ascii="Times New Roman" w:hAnsi="Times New Roman" w:eastAsia="宋体" w:cs="Times New Roman"/>
                <w:color w:val="auto"/>
                <w:szCs w:val="21"/>
                <w:u w:val="none" w:color="auto"/>
                <w:lang w:val="en-US" w:eastAsia="zh-CN"/>
              </w:rPr>
              <w:t xml:space="preserve"> </w:t>
            </w:r>
            <w:r>
              <w:rPr>
                <w:rFonts w:hint="eastAsia" w:cs="Times New Roman"/>
                <w:color w:val="auto"/>
                <w:szCs w:val="21"/>
                <w:u w:val="none" w:color="auto"/>
                <w:lang w:val="en-US" w:eastAsia="zh-CN"/>
              </w:rPr>
              <w:t>肥料制造 262 其它类别</w:t>
            </w:r>
            <w:r>
              <w:rPr>
                <w:rFonts w:hint="eastAsia"/>
                <w:color w:val="auto"/>
                <w:highlight w:val="none"/>
                <w:u w:val="none"/>
                <w:lang w:val="en-US" w:eastAsia="zh-CN"/>
              </w:rPr>
              <w:t>”</w:t>
            </w:r>
            <w:r>
              <w:rPr>
                <w:rFonts w:hint="default"/>
                <w:color w:val="auto"/>
                <w:highlight w:val="none"/>
                <w:u w:val="none"/>
                <w:lang w:val="en-US" w:eastAsia="zh-CN"/>
              </w:rPr>
              <w:t>，应编制环境影响报告表。</w:t>
            </w:r>
          </w:p>
          <w:p w14:paraId="48D2ACB4">
            <w:pPr>
              <w:pStyle w:val="21"/>
              <w:bidi w:val="0"/>
              <w:rPr>
                <w:rFonts w:hint="eastAsia"/>
                <w:color w:val="auto"/>
                <w:lang w:val="en-US" w:eastAsia="zh-CN"/>
              </w:rPr>
            </w:pPr>
            <w:r>
              <w:rPr>
                <w:rFonts w:hint="eastAsia"/>
                <w:color w:val="auto"/>
                <w:lang w:val="en-US" w:eastAsia="zh-CN"/>
              </w:rPr>
              <w:t>2、项目基本情况</w:t>
            </w:r>
          </w:p>
          <w:p w14:paraId="4FEE2879">
            <w:pPr>
              <w:pStyle w:val="22"/>
              <w:bidi w:val="0"/>
              <w:rPr>
                <w:rFonts w:hint="eastAsia"/>
                <w:color w:val="4874CB" w:themeColor="accent1"/>
                <w:lang w:val="en-US" w:eastAsia="zh-CN"/>
                <w14:textFill>
                  <w14:solidFill>
                    <w14:schemeClr w14:val="accent1"/>
                  </w14:solidFill>
                </w14:textFill>
              </w:rPr>
            </w:pPr>
            <w:r>
              <w:rPr>
                <w:rFonts w:hint="eastAsia"/>
                <w:color w:val="auto"/>
                <w:lang w:val="en-US" w:eastAsia="zh-CN"/>
              </w:rPr>
              <w:t>项目名称：</w:t>
            </w:r>
            <w:r>
              <w:rPr>
                <w:rFonts w:hint="default" w:ascii="Times New Roman" w:hAnsi="Times New Roman" w:eastAsia="宋体" w:cs="Times New Roman"/>
                <w:color w:val="auto"/>
                <w:u w:val="none" w:color="auto"/>
              </w:rPr>
              <w:t>年产</w:t>
            </w:r>
            <w:r>
              <w:rPr>
                <w:rFonts w:hint="eastAsia" w:cs="Times New Roman"/>
                <w:color w:val="auto"/>
                <w:u w:val="none" w:color="auto"/>
                <w:lang w:val="en-US" w:eastAsia="zh-CN"/>
              </w:rPr>
              <w:t>2</w:t>
            </w:r>
            <w:r>
              <w:rPr>
                <w:rFonts w:hint="default" w:ascii="Times New Roman" w:hAnsi="Times New Roman" w:eastAsia="宋体" w:cs="Times New Roman"/>
                <w:color w:val="auto"/>
                <w:u w:val="none" w:color="auto"/>
              </w:rPr>
              <w:t>万吨</w:t>
            </w:r>
            <w:r>
              <w:rPr>
                <w:rFonts w:hint="eastAsia" w:cs="Times New Roman"/>
                <w:color w:val="auto"/>
                <w:u w:val="none" w:color="auto"/>
                <w:lang w:val="en-US" w:eastAsia="zh-CN"/>
              </w:rPr>
              <w:t>复合肥料、</w:t>
            </w:r>
            <w:r>
              <w:rPr>
                <w:rFonts w:hint="eastAsia"/>
                <w:sz w:val="24"/>
                <w:szCs w:val="24"/>
                <w:u w:val="none"/>
              </w:rPr>
              <w:t>3万吨掺混肥料</w:t>
            </w:r>
            <w:r>
              <w:rPr>
                <w:rFonts w:hint="eastAsia" w:cs="Times New Roman"/>
                <w:color w:val="auto"/>
                <w:u w:val="none" w:color="auto"/>
                <w:lang w:val="en-US" w:eastAsia="zh-CN"/>
              </w:rPr>
              <w:t>生产线</w:t>
            </w:r>
            <w:r>
              <w:rPr>
                <w:rFonts w:hint="default" w:ascii="Times New Roman" w:hAnsi="Times New Roman" w:eastAsia="宋体" w:cs="Times New Roman"/>
                <w:color w:val="auto"/>
                <w:u w:val="none" w:color="auto"/>
              </w:rPr>
              <w:t>建设项目</w:t>
            </w:r>
            <w:r>
              <w:rPr>
                <w:rFonts w:hint="eastAsia"/>
                <w:color w:val="auto"/>
                <w:lang w:val="en-US" w:eastAsia="zh-CN"/>
              </w:rPr>
              <w:t>；</w:t>
            </w:r>
          </w:p>
          <w:p w14:paraId="6F4BDC51">
            <w:pPr>
              <w:pStyle w:val="22"/>
              <w:bidi w:val="0"/>
              <w:rPr>
                <w:rFonts w:hint="eastAsia"/>
                <w:color w:val="auto"/>
                <w:lang w:val="en-US" w:eastAsia="zh-CN"/>
              </w:rPr>
            </w:pPr>
            <w:r>
              <w:rPr>
                <w:rFonts w:hint="eastAsia"/>
                <w:color w:val="auto"/>
                <w:lang w:val="en-US" w:eastAsia="zh-CN"/>
              </w:rPr>
              <w:t>建设性质：新建；</w:t>
            </w:r>
          </w:p>
          <w:p w14:paraId="365F9623">
            <w:pPr>
              <w:pStyle w:val="22"/>
              <w:bidi w:val="0"/>
              <w:rPr>
                <w:rFonts w:hint="eastAsia"/>
                <w:color w:val="auto"/>
                <w:lang w:val="en-US" w:eastAsia="zh-CN"/>
              </w:rPr>
            </w:pPr>
            <w:r>
              <w:rPr>
                <w:rFonts w:hint="eastAsia"/>
                <w:color w:val="auto"/>
                <w:lang w:val="en-US" w:eastAsia="zh-CN"/>
              </w:rPr>
              <w:t>建设单位：湖南鑫澳兴农业科技有限公司；</w:t>
            </w:r>
          </w:p>
          <w:p w14:paraId="3115BFAC">
            <w:pPr>
              <w:pStyle w:val="22"/>
              <w:bidi w:val="0"/>
              <w:rPr>
                <w:rFonts w:hint="eastAsia"/>
                <w:color w:val="4874CB" w:themeColor="accent1"/>
                <w:lang w:val="en-US" w:eastAsia="zh-CN"/>
                <w14:textFill>
                  <w14:solidFill>
                    <w14:schemeClr w14:val="accent1"/>
                  </w14:solidFill>
                </w14:textFill>
              </w:rPr>
            </w:pPr>
            <w:r>
              <w:rPr>
                <w:rFonts w:hint="eastAsia"/>
                <w:color w:val="auto"/>
                <w:lang w:val="en-US" w:eastAsia="zh-CN"/>
              </w:rPr>
              <w:t>建设地点：</w:t>
            </w:r>
            <w:r>
              <w:rPr>
                <w:rFonts w:hint="eastAsia" w:cs="Times New Roman"/>
                <w:color w:val="auto"/>
                <w:u w:val="single" w:color="auto"/>
                <w:lang w:eastAsia="zh-CN"/>
              </w:rPr>
              <w:t>岳阳县高新技术产业开发区</w:t>
            </w:r>
            <w:r>
              <w:rPr>
                <w:rFonts w:hint="eastAsia"/>
                <w:sz w:val="24"/>
                <w:u w:val="single"/>
              </w:rPr>
              <w:t>洪山洞片区</w:t>
            </w:r>
            <w:r>
              <w:rPr>
                <w:rFonts w:hint="eastAsia" w:cs="Times New Roman"/>
                <w:color w:val="auto"/>
                <w:u w:val="none" w:color="auto"/>
                <w:lang w:val="en-US" w:eastAsia="zh-CN"/>
              </w:rPr>
              <w:t>（</w:t>
            </w:r>
            <w:r>
              <w:rPr>
                <w:rFonts w:hint="default" w:ascii="Times New Roman" w:hAnsi="Times New Roman" w:eastAsia="宋体" w:cs="Times New Roman"/>
                <w:color w:val="auto"/>
                <w:szCs w:val="21"/>
                <w:highlight w:val="none"/>
                <w:u w:val="none" w:color="auto"/>
                <w:lang w:val="en-US" w:eastAsia="zh-CN"/>
              </w:rPr>
              <w:t>东经113°</w:t>
            </w:r>
            <w:r>
              <w:rPr>
                <w:rFonts w:hint="eastAsia" w:cs="Times New Roman"/>
                <w:color w:val="auto"/>
                <w:szCs w:val="21"/>
                <w:highlight w:val="none"/>
                <w:u w:val="none" w:color="auto"/>
                <w:lang w:val="en-US" w:eastAsia="zh-CN"/>
              </w:rPr>
              <w:t>22</w:t>
            </w:r>
            <w:r>
              <w:rPr>
                <w:rFonts w:hint="default" w:ascii="Times New Roman" w:hAnsi="Times New Roman" w:eastAsia="宋体" w:cs="Times New Roman"/>
                <w:color w:val="auto"/>
                <w:szCs w:val="21"/>
                <w:highlight w:val="none"/>
                <w:u w:val="none" w:color="auto"/>
                <w:lang w:val="en-US" w:eastAsia="zh-CN"/>
              </w:rPr>
              <w:t>′</w:t>
            </w:r>
            <w:r>
              <w:rPr>
                <w:rFonts w:hint="eastAsia" w:cs="Times New Roman"/>
                <w:color w:val="auto"/>
                <w:szCs w:val="21"/>
                <w:highlight w:val="none"/>
                <w:u w:val="none" w:color="auto"/>
                <w:lang w:val="en-US" w:eastAsia="zh-CN"/>
              </w:rPr>
              <w:t>89</w:t>
            </w:r>
            <w:r>
              <w:rPr>
                <w:rFonts w:hint="default" w:ascii="Times New Roman" w:hAnsi="Times New Roman" w:eastAsia="宋体" w:cs="Times New Roman"/>
                <w:color w:val="auto"/>
                <w:szCs w:val="21"/>
                <w:highlight w:val="none"/>
                <w:u w:val="none" w:color="auto"/>
                <w:lang w:val="en-US" w:eastAsia="zh-CN"/>
              </w:rPr>
              <w:t>″，北纬29°</w:t>
            </w:r>
            <w:r>
              <w:rPr>
                <w:rFonts w:hint="eastAsia" w:cs="Times New Roman"/>
                <w:color w:val="auto"/>
                <w:szCs w:val="21"/>
                <w:highlight w:val="none"/>
                <w:u w:val="none" w:color="auto"/>
                <w:lang w:val="en-US" w:eastAsia="zh-CN"/>
              </w:rPr>
              <w:t>06</w:t>
            </w:r>
            <w:r>
              <w:rPr>
                <w:rFonts w:hint="default" w:ascii="Times New Roman" w:hAnsi="Times New Roman" w:eastAsia="宋体" w:cs="Times New Roman"/>
                <w:color w:val="auto"/>
                <w:szCs w:val="21"/>
                <w:highlight w:val="none"/>
                <w:u w:val="none" w:color="auto"/>
                <w:lang w:val="en-US" w:eastAsia="zh-CN"/>
              </w:rPr>
              <w:t>′</w:t>
            </w:r>
            <w:r>
              <w:rPr>
                <w:rFonts w:hint="eastAsia" w:cs="Times New Roman"/>
                <w:color w:val="auto"/>
                <w:szCs w:val="21"/>
                <w:highlight w:val="none"/>
                <w:u w:val="none" w:color="auto"/>
                <w:lang w:val="en-US" w:eastAsia="zh-CN"/>
              </w:rPr>
              <w:t>49</w:t>
            </w:r>
            <w:r>
              <w:rPr>
                <w:rFonts w:hint="default" w:ascii="Times New Roman" w:hAnsi="Times New Roman" w:eastAsia="宋体" w:cs="Times New Roman"/>
                <w:color w:val="auto"/>
                <w:szCs w:val="21"/>
                <w:highlight w:val="none"/>
                <w:u w:val="none" w:color="auto"/>
                <w:lang w:val="en-US" w:eastAsia="zh-CN"/>
              </w:rPr>
              <w:t>″</w:t>
            </w:r>
            <w:r>
              <w:rPr>
                <w:rFonts w:hint="eastAsia" w:ascii="Times New Roman" w:hAnsi="Times New Roman" w:eastAsia="宋体" w:cs="Times New Roman"/>
                <w:color w:val="auto"/>
                <w:szCs w:val="21"/>
                <w:highlight w:val="none"/>
                <w:u w:val="none" w:color="auto"/>
                <w:lang w:val="en-US" w:eastAsia="zh-CN"/>
              </w:rPr>
              <w:t>）</w:t>
            </w:r>
            <w:r>
              <w:rPr>
                <w:rFonts w:hint="eastAsia"/>
                <w:color w:val="auto"/>
                <w:lang w:val="en-US" w:eastAsia="zh-CN"/>
              </w:rPr>
              <w:t>；</w:t>
            </w:r>
          </w:p>
          <w:p w14:paraId="0BB8F1A5">
            <w:pPr>
              <w:pStyle w:val="22"/>
              <w:bidi w:val="0"/>
              <w:rPr>
                <w:rFonts w:hint="eastAsia"/>
                <w:color w:val="auto"/>
                <w:lang w:val="en-US" w:eastAsia="zh-CN"/>
              </w:rPr>
            </w:pPr>
            <w:r>
              <w:rPr>
                <w:rFonts w:hint="eastAsia"/>
                <w:color w:val="auto"/>
                <w:lang w:val="en-US" w:eastAsia="zh-CN"/>
              </w:rPr>
              <w:t>占地面积：13554.15平方米；</w:t>
            </w:r>
          </w:p>
          <w:p w14:paraId="2F75E597">
            <w:pPr>
              <w:pStyle w:val="22"/>
              <w:bidi w:val="0"/>
              <w:rPr>
                <w:rFonts w:hint="default"/>
                <w:color w:val="4874CB" w:themeColor="accent1"/>
                <w:lang w:val="en-US" w:eastAsia="zh-CN"/>
                <w14:textFill>
                  <w14:solidFill>
                    <w14:schemeClr w14:val="accent1"/>
                  </w14:solidFill>
                </w14:textFill>
              </w:rPr>
            </w:pPr>
            <w:r>
              <w:rPr>
                <w:rFonts w:hint="eastAsia"/>
                <w:color w:val="auto"/>
                <w:lang w:val="en-US" w:eastAsia="zh-CN"/>
              </w:rPr>
              <w:t>项目投资：22000万元，</w:t>
            </w:r>
            <w:r>
              <w:rPr>
                <w:rFonts w:hint="eastAsia"/>
                <w:color w:val="auto"/>
                <w:highlight w:val="none"/>
                <w:lang w:val="en-US" w:eastAsia="zh-CN"/>
              </w:rPr>
              <w:t>其中环保投资58万元。</w:t>
            </w:r>
          </w:p>
          <w:p w14:paraId="2E251C37">
            <w:pPr>
              <w:pStyle w:val="21"/>
              <w:bidi w:val="0"/>
              <w:rPr>
                <w:rFonts w:hint="eastAsia"/>
                <w:color w:val="auto"/>
                <w:lang w:val="en-US" w:eastAsia="zh-CN"/>
              </w:rPr>
            </w:pPr>
            <w:r>
              <w:rPr>
                <w:rFonts w:hint="eastAsia"/>
                <w:color w:val="auto"/>
                <w:lang w:val="en-US" w:eastAsia="zh-CN"/>
              </w:rPr>
              <w:t>3、建设内容及规模</w:t>
            </w:r>
          </w:p>
          <w:p w14:paraId="107222FE">
            <w:pPr>
              <w:pStyle w:val="22"/>
              <w:bidi w:val="0"/>
              <w:rPr>
                <w:rFonts w:hint="default"/>
                <w:color w:val="auto"/>
                <w:lang w:val="en-US" w:eastAsia="zh-CN"/>
              </w:rPr>
            </w:pPr>
            <w:r>
              <w:rPr>
                <w:rFonts w:hint="eastAsia"/>
                <w:color w:val="auto"/>
                <w:lang w:val="en-US" w:eastAsia="zh-CN"/>
              </w:rPr>
              <w:t>本项目包含生产、仓储、物流，具体工程组成详见下表。</w:t>
            </w:r>
          </w:p>
          <w:p w14:paraId="1566DDE6">
            <w:pPr>
              <w:pStyle w:val="23"/>
              <w:bidi w:val="0"/>
              <w:rPr>
                <w:rFonts w:hint="default"/>
                <w:color w:val="auto"/>
                <w:u w:val="none" w:color="auto"/>
                <w:lang w:val="en-US" w:eastAsia="zh-CN"/>
              </w:rPr>
            </w:pPr>
            <w:r>
              <w:rPr>
                <w:rFonts w:hint="eastAsia"/>
                <w:color w:val="auto"/>
                <w:u w:val="none" w:color="auto"/>
                <w:lang w:val="en-US" w:eastAsia="zh-CN"/>
              </w:rPr>
              <w:t>表2-1  建设内容一览表</w:t>
            </w:r>
          </w:p>
          <w:tbl>
            <w:tblPr>
              <w:tblStyle w:val="1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143"/>
              <w:gridCol w:w="5396"/>
              <w:gridCol w:w="664"/>
            </w:tblGrid>
            <w:tr w14:paraId="1890E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vAlign w:val="center"/>
                </w:tcPr>
                <w:p w14:paraId="3B452447">
                  <w:pPr>
                    <w:pStyle w:val="24"/>
                    <w:bidi w:val="0"/>
                    <w:jc w:val="center"/>
                    <w:rPr>
                      <w:rFonts w:hint="default"/>
                      <w:color w:val="auto"/>
                      <w:u w:val="none" w:color="auto"/>
                      <w:lang w:val="en-US" w:eastAsia="zh-CN"/>
                    </w:rPr>
                  </w:pPr>
                  <w:r>
                    <w:rPr>
                      <w:rFonts w:hint="eastAsia"/>
                      <w:color w:val="auto"/>
                      <w:u w:val="none" w:color="auto"/>
                      <w:lang w:val="en-US" w:eastAsia="zh-CN"/>
                    </w:rPr>
                    <w:t>工程类别</w:t>
                  </w:r>
                </w:p>
              </w:tc>
              <w:tc>
                <w:tcPr>
                  <w:tcW w:w="728" w:type="pct"/>
                  <w:vAlign w:val="center"/>
                </w:tcPr>
                <w:p w14:paraId="72EF9A85">
                  <w:pPr>
                    <w:pStyle w:val="24"/>
                    <w:bidi w:val="0"/>
                    <w:jc w:val="center"/>
                    <w:rPr>
                      <w:rFonts w:hint="default"/>
                      <w:color w:val="auto"/>
                      <w:u w:val="none" w:color="auto"/>
                      <w:lang w:val="en-US" w:eastAsia="zh-CN"/>
                    </w:rPr>
                  </w:pPr>
                  <w:r>
                    <w:rPr>
                      <w:rFonts w:hint="eastAsia"/>
                      <w:color w:val="auto"/>
                      <w:u w:val="none" w:color="auto"/>
                      <w:lang w:val="en-US" w:eastAsia="zh-CN"/>
                    </w:rPr>
                    <w:t>工程内容</w:t>
                  </w:r>
                </w:p>
              </w:tc>
              <w:tc>
                <w:tcPr>
                  <w:tcW w:w="3439" w:type="pct"/>
                  <w:vAlign w:val="center"/>
                </w:tcPr>
                <w:p w14:paraId="0EFC52F2">
                  <w:pPr>
                    <w:pStyle w:val="24"/>
                    <w:bidi w:val="0"/>
                    <w:jc w:val="center"/>
                    <w:rPr>
                      <w:rFonts w:hint="default"/>
                      <w:color w:val="auto"/>
                      <w:u w:val="none" w:color="auto"/>
                      <w:lang w:val="en-US" w:eastAsia="zh-CN"/>
                    </w:rPr>
                  </w:pPr>
                  <w:r>
                    <w:rPr>
                      <w:rFonts w:hint="eastAsia"/>
                      <w:color w:val="auto"/>
                      <w:u w:val="none" w:color="auto"/>
                      <w:lang w:val="en-US" w:eastAsia="zh-CN"/>
                    </w:rPr>
                    <w:t>建设内容</w:t>
                  </w:r>
                </w:p>
              </w:tc>
              <w:tc>
                <w:tcPr>
                  <w:tcW w:w="423" w:type="pct"/>
                  <w:vAlign w:val="center"/>
                </w:tcPr>
                <w:p w14:paraId="591D68AC">
                  <w:pPr>
                    <w:pStyle w:val="24"/>
                    <w:bidi w:val="0"/>
                    <w:jc w:val="center"/>
                    <w:rPr>
                      <w:rFonts w:hint="default"/>
                      <w:color w:val="auto"/>
                      <w:u w:val="none" w:color="auto"/>
                      <w:lang w:val="en-US" w:eastAsia="zh-CN"/>
                    </w:rPr>
                  </w:pPr>
                  <w:r>
                    <w:rPr>
                      <w:rFonts w:hint="eastAsia"/>
                      <w:color w:val="auto"/>
                      <w:u w:val="none" w:color="auto"/>
                      <w:lang w:val="en-US" w:eastAsia="zh-CN"/>
                    </w:rPr>
                    <w:t>备注</w:t>
                  </w:r>
                </w:p>
              </w:tc>
            </w:tr>
            <w:tr w14:paraId="4F24A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vAlign w:val="center"/>
                </w:tcPr>
                <w:p w14:paraId="4B086A62">
                  <w:pPr>
                    <w:pStyle w:val="24"/>
                    <w:bidi w:val="0"/>
                    <w:jc w:val="center"/>
                    <w:rPr>
                      <w:rFonts w:hint="default"/>
                      <w:color w:val="auto"/>
                      <w:u w:val="none" w:color="auto"/>
                      <w:lang w:val="en-US" w:eastAsia="zh-CN"/>
                    </w:rPr>
                  </w:pPr>
                  <w:r>
                    <w:rPr>
                      <w:rFonts w:hint="eastAsia"/>
                      <w:color w:val="auto"/>
                      <w:u w:val="none" w:color="auto"/>
                      <w:lang w:val="en-US" w:eastAsia="zh-CN"/>
                    </w:rPr>
                    <w:t>主体工程</w:t>
                  </w:r>
                </w:p>
              </w:tc>
              <w:tc>
                <w:tcPr>
                  <w:tcW w:w="728" w:type="pct"/>
                  <w:vAlign w:val="center"/>
                </w:tcPr>
                <w:p w14:paraId="084F0030">
                  <w:pPr>
                    <w:pStyle w:val="24"/>
                    <w:bidi w:val="0"/>
                    <w:jc w:val="center"/>
                    <w:rPr>
                      <w:rFonts w:hint="default"/>
                      <w:color w:val="auto"/>
                      <w:highlight w:val="none"/>
                      <w:u w:val="none" w:color="auto"/>
                      <w:lang w:val="en-US" w:eastAsia="zh-CN"/>
                    </w:rPr>
                  </w:pPr>
                  <w:r>
                    <w:rPr>
                      <w:rFonts w:hint="eastAsia"/>
                      <w:color w:val="auto"/>
                      <w:highlight w:val="none"/>
                      <w:u w:val="none" w:color="auto"/>
                      <w:lang w:val="en-US" w:eastAsia="zh-CN"/>
                    </w:rPr>
                    <w:t>生产车间</w:t>
                  </w:r>
                </w:p>
              </w:tc>
              <w:tc>
                <w:tcPr>
                  <w:tcW w:w="3439" w:type="pct"/>
                  <w:vAlign w:val="center"/>
                </w:tcPr>
                <w:p w14:paraId="0422A11B">
                  <w:pPr>
                    <w:pStyle w:val="24"/>
                    <w:bidi w:val="0"/>
                    <w:jc w:val="center"/>
                    <w:rPr>
                      <w:rFonts w:hint="default"/>
                      <w:color w:val="auto"/>
                      <w:highlight w:val="none"/>
                      <w:u w:val="none" w:color="auto"/>
                      <w:lang w:val="en-US" w:eastAsia="zh-CN"/>
                    </w:rPr>
                  </w:pPr>
                  <w:r>
                    <w:rPr>
                      <w:rFonts w:hint="eastAsia"/>
                      <w:color w:val="auto"/>
                      <w:highlight w:val="none"/>
                      <w:u w:val="none" w:color="auto"/>
                      <w:lang w:val="en-US" w:eastAsia="zh-CN"/>
                    </w:rPr>
                    <w:t>1栋，1层，占地面积4410m</w:t>
                  </w:r>
                  <w:r>
                    <w:rPr>
                      <w:rFonts w:hint="eastAsia"/>
                      <w:color w:val="auto"/>
                      <w:highlight w:val="none"/>
                      <w:u w:val="none" w:color="auto"/>
                      <w:vertAlign w:val="superscript"/>
                      <w:lang w:val="en-US" w:eastAsia="zh-CN"/>
                    </w:rPr>
                    <w:t>2</w:t>
                  </w:r>
                  <w:r>
                    <w:rPr>
                      <w:rFonts w:hint="eastAsia"/>
                      <w:color w:val="auto"/>
                      <w:highlight w:val="none"/>
                      <w:u w:val="none" w:color="auto"/>
                      <w:lang w:val="en-US" w:eastAsia="zh-CN"/>
                    </w:rPr>
                    <w:t>，钢架结构，作为生产车间安装主要生产设备，主要建设一条肥料生产线（年产2万吨复合肥料及3万吨掺混肥料，两种产品合用一条生产线）。车间采取全封闭措施。</w:t>
                  </w:r>
                </w:p>
              </w:tc>
              <w:tc>
                <w:tcPr>
                  <w:tcW w:w="423" w:type="pct"/>
                  <w:vAlign w:val="center"/>
                </w:tcPr>
                <w:p w14:paraId="2F1ED236">
                  <w:pPr>
                    <w:pStyle w:val="24"/>
                    <w:bidi w:val="0"/>
                    <w:jc w:val="center"/>
                    <w:rPr>
                      <w:rFonts w:hint="default"/>
                      <w:color w:val="auto"/>
                      <w:u w:val="none" w:color="auto"/>
                      <w:lang w:val="en-US" w:eastAsia="zh-CN"/>
                    </w:rPr>
                  </w:pPr>
                  <w:r>
                    <w:rPr>
                      <w:rFonts w:hint="eastAsia"/>
                      <w:color w:val="auto"/>
                      <w:u w:val="none" w:color="auto"/>
                      <w:lang w:val="en-US" w:eastAsia="zh-CN"/>
                    </w:rPr>
                    <w:t>新建</w:t>
                  </w:r>
                </w:p>
              </w:tc>
            </w:tr>
            <w:tr w14:paraId="13BCF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vAlign w:val="center"/>
                </w:tcPr>
                <w:p w14:paraId="642FB546">
                  <w:pPr>
                    <w:pStyle w:val="24"/>
                    <w:bidi w:val="0"/>
                    <w:jc w:val="center"/>
                    <w:rPr>
                      <w:rFonts w:hint="eastAsia"/>
                      <w:color w:val="auto"/>
                      <w:u w:val="none" w:color="auto"/>
                      <w:lang w:val="en-US" w:eastAsia="zh-CN"/>
                    </w:rPr>
                  </w:pPr>
                  <w:r>
                    <w:rPr>
                      <w:rFonts w:hint="eastAsia"/>
                      <w:u w:val="none" w:color="auto"/>
                      <w:lang w:val="en-US" w:eastAsia="zh-CN"/>
                    </w:rPr>
                    <w:t>储运工程</w:t>
                  </w:r>
                </w:p>
              </w:tc>
              <w:tc>
                <w:tcPr>
                  <w:tcW w:w="728" w:type="pct"/>
                  <w:vAlign w:val="center"/>
                </w:tcPr>
                <w:p w14:paraId="6F2F087D">
                  <w:pPr>
                    <w:pStyle w:val="24"/>
                    <w:bidi w:val="0"/>
                    <w:jc w:val="center"/>
                    <w:rPr>
                      <w:rFonts w:hint="default"/>
                      <w:color w:val="auto"/>
                      <w:highlight w:val="none"/>
                      <w:u w:val="none" w:color="auto"/>
                      <w:lang w:val="en-US" w:eastAsia="zh-CN"/>
                    </w:rPr>
                  </w:pPr>
                  <w:r>
                    <w:rPr>
                      <w:rFonts w:hint="eastAsia"/>
                      <w:color w:val="auto"/>
                      <w:highlight w:val="none"/>
                      <w:u w:val="none" w:color="auto"/>
                      <w:lang w:val="en-US" w:eastAsia="zh-CN"/>
                    </w:rPr>
                    <w:t>仓库</w:t>
                  </w:r>
                </w:p>
              </w:tc>
              <w:tc>
                <w:tcPr>
                  <w:tcW w:w="3439" w:type="pct"/>
                  <w:vAlign w:val="center"/>
                </w:tcPr>
                <w:p w14:paraId="77096B53">
                  <w:pPr>
                    <w:pStyle w:val="24"/>
                    <w:bidi w:val="0"/>
                    <w:jc w:val="center"/>
                    <w:rPr>
                      <w:rFonts w:hint="eastAsia"/>
                      <w:color w:val="auto"/>
                      <w:highlight w:val="none"/>
                      <w:u w:val="none" w:color="auto"/>
                      <w:lang w:val="en-US" w:eastAsia="zh-CN"/>
                    </w:rPr>
                  </w:pPr>
                  <w:r>
                    <w:rPr>
                      <w:rFonts w:hint="eastAsia"/>
                      <w:color w:val="auto"/>
                      <w:highlight w:val="none"/>
                      <w:u w:val="none" w:color="auto"/>
                      <w:lang w:val="en-US" w:eastAsia="zh-CN"/>
                    </w:rPr>
                    <w:t>1栋，1层，占地面积2772m</w:t>
                  </w:r>
                  <w:r>
                    <w:rPr>
                      <w:rFonts w:hint="eastAsia"/>
                      <w:color w:val="auto"/>
                      <w:highlight w:val="none"/>
                      <w:u w:val="none" w:color="auto"/>
                      <w:vertAlign w:val="superscript"/>
                      <w:lang w:val="en-US" w:eastAsia="zh-CN"/>
                    </w:rPr>
                    <w:t>2</w:t>
                  </w:r>
                  <w:r>
                    <w:rPr>
                      <w:rFonts w:hint="eastAsia"/>
                      <w:color w:val="auto"/>
                      <w:highlight w:val="none"/>
                      <w:u w:val="none" w:color="auto"/>
                      <w:lang w:val="en-US" w:eastAsia="zh-CN"/>
                    </w:rPr>
                    <w:t>，全封闭钢架结构。</w:t>
                  </w:r>
                </w:p>
              </w:tc>
              <w:tc>
                <w:tcPr>
                  <w:tcW w:w="423" w:type="pct"/>
                  <w:vAlign w:val="center"/>
                </w:tcPr>
                <w:p w14:paraId="1E611C9B">
                  <w:pPr>
                    <w:pStyle w:val="24"/>
                    <w:bidi w:val="0"/>
                    <w:jc w:val="center"/>
                    <w:rPr>
                      <w:rFonts w:hint="eastAsia"/>
                      <w:color w:val="auto"/>
                      <w:u w:val="none" w:color="auto"/>
                      <w:lang w:val="en-US" w:eastAsia="zh-CN"/>
                    </w:rPr>
                  </w:pPr>
                  <w:r>
                    <w:rPr>
                      <w:rFonts w:hint="eastAsia"/>
                      <w:color w:val="auto"/>
                      <w:u w:val="none" w:color="auto"/>
                      <w:lang w:val="en-US" w:eastAsia="zh-CN"/>
                    </w:rPr>
                    <w:t>新建</w:t>
                  </w:r>
                </w:p>
              </w:tc>
            </w:tr>
            <w:tr w14:paraId="30DA1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9" w:type="pct"/>
                  <w:vMerge w:val="restart"/>
                  <w:vAlign w:val="center"/>
                </w:tcPr>
                <w:p w14:paraId="25F10795">
                  <w:pPr>
                    <w:pStyle w:val="24"/>
                    <w:bidi w:val="0"/>
                    <w:jc w:val="center"/>
                    <w:rPr>
                      <w:rFonts w:hint="default"/>
                      <w:color w:val="auto"/>
                      <w:u w:val="none" w:color="auto"/>
                      <w:lang w:val="en-US" w:eastAsia="zh-CN"/>
                    </w:rPr>
                  </w:pPr>
                  <w:r>
                    <w:rPr>
                      <w:rFonts w:hint="eastAsia"/>
                      <w:color w:val="auto"/>
                      <w:u w:val="none" w:color="auto"/>
                      <w:lang w:val="en-US" w:eastAsia="zh-CN"/>
                    </w:rPr>
                    <w:t>辅助工程</w:t>
                  </w:r>
                </w:p>
              </w:tc>
              <w:tc>
                <w:tcPr>
                  <w:tcW w:w="728" w:type="pct"/>
                  <w:vAlign w:val="center"/>
                </w:tcPr>
                <w:p w14:paraId="432349B9">
                  <w:pPr>
                    <w:pStyle w:val="24"/>
                    <w:bidi w:val="0"/>
                    <w:jc w:val="center"/>
                    <w:rPr>
                      <w:rFonts w:hint="default"/>
                      <w:color w:val="auto"/>
                      <w:highlight w:val="none"/>
                      <w:u w:val="none" w:color="auto"/>
                      <w:lang w:val="en-US" w:eastAsia="zh-CN"/>
                    </w:rPr>
                  </w:pPr>
                  <w:r>
                    <w:rPr>
                      <w:rFonts w:hint="eastAsia"/>
                      <w:color w:val="auto"/>
                      <w:highlight w:val="none"/>
                      <w:u w:val="none" w:color="auto"/>
                      <w:lang w:val="en-US" w:eastAsia="zh-CN"/>
                    </w:rPr>
                    <w:t>研发楼</w:t>
                  </w:r>
                </w:p>
              </w:tc>
              <w:tc>
                <w:tcPr>
                  <w:tcW w:w="3439" w:type="pct"/>
                  <w:vAlign w:val="center"/>
                </w:tcPr>
                <w:p w14:paraId="52CB428A">
                  <w:pPr>
                    <w:pStyle w:val="24"/>
                    <w:bidi w:val="0"/>
                    <w:jc w:val="center"/>
                    <w:rPr>
                      <w:rFonts w:hint="default"/>
                      <w:color w:val="auto"/>
                      <w:highlight w:val="none"/>
                      <w:u w:val="none" w:color="auto"/>
                      <w:vertAlign w:val="baseline"/>
                      <w:lang w:val="en-US" w:eastAsia="zh-CN"/>
                    </w:rPr>
                  </w:pPr>
                  <w:r>
                    <w:rPr>
                      <w:rFonts w:hint="eastAsia"/>
                      <w:color w:val="auto"/>
                      <w:highlight w:val="none"/>
                      <w:u w:val="none" w:color="auto"/>
                      <w:lang w:val="en-US" w:eastAsia="zh-CN"/>
                    </w:rPr>
                    <w:t>1栋，3层，占地面积468m</w:t>
                  </w:r>
                  <w:r>
                    <w:rPr>
                      <w:rFonts w:hint="eastAsia"/>
                      <w:color w:val="auto"/>
                      <w:highlight w:val="none"/>
                      <w:u w:val="none" w:color="auto"/>
                      <w:vertAlign w:val="superscript"/>
                      <w:lang w:val="en-US" w:eastAsia="zh-CN"/>
                    </w:rPr>
                    <w:t>2</w:t>
                  </w:r>
                  <w:r>
                    <w:rPr>
                      <w:rFonts w:hint="eastAsia"/>
                      <w:color w:val="auto"/>
                      <w:highlight w:val="none"/>
                      <w:u w:val="none" w:color="auto"/>
                      <w:vertAlign w:val="baseline"/>
                      <w:lang w:val="en-US" w:eastAsia="zh-CN"/>
                    </w:rPr>
                    <w:t>，含研发区、宿舍区、办公区</w:t>
                  </w:r>
                </w:p>
              </w:tc>
              <w:tc>
                <w:tcPr>
                  <w:tcW w:w="423" w:type="pct"/>
                  <w:vAlign w:val="center"/>
                </w:tcPr>
                <w:p w14:paraId="467A0065">
                  <w:pPr>
                    <w:pStyle w:val="24"/>
                    <w:bidi w:val="0"/>
                    <w:jc w:val="center"/>
                    <w:rPr>
                      <w:rFonts w:hint="eastAsia"/>
                      <w:color w:val="auto"/>
                      <w:u w:val="none" w:color="auto"/>
                      <w:lang w:val="en-US" w:eastAsia="zh-CN"/>
                    </w:rPr>
                  </w:pPr>
                  <w:r>
                    <w:rPr>
                      <w:rFonts w:hint="eastAsia"/>
                      <w:color w:val="auto"/>
                      <w:u w:val="none" w:color="auto"/>
                      <w:lang w:val="en-US" w:eastAsia="zh-CN"/>
                    </w:rPr>
                    <w:t>新建</w:t>
                  </w:r>
                </w:p>
              </w:tc>
            </w:tr>
            <w:tr w14:paraId="7F531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09" w:type="pct"/>
                  <w:vMerge w:val="continue"/>
                  <w:vAlign w:val="center"/>
                </w:tcPr>
                <w:p w14:paraId="07436314">
                  <w:pPr>
                    <w:pStyle w:val="24"/>
                    <w:bidi w:val="0"/>
                    <w:jc w:val="center"/>
                    <w:rPr>
                      <w:rFonts w:hint="default"/>
                      <w:color w:val="auto"/>
                      <w:u w:val="none" w:color="auto"/>
                      <w:lang w:val="en-US" w:eastAsia="zh-CN"/>
                    </w:rPr>
                  </w:pPr>
                </w:p>
              </w:tc>
              <w:tc>
                <w:tcPr>
                  <w:tcW w:w="728" w:type="pct"/>
                  <w:vAlign w:val="center"/>
                </w:tcPr>
                <w:p w14:paraId="7D1A3CFC">
                  <w:pPr>
                    <w:pStyle w:val="24"/>
                    <w:bidi w:val="0"/>
                    <w:jc w:val="center"/>
                    <w:rPr>
                      <w:rFonts w:hint="default"/>
                      <w:color w:val="auto"/>
                      <w:highlight w:val="none"/>
                      <w:u w:val="none" w:color="auto"/>
                      <w:lang w:val="en-US" w:eastAsia="zh-CN"/>
                    </w:rPr>
                  </w:pPr>
                  <w:r>
                    <w:rPr>
                      <w:rFonts w:hint="eastAsia"/>
                      <w:color w:val="auto"/>
                      <w:highlight w:val="none"/>
                      <w:u w:val="none" w:color="auto"/>
                      <w:lang w:val="en-US" w:eastAsia="zh-CN"/>
                    </w:rPr>
                    <w:t>门卫室</w:t>
                  </w:r>
                </w:p>
              </w:tc>
              <w:tc>
                <w:tcPr>
                  <w:tcW w:w="3439" w:type="pct"/>
                  <w:vAlign w:val="center"/>
                </w:tcPr>
                <w:p w14:paraId="780B7EA3">
                  <w:pPr>
                    <w:pStyle w:val="24"/>
                    <w:bidi w:val="0"/>
                    <w:jc w:val="center"/>
                    <w:rPr>
                      <w:rFonts w:hint="default"/>
                      <w:color w:val="auto"/>
                      <w:highlight w:val="none"/>
                      <w:u w:val="none" w:color="auto"/>
                      <w:lang w:val="en-US" w:eastAsia="zh-CN"/>
                    </w:rPr>
                  </w:pPr>
                  <w:r>
                    <w:rPr>
                      <w:rFonts w:hint="eastAsia"/>
                      <w:color w:val="auto"/>
                      <w:highlight w:val="none"/>
                      <w:u w:val="none" w:color="auto"/>
                      <w:lang w:val="en-US" w:eastAsia="zh-CN"/>
                    </w:rPr>
                    <w:t>1栋，1层，占地面积15m</w:t>
                  </w:r>
                  <w:r>
                    <w:rPr>
                      <w:rFonts w:hint="eastAsia"/>
                      <w:color w:val="auto"/>
                      <w:highlight w:val="none"/>
                      <w:u w:val="none" w:color="auto"/>
                      <w:vertAlign w:val="superscript"/>
                      <w:lang w:val="en-US" w:eastAsia="zh-CN"/>
                    </w:rPr>
                    <w:t>2</w:t>
                  </w:r>
                </w:p>
              </w:tc>
              <w:tc>
                <w:tcPr>
                  <w:tcW w:w="423" w:type="pct"/>
                  <w:vAlign w:val="center"/>
                </w:tcPr>
                <w:p w14:paraId="646272FC">
                  <w:pPr>
                    <w:pStyle w:val="24"/>
                    <w:bidi w:val="0"/>
                    <w:jc w:val="center"/>
                    <w:rPr>
                      <w:rFonts w:hint="default"/>
                      <w:color w:val="4874CB" w:themeColor="accent1"/>
                      <w:u w:val="none" w:color="auto"/>
                      <w:lang w:val="en-US" w:eastAsia="zh-CN"/>
                      <w14:textFill>
                        <w14:solidFill>
                          <w14:schemeClr w14:val="accent1"/>
                        </w14:solidFill>
                      </w14:textFill>
                    </w:rPr>
                  </w:pPr>
                  <w:r>
                    <w:rPr>
                      <w:rFonts w:hint="eastAsia"/>
                      <w:color w:val="auto"/>
                      <w:u w:val="none" w:color="auto"/>
                      <w:lang w:val="en-US" w:eastAsia="zh-CN"/>
                    </w:rPr>
                    <w:t>新建</w:t>
                  </w:r>
                </w:p>
              </w:tc>
            </w:tr>
            <w:tr w14:paraId="77B36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vMerge w:val="restart"/>
                  <w:vAlign w:val="center"/>
                </w:tcPr>
                <w:p w14:paraId="727AC93F">
                  <w:pPr>
                    <w:pStyle w:val="24"/>
                    <w:bidi w:val="0"/>
                    <w:jc w:val="center"/>
                    <w:rPr>
                      <w:rFonts w:hint="default"/>
                      <w:color w:val="4874CB" w:themeColor="accent1"/>
                      <w:u w:val="none" w:color="auto"/>
                      <w:lang w:val="en-US" w:eastAsia="zh-CN"/>
                      <w14:textFill>
                        <w14:solidFill>
                          <w14:schemeClr w14:val="accent1"/>
                        </w14:solidFill>
                      </w14:textFill>
                    </w:rPr>
                  </w:pPr>
                  <w:r>
                    <w:rPr>
                      <w:rFonts w:hint="eastAsia"/>
                      <w:color w:val="auto"/>
                      <w:u w:val="none" w:color="auto"/>
                      <w:lang w:val="en-US" w:eastAsia="zh-CN"/>
                    </w:rPr>
                    <w:t>公用工程</w:t>
                  </w:r>
                </w:p>
              </w:tc>
              <w:tc>
                <w:tcPr>
                  <w:tcW w:w="728" w:type="pct"/>
                  <w:vAlign w:val="center"/>
                </w:tcPr>
                <w:p w14:paraId="365B2CDE">
                  <w:pPr>
                    <w:pStyle w:val="24"/>
                    <w:bidi w:val="0"/>
                    <w:jc w:val="center"/>
                    <w:rPr>
                      <w:rFonts w:hint="default"/>
                      <w:color w:val="auto"/>
                      <w:highlight w:val="none"/>
                      <w:u w:val="none" w:color="auto"/>
                      <w:lang w:val="en-US" w:eastAsia="zh-CN"/>
                    </w:rPr>
                  </w:pPr>
                  <w:r>
                    <w:rPr>
                      <w:rFonts w:hint="eastAsia"/>
                      <w:color w:val="auto"/>
                      <w:highlight w:val="none"/>
                      <w:u w:val="none" w:color="auto"/>
                      <w:lang w:val="en-US" w:eastAsia="zh-CN"/>
                    </w:rPr>
                    <w:t>供水</w:t>
                  </w:r>
                </w:p>
              </w:tc>
              <w:tc>
                <w:tcPr>
                  <w:tcW w:w="3862" w:type="pct"/>
                  <w:gridSpan w:val="2"/>
                  <w:vAlign w:val="center"/>
                </w:tcPr>
                <w:p w14:paraId="391E45CE">
                  <w:pPr>
                    <w:pStyle w:val="24"/>
                    <w:bidi w:val="0"/>
                    <w:jc w:val="center"/>
                    <w:rPr>
                      <w:rFonts w:hint="default"/>
                      <w:color w:val="auto"/>
                      <w:highlight w:val="none"/>
                      <w:u w:val="none" w:color="auto"/>
                      <w:lang w:val="en-US" w:eastAsia="zh-CN"/>
                    </w:rPr>
                  </w:pPr>
                  <w:r>
                    <w:rPr>
                      <w:rFonts w:hint="eastAsia"/>
                      <w:color w:val="auto"/>
                      <w:highlight w:val="none"/>
                      <w:u w:val="none" w:color="auto"/>
                      <w:lang w:val="en-US" w:eastAsia="zh-CN"/>
                    </w:rPr>
                    <w:t>由厂区自来水供给</w:t>
                  </w:r>
                </w:p>
              </w:tc>
            </w:tr>
            <w:tr w14:paraId="2D6C2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vMerge w:val="continue"/>
                  <w:vAlign w:val="center"/>
                </w:tcPr>
                <w:p w14:paraId="6A5CDCB3">
                  <w:pPr>
                    <w:pStyle w:val="24"/>
                    <w:bidi w:val="0"/>
                    <w:jc w:val="center"/>
                    <w:rPr>
                      <w:rFonts w:hint="eastAsia"/>
                      <w:color w:val="4874CB" w:themeColor="accent1"/>
                      <w:u w:val="none" w:color="auto"/>
                      <w:lang w:val="en-US" w:eastAsia="zh-CN"/>
                      <w14:textFill>
                        <w14:solidFill>
                          <w14:schemeClr w14:val="accent1"/>
                        </w14:solidFill>
                      </w14:textFill>
                    </w:rPr>
                  </w:pPr>
                </w:p>
              </w:tc>
              <w:tc>
                <w:tcPr>
                  <w:tcW w:w="728" w:type="pct"/>
                  <w:vAlign w:val="center"/>
                </w:tcPr>
                <w:p w14:paraId="36D87A8C">
                  <w:pPr>
                    <w:pStyle w:val="24"/>
                    <w:bidi w:val="0"/>
                    <w:jc w:val="center"/>
                    <w:rPr>
                      <w:rFonts w:hint="eastAsia"/>
                      <w:color w:val="auto"/>
                      <w:highlight w:val="none"/>
                      <w:u w:val="none" w:color="auto"/>
                      <w:lang w:val="en-US" w:eastAsia="zh-CN"/>
                    </w:rPr>
                  </w:pPr>
                  <w:r>
                    <w:rPr>
                      <w:rFonts w:hint="eastAsia"/>
                      <w:color w:val="auto"/>
                      <w:highlight w:val="none"/>
                      <w:u w:val="none" w:color="auto"/>
                      <w:lang w:val="en-US" w:eastAsia="zh-CN"/>
                    </w:rPr>
                    <w:t>供热</w:t>
                  </w:r>
                </w:p>
              </w:tc>
              <w:tc>
                <w:tcPr>
                  <w:tcW w:w="3862" w:type="pct"/>
                  <w:gridSpan w:val="2"/>
                  <w:vAlign w:val="center"/>
                </w:tcPr>
                <w:p w14:paraId="4DD445CC">
                  <w:pPr>
                    <w:pStyle w:val="24"/>
                    <w:bidi w:val="0"/>
                    <w:jc w:val="center"/>
                    <w:rPr>
                      <w:rFonts w:hint="eastAsia"/>
                      <w:color w:val="auto"/>
                      <w:highlight w:val="none"/>
                      <w:u w:val="none" w:color="auto"/>
                      <w:lang w:val="en-US" w:eastAsia="zh-CN"/>
                    </w:rPr>
                  </w:pPr>
                  <w:r>
                    <w:rPr>
                      <w:rFonts w:hint="eastAsia"/>
                      <w:color w:val="auto"/>
                      <w:szCs w:val="21"/>
                      <w:u w:val="single"/>
                      <w:lang w:val="en-US" w:eastAsia="zh-CN"/>
                    </w:rPr>
                    <w:t>主要采取园区内湖南金力泰新材料科技有限公司的余热供热，设</w:t>
                  </w:r>
                  <w:r>
                    <w:rPr>
                      <w:color w:val="auto"/>
                      <w:szCs w:val="21"/>
                      <w:u w:val="single"/>
                    </w:rPr>
                    <w:t>轻质柴油（0#）</w:t>
                  </w:r>
                  <w:r>
                    <w:rPr>
                      <w:rFonts w:hint="eastAsia"/>
                      <w:color w:val="auto"/>
                      <w:szCs w:val="21"/>
                      <w:u w:val="single"/>
                      <w:lang w:val="en-US" w:eastAsia="zh-CN"/>
                    </w:rPr>
                    <w:t>热风炉备用</w:t>
                  </w:r>
                  <w:r>
                    <w:rPr>
                      <w:rFonts w:hint="eastAsia"/>
                      <w:color w:val="auto"/>
                      <w:highlight w:val="none"/>
                      <w:u w:val="single" w:color="auto"/>
                      <w:lang w:val="en-US" w:eastAsia="zh-CN"/>
                    </w:rPr>
                    <w:t>供热</w:t>
                  </w:r>
                </w:p>
              </w:tc>
            </w:tr>
            <w:tr w14:paraId="2B79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vMerge w:val="continue"/>
                  <w:vAlign w:val="center"/>
                </w:tcPr>
                <w:p w14:paraId="6B429E44">
                  <w:pPr>
                    <w:pStyle w:val="24"/>
                    <w:bidi w:val="0"/>
                    <w:jc w:val="center"/>
                    <w:rPr>
                      <w:rFonts w:hint="eastAsia"/>
                      <w:color w:val="4874CB" w:themeColor="accent1"/>
                      <w:u w:val="none" w:color="auto"/>
                      <w:lang w:val="en-US" w:eastAsia="zh-CN"/>
                      <w14:textFill>
                        <w14:solidFill>
                          <w14:schemeClr w14:val="accent1"/>
                        </w14:solidFill>
                      </w14:textFill>
                    </w:rPr>
                  </w:pPr>
                </w:p>
              </w:tc>
              <w:tc>
                <w:tcPr>
                  <w:tcW w:w="728" w:type="pct"/>
                  <w:vAlign w:val="center"/>
                </w:tcPr>
                <w:p w14:paraId="4FC7E769">
                  <w:pPr>
                    <w:pStyle w:val="24"/>
                    <w:bidi w:val="0"/>
                    <w:jc w:val="center"/>
                    <w:rPr>
                      <w:rFonts w:hint="default"/>
                      <w:color w:val="auto"/>
                      <w:highlight w:val="none"/>
                      <w:u w:val="none" w:color="auto"/>
                      <w:lang w:val="en-US" w:eastAsia="zh-CN"/>
                    </w:rPr>
                  </w:pPr>
                  <w:r>
                    <w:rPr>
                      <w:rFonts w:hint="eastAsia"/>
                      <w:color w:val="auto"/>
                      <w:highlight w:val="none"/>
                      <w:u w:val="none" w:color="auto"/>
                      <w:lang w:val="en-US" w:eastAsia="zh-CN"/>
                    </w:rPr>
                    <w:t>供电系统</w:t>
                  </w:r>
                </w:p>
              </w:tc>
              <w:tc>
                <w:tcPr>
                  <w:tcW w:w="3862" w:type="pct"/>
                  <w:gridSpan w:val="2"/>
                  <w:vAlign w:val="center"/>
                </w:tcPr>
                <w:p w14:paraId="7FC9044F">
                  <w:pPr>
                    <w:pStyle w:val="24"/>
                    <w:bidi w:val="0"/>
                    <w:jc w:val="center"/>
                    <w:rPr>
                      <w:rFonts w:hint="default"/>
                      <w:color w:val="auto"/>
                      <w:highlight w:val="none"/>
                      <w:u w:val="none" w:color="auto"/>
                      <w:lang w:val="en-US" w:eastAsia="zh-CN"/>
                    </w:rPr>
                  </w:pPr>
                  <w:r>
                    <w:rPr>
                      <w:rFonts w:hint="eastAsia"/>
                      <w:color w:val="auto"/>
                      <w:highlight w:val="none"/>
                      <w:u w:val="none" w:color="auto"/>
                      <w:lang w:val="en-US" w:eastAsia="zh-CN"/>
                    </w:rPr>
                    <w:t>由当地电网供给</w:t>
                  </w:r>
                </w:p>
              </w:tc>
            </w:tr>
            <w:tr w14:paraId="2D744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vMerge w:val="continue"/>
                  <w:vAlign w:val="center"/>
                </w:tcPr>
                <w:p w14:paraId="7CF773D8">
                  <w:pPr>
                    <w:pStyle w:val="24"/>
                    <w:bidi w:val="0"/>
                    <w:jc w:val="center"/>
                    <w:rPr>
                      <w:rFonts w:hint="eastAsia"/>
                      <w:color w:val="4874CB" w:themeColor="accent1"/>
                      <w:u w:val="none" w:color="auto"/>
                      <w:lang w:val="en-US" w:eastAsia="zh-CN"/>
                      <w14:textFill>
                        <w14:solidFill>
                          <w14:schemeClr w14:val="accent1"/>
                        </w14:solidFill>
                      </w14:textFill>
                    </w:rPr>
                  </w:pPr>
                </w:p>
              </w:tc>
              <w:tc>
                <w:tcPr>
                  <w:tcW w:w="728" w:type="pct"/>
                  <w:vAlign w:val="center"/>
                </w:tcPr>
                <w:p w14:paraId="14726A1D">
                  <w:pPr>
                    <w:pStyle w:val="24"/>
                    <w:bidi w:val="0"/>
                    <w:jc w:val="center"/>
                    <w:rPr>
                      <w:rFonts w:hint="default"/>
                      <w:color w:val="auto"/>
                      <w:highlight w:val="none"/>
                      <w:u w:val="none" w:color="auto"/>
                      <w:lang w:val="en-US" w:eastAsia="zh-CN"/>
                    </w:rPr>
                  </w:pPr>
                  <w:r>
                    <w:rPr>
                      <w:rFonts w:hint="eastAsia"/>
                      <w:color w:val="auto"/>
                      <w:highlight w:val="none"/>
                      <w:u w:val="none" w:color="auto"/>
                      <w:lang w:val="en-US" w:eastAsia="zh-CN"/>
                    </w:rPr>
                    <w:t>排水</w:t>
                  </w:r>
                </w:p>
              </w:tc>
              <w:tc>
                <w:tcPr>
                  <w:tcW w:w="3862" w:type="pct"/>
                  <w:gridSpan w:val="2"/>
                  <w:vAlign w:val="center"/>
                </w:tcPr>
                <w:p w14:paraId="3790492E">
                  <w:pPr>
                    <w:pStyle w:val="24"/>
                    <w:bidi w:val="0"/>
                    <w:jc w:val="center"/>
                    <w:rPr>
                      <w:rFonts w:hint="eastAsia"/>
                      <w:color w:val="auto"/>
                      <w:highlight w:val="none"/>
                      <w:u w:val="none" w:color="auto"/>
                      <w:lang w:val="en-US" w:eastAsia="zh-CN"/>
                    </w:rPr>
                  </w:pPr>
                  <w:r>
                    <w:rPr>
                      <w:rFonts w:hint="eastAsia"/>
                      <w:highlight w:val="none"/>
                      <w:u w:val="none" w:color="auto"/>
                      <w:lang w:val="en-US" w:eastAsia="zh-CN"/>
                    </w:rPr>
                    <w:t>采用雨污分流制，雨水经雨水管网收集排入园区雨水管网；</w:t>
                  </w:r>
                  <w:r>
                    <w:rPr>
                      <w:rFonts w:hint="eastAsia"/>
                      <w:color w:val="auto"/>
                      <w:highlight w:val="none"/>
                      <w:u w:val="single" w:color="auto"/>
                      <w:lang w:val="en-US" w:eastAsia="zh-CN"/>
                    </w:rPr>
                    <w:t>生活污水经化粪池处理后排入园区污水管网，最终进入岳阳高新技术产业园区长湖片污水处理厂集中处理。</w:t>
                  </w:r>
                </w:p>
              </w:tc>
            </w:tr>
            <w:tr w14:paraId="69C29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trPr>
              <w:tc>
                <w:tcPr>
                  <w:tcW w:w="409" w:type="pct"/>
                  <w:vMerge w:val="restart"/>
                  <w:vAlign w:val="center"/>
                </w:tcPr>
                <w:p w14:paraId="3471794A">
                  <w:pPr>
                    <w:pStyle w:val="24"/>
                    <w:bidi w:val="0"/>
                    <w:jc w:val="center"/>
                    <w:rPr>
                      <w:rFonts w:hint="default"/>
                      <w:color w:val="auto"/>
                      <w:u w:val="none" w:color="auto"/>
                      <w:lang w:val="en-US" w:eastAsia="zh-CN"/>
                    </w:rPr>
                  </w:pPr>
                  <w:r>
                    <w:rPr>
                      <w:rFonts w:hint="eastAsia"/>
                      <w:color w:val="auto"/>
                      <w:u w:val="none" w:color="auto"/>
                      <w:lang w:val="en-US" w:eastAsia="zh-CN"/>
                    </w:rPr>
                    <w:t>环保工程</w:t>
                  </w:r>
                </w:p>
              </w:tc>
              <w:tc>
                <w:tcPr>
                  <w:tcW w:w="728" w:type="pct"/>
                  <w:vAlign w:val="center"/>
                </w:tcPr>
                <w:p w14:paraId="59A30FFA">
                  <w:pPr>
                    <w:pStyle w:val="24"/>
                    <w:bidi w:val="0"/>
                    <w:jc w:val="center"/>
                    <w:rPr>
                      <w:rFonts w:hint="default"/>
                      <w:color w:val="auto"/>
                      <w:u w:val="none" w:color="auto"/>
                      <w:lang w:val="en-US" w:eastAsia="zh-CN"/>
                    </w:rPr>
                  </w:pPr>
                  <w:r>
                    <w:rPr>
                      <w:rFonts w:hint="eastAsia"/>
                      <w:color w:val="auto"/>
                      <w:u w:val="none" w:color="auto"/>
                      <w:lang w:val="en-US" w:eastAsia="zh-CN"/>
                    </w:rPr>
                    <w:t>废气</w:t>
                  </w:r>
                </w:p>
              </w:tc>
              <w:tc>
                <w:tcPr>
                  <w:tcW w:w="3862" w:type="pct"/>
                  <w:gridSpan w:val="2"/>
                  <w:vAlign w:val="center"/>
                </w:tcPr>
                <w:p w14:paraId="3B41DA2B">
                  <w:pPr>
                    <w:pStyle w:val="24"/>
                    <w:bidi w:val="0"/>
                    <w:jc w:val="center"/>
                    <w:rPr>
                      <w:sz w:val="21"/>
                      <w:szCs w:val="21"/>
                      <w:u w:val="single" w:color="auto"/>
                    </w:rPr>
                  </w:pPr>
                  <w:r>
                    <w:rPr>
                      <w:rFonts w:hint="eastAsia"/>
                      <w:sz w:val="21"/>
                      <w:szCs w:val="21"/>
                      <w:u w:val="single" w:color="auto"/>
                      <w:lang w:val="en-US" w:eastAsia="zh-CN"/>
                    </w:rPr>
                    <w:t>工艺废气：</w:t>
                  </w:r>
                  <w:r>
                    <w:rPr>
                      <w:rFonts w:hint="eastAsia"/>
                      <w:sz w:val="21"/>
                      <w:szCs w:val="21"/>
                      <w:u w:val="single" w:color="auto"/>
                    </w:rPr>
                    <w:t>旋风除尘器＋</w:t>
                  </w:r>
                  <w:r>
                    <w:rPr>
                      <w:rFonts w:hint="eastAsia"/>
                      <w:sz w:val="21"/>
                      <w:szCs w:val="21"/>
                      <w:u w:val="single" w:color="auto"/>
                      <w:lang w:val="en-US" w:eastAsia="zh-CN"/>
                    </w:rPr>
                    <w:t>布袋除尘</w:t>
                  </w:r>
                  <w:r>
                    <w:rPr>
                      <w:sz w:val="21"/>
                      <w:szCs w:val="21"/>
                      <w:u w:val="single" w:color="auto"/>
                    </w:rPr>
                    <w:t>＋</w:t>
                  </w:r>
                  <w:r>
                    <w:rPr>
                      <w:rFonts w:hint="eastAsia"/>
                      <w:sz w:val="21"/>
                      <w:szCs w:val="21"/>
                      <w:u w:val="single" w:color="auto"/>
                      <w:lang w:val="en-US" w:eastAsia="zh-CN"/>
                    </w:rPr>
                    <w:t>喷淋</w:t>
                  </w:r>
                  <w:r>
                    <w:rPr>
                      <w:rFonts w:hint="eastAsia"/>
                      <w:sz w:val="21"/>
                      <w:szCs w:val="21"/>
                      <w:u w:val="single" w:color="auto"/>
                    </w:rPr>
                    <w:t>＋</w:t>
                  </w:r>
                  <w:r>
                    <w:rPr>
                      <w:sz w:val="21"/>
                      <w:szCs w:val="21"/>
                      <w:u w:val="single" w:color="auto"/>
                    </w:rPr>
                    <w:t>15m烟囱</w:t>
                  </w:r>
                </w:p>
                <w:p w14:paraId="562E0FB6">
                  <w:pPr>
                    <w:jc w:val="center"/>
                    <w:rPr>
                      <w:rFonts w:hint="eastAsia"/>
                      <w:sz w:val="21"/>
                      <w:szCs w:val="21"/>
                      <w:u w:val="single" w:color="auto"/>
                      <w:lang w:val="en-US" w:eastAsia="zh-CN"/>
                    </w:rPr>
                  </w:pPr>
                  <w:r>
                    <w:rPr>
                      <w:rFonts w:hint="eastAsia"/>
                      <w:sz w:val="21"/>
                      <w:szCs w:val="21"/>
                      <w:u w:val="single" w:color="auto"/>
                      <w:lang w:val="en-US" w:eastAsia="zh-CN"/>
                    </w:rPr>
                    <w:t>热风炉烟气：经15m高排气筒排放</w:t>
                  </w:r>
                </w:p>
                <w:p w14:paraId="3D2CB2CD">
                  <w:pPr>
                    <w:pStyle w:val="24"/>
                    <w:bidi w:val="0"/>
                    <w:jc w:val="center"/>
                    <w:rPr>
                      <w:rFonts w:hint="default"/>
                      <w:sz w:val="21"/>
                      <w:szCs w:val="21"/>
                      <w:u w:val="single" w:color="auto"/>
                      <w:lang w:val="en-US" w:eastAsia="zh-CN"/>
                    </w:rPr>
                  </w:pPr>
                  <w:r>
                    <w:rPr>
                      <w:rFonts w:hint="eastAsia"/>
                      <w:sz w:val="21"/>
                      <w:szCs w:val="21"/>
                      <w:u w:val="single" w:color="auto"/>
                      <w:lang w:val="en-US" w:eastAsia="zh-CN"/>
                    </w:rPr>
                    <w:t>无组织废气：生产车间全封闭，加强管理，车间定期清扫</w:t>
                  </w:r>
                </w:p>
              </w:tc>
            </w:tr>
            <w:tr w14:paraId="488BA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vMerge w:val="continue"/>
                  <w:vAlign w:val="center"/>
                </w:tcPr>
                <w:p w14:paraId="32CC78A2">
                  <w:pPr>
                    <w:pStyle w:val="24"/>
                    <w:bidi w:val="0"/>
                    <w:jc w:val="center"/>
                    <w:rPr>
                      <w:rFonts w:hint="eastAsia"/>
                      <w:color w:val="auto"/>
                      <w:u w:val="none" w:color="auto"/>
                      <w:lang w:val="en-US" w:eastAsia="zh-CN"/>
                    </w:rPr>
                  </w:pPr>
                </w:p>
              </w:tc>
              <w:tc>
                <w:tcPr>
                  <w:tcW w:w="728" w:type="pct"/>
                  <w:vAlign w:val="center"/>
                </w:tcPr>
                <w:p w14:paraId="45D2BF49">
                  <w:pPr>
                    <w:pStyle w:val="24"/>
                    <w:bidi w:val="0"/>
                    <w:jc w:val="center"/>
                    <w:rPr>
                      <w:rFonts w:hint="default"/>
                      <w:color w:val="auto"/>
                      <w:u w:val="none" w:color="auto"/>
                      <w:lang w:val="en-US" w:eastAsia="zh-CN"/>
                    </w:rPr>
                  </w:pPr>
                  <w:r>
                    <w:rPr>
                      <w:rFonts w:hint="eastAsia"/>
                      <w:color w:val="auto"/>
                      <w:u w:val="none" w:color="auto"/>
                      <w:lang w:val="en-US" w:eastAsia="zh-CN"/>
                    </w:rPr>
                    <w:t>噪声</w:t>
                  </w:r>
                </w:p>
              </w:tc>
              <w:tc>
                <w:tcPr>
                  <w:tcW w:w="3862" w:type="pct"/>
                  <w:gridSpan w:val="2"/>
                  <w:vAlign w:val="center"/>
                </w:tcPr>
                <w:p w14:paraId="5A83BE60">
                  <w:pPr>
                    <w:pStyle w:val="24"/>
                    <w:bidi w:val="0"/>
                    <w:jc w:val="center"/>
                    <w:rPr>
                      <w:rFonts w:hint="default"/>
                      <w:color w:val="4874CB" w:themeColor="accent1"/>
                      <w:highlight w:val="none"/>
                      <w:u w:val="none" w:color="auto"/>
                      <w:lang w:val="en-US" w:eastAsia="zh-CN"/>
                      <w14:textFill>
                        <w14:solidFill>
                          <w14:schemeClr w14:val="accent1"/>
                        </w14:solidFill>
                      </w14:textFill>
                    </w:rPr>
                  </w:pPr>
                  <w:r>
                    <w:rPr>
                      <w:rFonts w:hint="eastAsia"/>
                      <w:color w:val="auto"/>
                      <w:highlight w:val="none"/>
                      <w:u w:val="none" w:color="auto"/>
                      <w:lang w:val="en-US" w:eastAsia="zh-CN"/>
                    </w:rPr>
                    <w:t>隔声、减震，厂区设置绿化带等措施</w:t>
                  </w:r>
                </w:p>
              </w:tc>
            </w:tr>
            <w:tr w14:paraId="4274A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vMerge w:val="continue"/>
                  <w:vAlign w:val="center"/>
                </w:tcPr>
                <w:p w14:paraId="7FB0815A">
                  <w:pPr>
                    <w:pStyle w:val="24"/>
                    <w:bidi w:val="0"/>
                    <w:jc w:val="center"/>
                    <w:rPr>
                      <w:rFonts w:hint="eastAsia"/>
                      <w:color w:val="auto"/>
                      <w:u w:val="none" w:color="auto"/>
                      <w:lang w:val="en-US" w:eastAsia="zh-CN"/>
                    </w:rPr>
                  </w:pPr>
                </w:p>
              </w:tc>
              <w:tc>
                <w:tcPr>
                  <w:tcW w:w="728" w:type="pct"/>
                  <w:vAlign w:val="center"/>
                </w:tcPr>
                <w:p w14:paraId="4A69946D">
                  <w:pPr>
                    <w:pStyle w:val="24"/>
                    <w:bidi w:val="0"/>
                    <w:jc w:val="center"/>
                    <w:rPr>
                      <w:rFonts w:hint="default"/>
                      <w:color w:val="auto"/>
                      <w:u w:val="none" w:color="auto"/>
                      <w:lang w:val="en-US" w:eastAsia="zh-CN"/>
                    </w:rPr>
                  </w:pPr>
                  <w:r>
                    <w:rPr>
                      <w:rFonts w:hint="eastAsia"/>
                      <w:color w:val="auto"/>
                      <w:u w:val="none" w:color="auto"/>
                      <w:lang w:val="en-US" w:eastAsia="zh-CN"/>
                    </w:rPr>
                    <w:t>废水</w:t>
                  </w:r>
                </w:p>
              </w:tc>
              <w:tc>
                <w:tcPr>
                  <w:tcW w:w="3862" w:type="pct"/>
                  <w:gridSpan w:val="2"/>
                  <w:vAlign w:val="center"/>
                </w:tcPr>
                <w:p w14:paraId="2527F07D">
                  <w:pPr>
                    <w:pStyle w:val="24"/>
                    <w:bidi w:val="0"/>
                    <w:jc w:val="center"/>
                    <w:rPr>
                      <w:rFonts w:hint="default" w:eastAsia="宋体"/>
                      <w:color w:val="auto"/>
                      <w:highlight w:val="none"/>
                      <w:u w:val="none" w:color="auto"/>
                      <w:lang w:val="en-US" w:eastAsia="zh-CN"/>
                    </w:rPr>
                  </w:pPr>
                  <w:r>
                    <w:rPr>
                      <w:rFonts w:hint="eastAsia"/>
                      <w:color w:val="auto"/>
                      <w:highlight w:val="none"/>
                      <w:u w:val="single" w:color="auto"/>
                      <w:lang w:val="en-US" w:eastAsia="zh-CN"/>
                    </w:rPr>
                    <w:t>于研发楼处设6m</w:t>
                  </w:r>
                  <w:r>
                    <w:rPr>
                      <w:rFonts w:hint="eastAsia"/>
                      <w:color w:val="auto"/>
                      <w:highlight w:val="none"/>
                      <w:u w:val="single" w:color="auto"/>
                      <w:vertAlign w:val="superscript"/>
                      <w:lang w:val="en-US" w:eastAsia="zh-CN"/>
                    </w:rPr>
                    <w:t>3</w:t>
                  </w:r>
                  <w:r>
                    <w:rPr>
                      <w:rFonts w:hint="eastAsia"/>
                      <w:color w:val="auto"/>
                      <w:highlight w:val="none"/>
                      <w:u w:val="single" w:color="auto"/>
                      <w:lang w:val="en-US" w:eastAsia="zh-CN"/>
                    </w:rPr>
                    <w:t>化粪池（四池净化）生活污水经化粪池处理后排入园区污水管网，最终进入岳阳高新技术产业园区长湖片污水处理厂集中处理。</w:t>
                  </w:r>
                  <w:r>
                    <w:rPr>
                      <w:rFonts w:hint="eastAsia"/>
                      <w:color w:val="auto"/>
                      <w:sz w:val="21"/>
                      <w:szCs w:val="21"/>
                      <w:u w:val="single"/>
                      <w:lang w:val="en-US" w:eastAsia="zh-CN"/>
                    </w:rPr>
                    <w:t>喷淋</w:t>
                  </w:r>
                  <w:r>
                    <w:rPr>
                      <w:rFonts w:hint="eastAsia"/>
                      <w:color w:val="auto"/>
                      <w:sz w:val="21"/>
                      <w:szCs w:val="21"/>
                      <w:u w:val="single"/>
                    </w:rPr>
                    <w:t>除尘过程中产生的废水经由</w:t>
                  </w:r>
                  <w:r>
                    <w:rPr>
                      <w:rFonts w:hint="eastAsia"/>
                      <w:color w:val="auto"/>
                      <w:sz w:val="21"/>
                      <w:szCs w:val="21"/>
                      <w:u w:val="single"/>
                      <w:lang w:val="en-US" w:eastAsia="zh-CN"/>
                    </w:rPr>
                    <w:t>沉淀</w:t>
                  </w:r>
                  <w:r>
                    <w:rPr>
                      <w:rFonts w:hint="eastAsia"/>
                      <w:color w:val="auto"/>
                      <w:sz w:val="21"/>
                      <w:szCs w:val="21"/>
                      <w:u w:val="single"/>
                    </w:rPr>
                    <w:t>池沉淀后回用</w:t>
                  </w:r>
                  <w:r>
                    <w:rPr>
                      <w:rFonts w:hint="eastAsia"/>
                      <w:color w:val="auto"/>
                      <w:sz w:val="21"/>
                      <w:szCs w:val="21"/>
                      <w:u w:val="single"/>
                      <w:lang w:val="en-US" w:eastAsia="zh-CN"/>
                    </w:rPr>
                    <w:t>造粒生产。</w:t>
                  </w:r>
                </w:p>
              </w:tc>
            </w:tr>
            <w:tr w14:paraId="626C6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9" w:type="pct"/>
                  <w:vMerge w:val="continue"/>
                  <w:vAlign w:val="center"/>
                </w:tcPr>
                <w:p w14:paraId="489D444A">
                  <w:pPr>
                    <w:pStyle w:val="24"/>
                    <w:bidi w:val="0"/>
                    <w:jc w:val="center"/>
                    <w:rPr>
                      <w:rFonts w:hint="eastAsia"/>
                      <w:color w:val="auto"/>
                      <w:u w:val="none" w:color="auto"/>
                      <w:lang w:val="en-US" w:eastAsia="zh-CN"/>
                    </w:rPr>
                  </w:pPr>
                </w:p>
              </w:tc>
              <w:tc>
                <w:tcPr>
                  <w:tcW w:w="728" w:type="pct"/>
                  <w:vAlign w:val="center"/>
                </w:tcPr>
                <w:p w14:paraId="2E6B525D">
                  <w:pPr>
                    <w:pStyle w:val="24"/>
                    <w:bidi w:val="0"/>
                    <w:jc w:val="center"/>
                    <w:rPr>
                      <w:rFonts w:hint="default"/>
                      <w:color w:val="auto"/>
                      <w:u w:val="none" w:color="auto"/>
                      <w:lang w:val="en-US" w:eastAsia="zh-CN"/>
                    </w:rPr>
                  </w:pPr>
                  <w:r>
                    <w:rPr>
                      <w:rFonts w:hint="eastAsia"/>
                      <w:color w:val="auto"/>
                      <w:u w:val="none" w:color="auto"/>
                      <w:lang w:val="en-US" w:eastAsia="zh-CN"/>
                    </w:rPr>
                    <w:t>固废</w:t>
                  </w:r>
                </w:p>
              </w:tc>
              <w:tc>
                <w:tcPr>
                  <w:tcW w:w="3862" w:type="pct"/>
                  <w:gridSpan w:val="2"/>
                  <w:vAlign w:val="center"/>
                </w:tcPr>
                <w:p w14:paraId="6BE936C4">
                  <w:pPr>
                    <w:pStyle w:val="24"/>
                    <w:bidi w:val="0"/>
                    <w:jc w:val="center"/>
                    <w:rPr>
                      <w:rFonts w:hint="eastAsia" w:eastAsia="宋体"/>
                      <w:color w:val="4874CB" w:themeColor="accent1"/>
                      <w:highlight w:val="yellow"/>
                      <w:u w:val="none" w:color="auto"/>
                      <w:lang w:val="en-US" w:eastAsia="zh-CN"/>
                      <w14:textFill>
                        <w14:solidFill>
                          <w14:schemeClr w14:val="accent1"/>
                        </w14:solidFill>
                      </w14:textFill>
                    </w:rPr>
                  </w:pPr>
                  <w:r>
                    <w:rPr>
                      <w:rFonts w:hint="eastAsia"/>
                      <w:sz w:val="21"/>
                      <w:szCs w:val="21"/>
                    </w:rPr>
                    <w:t>生活垃圾交由当地环卫部门处置</w:t>
                  </w:r>
                  <w:r>
                    <w:rPr>
                      <w:rFonts w:hint="eastAsia"/>
                      <w:sz w:val="21"/>
                      <w:szCs w:val="21"/>
                      <w:lang w:eastAsia="zh-CN"/>
                    </w:rPr>
                    <w:t>；</w:t>
                  </w:r>
                  <w:r>
                    <w:rPr>
                      <w:rFonts w:hint="eastAsia"/>
                      <w:sz w:val="21"/>
                      <w:szCs w:val="21"/>
                      <w:u w:val="single"/>
                    </w:rPr>
                    <w:t>废气除尘系统收集的</w:t>
                  </w:r>
                  <w:r>
                    <w:rPr>
                      <w:rFonts w:hint="eastAsia"/>
                      <w:sz w:val="21"/>
                      <w:szCs w:val="21"/>
                      <w:u w:val="single"/>
                      <w:lang w:val="en-US" w:eastAsia="zh-CN"/>
                    </w:rPr>
                    <w:t>粉</w:t>
                  </w:r>
                  <w:r>
                    <w:rPr>
                      <w:rFonts w:hint="eastAsia"/>
                      <w:sz w:val="21"/>
                      <w:szCs w:val="21"/>
                      <w:u w:val="single"/>
                    </w:rPr>
                    <w:t>尘全部回用于生产工序，不外排</w:t>
                  </w:r>
                  <w:r>
                    <w:rPr>
                      <w:rFonts w:hint="eastAsia"/>
                      <w:sz w:val="21"/>
                      <w:szCs w:val="21"/>
                      <w:lang w:eastAsia="zh-CN"/>
                    </w:rPr>
                    <w:t>；</w:t>
                  </w:r>
                  <w:r>
                    <w:rPr>
                      <w:rFonts w:hint="eastAsia"/>
                      <w:sz w:val="21"/>
                      <w:szCs w:val="21"/>
                      <w:lang w:val="en-US" w:eastAsia="zh-CN"/>
                    </w:rPr>
                    <w:t>喷淋系统沉淀池沉渣经收集后回用于生产；</w:t>
                  </w:r>
                  <w:r>
                    <w:rPr>
                      <w:rFonts w:hint="eastAsia"/>
                      <w:sz w:val="21"/>
                      <w:szCs w:val="21"/>
                    </w:rPr>
                    <w:t>废编织袋</w:t>
                  </w:r>
                  <w:r>
                    <w:rPr>
                      <w:color w:val="auto"/>
                      <w:szCs w:val="21"/>
                    </w:rPr>
                    <w:t>经一般固废暂存间</w:t>
                  </w:r>
                  <w:r>
                    <w:rPr>
                      <w:color w:val="auto"/>
                      <w:szCs w:val="21"/>
                      <w:u w:val="none"/>
                    </w:rPr>
                    <w:t>（</w:t>
                  </w:r>
                  <w:r>
                    <w:rPr>
                      <w:rFonts w:hint="eastAsia"/>
                      <w:color w:val="auto"/>
                      <w:szCs w:val="21"/>
                      <w:u w:val="none"/>
                      <w:lang w:val="en-US" w:eastAsia="zh-CN"/>
                    </w:rPr>
                    <w:t>1</w:t>
                  </w:r>
                  <w:r>
                    <w:rPr>
                      <w:rFonts w:hint="eastAsia"/>
                      <w:color w:val="auto"/>
                      <w:szCs w:val="21"/>
                      <w:u w:val="none"/>
                    </w:rPr>
                    <w:t>0</w:t>
                  </w:r>
                  <w:r>
                    <w:rPr>
                      <w:color w:val="auto"/>
                      <w:szCs w:val="21"/>
                      <w:u w:val="none"/>
                    </w:rPr>
                    <w:t>m</w:t>
                  </w:r>
                  <w:r>
                    <w:rPr>
                      <w:color w:val="auto"/>
                      <w:szCs w:val="21"/>
                      <w:u w:val="none"/>
                      <w:vertAlign w:val="superscript"/>
                    </w:rPr>
                    <w:t>2</w:t>
                  </w:r>
                  <w:r>
                    <w:rPr>
                      <w:rFonts w:hint="eastAsia"/>
                      <w:color w:val="auto"/>
                      <w:szCs w:val="21"/>
                      <w:u w:val="none"/>
                    </w:rPr>
                    <w:t>，位于</w:t>
                  </w:r>
                  <w:r>
                    <w:rPr>
                      <w:rFonts w:hint="eastAsia"/>
                      <w:color w:val="auto"/>
                      <w:szCs w:val="21"/>
                      <w:u w:val="none"/>
                      <w:lang w:val="en-US" w:eastAsia="zh-CN"/>
                    </w:rPr>
                    <w:t>车间</w:t>
                  </w:r>
                  <w:r>
                    <w:rPr>
                      <w:rFonts w:hint="eastAsia"/>
                      <w:color w:val="auto"/>
                      <w:szCs w:val="21"/>
                      <w:u w:val="none"/>
                    </w:rPr>
                    <w:t>西侧</w:t>
                  </w:r>
                  <w:r>
                    <w:rPr>
                      <w:color w:val="auto"/>
                      <w:szCs w:val="21"/>
                      <w:u w:val="none"/>
                    </w:rPr>
                    <w:t>）</w:t>
                  </w:r>
                  <w:r>
                    <w:rPr>
                      <w:color w:val="auto"/>
                      <w:szCs w:val="21"/>
                    </w:rPr>
                    <w:t>暂存后外售</w:t>
                  </w:r>
                  <w:r>
                    <w:rPr>
                      <w:rFonts w:hint="eastAsia"/>
                      <w:color w:val="auto"/>
                      <w:szCs w:val="21"/>
                      <w:lang w:val="en-US" w:eastAsia="zh-CN"/>
                    </w:rPr>
                    <w:t>处理</w:t>
                  </w:r>
                  <w:r>
                    <w:rPr>
                      <w:rFonts w:hint="eastAsia" w:ascii="Times New Roman" w:hAnsi="Times New Roman" w:eastAsia="宋体" w:cs="Times New Roman"/>
                      <w:sz w:val="21"/>
                      <w:szCs w:val="21"/>
                      <w:lang w:val="en-US" w:eastAsia="zh-CN"/>
                    </w:rPr>
                    <w:t>；废含油抹布及手套、废矿物油及包装桶暂存于危废暂存间</w:t>
                  </w:r>
                  <w:r>
                    <w:rPr>
                      <w:color w:val="auto"/>
                      <w:szCs w:val="21"/>
                      <w:u w:val="none"/>
                    </w:rPr>
                    <w:t>（</w:t>
                  </w:r>
                  <w:r>
                    <w:rPr>
                      <w:rFonts w:hint="eastAsia"/>
                      <w:color w:val="auto"/>
                      <w:szCs w:val="21"/>
                      <w:u w:val="none"/>
                      <w:lang w:val="en-US" w:eastAsia="zh-CN"/>
                    </w:rPr>
                    <w:t>5</w:t>
                  </w:r>
                  <w:r>
                    <w:rPr>
                      <w:color w:val="auto"/>
                      <w:szCs w:val="21"/>
                      <w:u w:val="none"/>
                    </w:rPr>
                    <w:t>m</w:t>
                  </w:r>
                  <w:r>
                    <w:rPr>
                      <w:color w:val="auto"/>
                      <w:szCs w:val="21"/>
                      <w:u w:val="none"/>
                      <w:vertAlign w:val="superscript"/>
                    </w:rPr>
                    <w:t>2</w:t>
                  </w:r>
                  <w:r>
                    <w:rPr>
                      <w:rFonts w:hint="eastAsia"/>
                      <w:color w:val="auto"/>
                      <w:szCs w:val="21"/>
                      <w:u w:val="none"/>
                    </w:rPr>
                    <w:t>，位于</w:t>
                  </w:r>
                  <w:r>
                    <w:rPr>
                      <w:rFonts w:hint="eastAsia"/>
                      <w:color w:val="auto"/>
                      <w:szCs w:val="21"/>
                      <w:u w:val="none"/>
                      <w:lang w:val="en-US" w:eastAsia="zh-CN"/>
                    </w:rPr>
                    <w:t>车间</w:t>
                  </w:r>
                  <w:r>
                    <w:rPr>
                      <w:rFonts w:hint="eastAsia"/>
                      <w:color w:val="auto"/>
                      <w:szCs w:val="21"/>
                      <w:u w:val="none"/>
                    </w:rPr>
                    <w:t>西侧</w:t>
                  </w:r>
                  <w:r>
                    <w:rPr>
                      <w:color w:val="auto"/>
                      <w:szCs w:val="21"/>
                      <w:u w:val="none"/>
                    </w:rPr>
                    <w:t>）</w:t>
                  </w:r>
                  <w:r>
                    <w:rPr>
                      <w:rFonts w:hint="eastAsia" w:ascii="Times New Roman" w:hAnsi="Times New Roman" w:eastAsia="宋体" w:cs="Times New Roman"/>
                      <w:sz w:val="21"/>
                      <w:szCs w:val="21"/>
                      <w:lang w:val="en-US" w:eastAsia="zh-CN"/>
                    </w:rPr>
                    <w:t>，定期交由有资质的单位处置</w:t>
                  </w:r>
                  <w:r>
                    <w:rPr>
                      <w:rFonts w:hint="default" w:ascii="Times New Roman" w:hAnsi="Times New Roman" w:eastAsia="宋体" w:cs="Times New Roman"/>
                      <w:sz w:val="21"/>
                      <w:szCs w:val="21"/>
                      <w:lang w:val="en-US" w:eastAsia="zh-CN"/>
                    </w:rPr>
                    <w:t>。</w:t>
                  </w:r>
                </w:p>
              </w:tc>
            </w:tr>
          </w:tbl>
          <w:p w14:paraId="42DA8CBD">
            <w:pPr>
              <w:pStyle w:val="21"/>
              <w:bidi w:val="0"/>
              <w:rPr>
                <w:rFonts w:hint="eastAsia"/>
                <w:color w:val="auto"/>
                <w:lang w:val="en-US" w:eastAsia="zh-CN"/>
              </w:rPr>
            </w:pPr>
            <w:r>
              <w:rPr>
                <w:rFonts w:hint="eastAsia"/>
                <w:color w:val="auto"/>
                <w:lang w:val="en-US" w:eastAsia="zh-CN"/>
              </w:rPr>
              <w:t>4、产品方案</w:t>
            </w:r>
          </w:p>
          <w:p w14:paraId="0CA2DBE2">
            <w:pPr>
              <w:spacing w:line="360" w:lineRule="auto"/>
              <w:ind w:firstLine="480" w:firstLineChars="200"/>
              <w:rPr>
                <w:sz w:val="24"/>
                <w:szCs w:val="24"/>
                <w:u w:val="none"/>
              </w:rPr>
            </w:pPr>
            <w:r>
              <w:rPr>
                <w:rFonts w:hint="eastAsia"/>
                <w:sz w:val="24"/>
                <w:szCs w:val="24"/>
                <w:u w:val="none"/>
              </w:rPr>
              <w:t>本项目生产规模为年产</w:t>
            </w:r>
            <w:r>
              <w:rPr>
                <w:rFonts w:hint="eastAsia"/>
                <w:sz w:val="24"/>
                <w:szCs w:val="24"/>
                <w:u w:val="none"/>
                <w:lang w:val="en-US" w:eastAsia="zh-CN"/>
              </w:rPr>
              <w:t>2</w:t>
            </w:r>
            <w:r>
              <w:rPr>
                <w:rFonts w:hint="eastAsia"/>
                <w:sz w:val="24"/>
                <w:szCs w:val="24"/>
                <w:u w:val="none"/>
              </w:rPr>
              <w:t>万吨复</w:t>
            </w:r>
            <w:r>
              <w:rPr>
                <w:rFonts w:hint="eastAsia"/>
                <w:sz w:val="24"/>
                <w:szCs w:val="24"/>
                <w:u w:val="none"/>
                <w:lang w:val="en-US" w:eastAsia="zh-CN"/>
              </w:rPr>
              <w:t>合</w:t>
            </w:r>
            <w:r>
              <w:rPr>
                <w:rFonts w:hint="eastAsia"/>
                <w:sz w:val="24"/>
                <w:szCs w:val="24"/>
                <w:u w:val="none"/>
              </w:rPr>
              <w:t>肥料</w:t>
            </w:r>
            <w:r>
              <w:rPr>
                <w:rFonts w:hint="eastAsia"/>
                <w:sz w:val="24"/>
                <w:szCs w:val="24"/>
                <w:u w:val="none"/>
                <w:lang w:eastAsia="zh-CN"/>
              </w:rPr>
              <w:t>、</w:t>
            </w:r>
            <w:r>
              <w:rPr>
                <w:rFonts w:hint="eastAsia"/>
                <w:sz w:val="24"/>
                <w:szCs w:val="24"/>
                <w:u w:val="none"/>
              </w:rPr>
              <w:t>3万吨掺混肥料。复</w:t>
            </w:r>
            <w:r>
              <w:rPr>
                <w:rFonts w:hint="eastAsia"/>
                <w:sz w:val="24"/>
                <w:szCs w:val="24"/>
                <w:u w:val="none"/>
                <w:lang w:val="en-US" w:eastAsia="zh-CN"/>
              </w:rPr>
              <w:t>合</w:t>
            </w:r>
            <w:r>
              <w:rPr>
                <w:rFonts w:hint="eastAsia"/>
                <w:sz w:val="24"/>
                <w:szCs w:val="24"/>
                <w:u w:val="none"/>
              </w:rPr>
              <w:t>肥料符合《复混肥料(复合肥料)(GB 15063-2009)》具体标准见表2</w:t>
            </w:r>
            <w:r>
              <w:rPr>
                <w:rFonts w:hint="eastAsia"/>
                <w:sz w:val="24"/>
                <w:szCs w:val="24"/>
                <w:u w:val="none"/>
                <w:lang w:val="en-US" w:eastAsia="zh-CN"/>
              </w:rPr>
              <w:t>-2</w:t>
            </w:r>
            <w:r>
              <w:rPr>
                <w:rFonts w:hint="eastAsia"/>
                <w:sz w:val="24"/>
                <w:szCs w:val="24"/>
                <w:u w:val="none"/>
              </w:rPr>
              <w:t>，掺混肥料符合《掺混肥料(BB肥)</w:t>
            </w:r>
            <w:r>
              <w:rPr>
                <w:sz w:val="24"/>
                <w:szCs w:val="24"/>
                <w:u w:val="none"/>
              </w:rPr>
              <w:t xml:space="preserve"> </w:t>
            </w:r>
            <w:r>
              <w:rPr>
                <w:rFonts w:hint="eastAsia"/>
                <w:sz w:val="24"/>
                <w:szCs w:val="24"/>
                <w:u w:val="none"/>
              </w:rPr>
              <w:t>（</w:t>
            </w:r>
            <w:r>
              <w:rPr>
                <w:sz w:val="24"/>
                <w:szCs w:val="24"/>
                <w:u w:val="none"/>
              </w:rPr>
              <w:t>GB21633-2008</w:t>
            </w:r>
            <w:r>
              <w:rPr>
                <w:rFonts w:hint="eastAsia"/>
                <w:sz w:val="24"/>
                <w:szCs w:val="24"/>
                <w:u w:val="none"/>
              </w:rPr>
              <w:t>）》具体标准见表</w:t>
            </w:r>
            <w:r>
              <w:rPr>
                <w:rFonts w:hint="eastAsia"/>
                <w:sz w:val="24"/>
                <w:szCs w:val="24"/>
                <w:u w:val="none"/>
                <w:lang w:val="en-US" w:eastAsia="zh-CN"/>
              </w:rPr>
              <w:t>2-</w:t>
            </w:r>
            <w:r>
              <w:rPr>
                <w:sz w:val="24"/>
                <w:szCs w:val="24"/>
                <w:u w:val="none"/>
              </w:rPr>
              <w:t>3</w:t>
            </w:r>
            <w:r>
              <w:rPr>
                <w:rFonts w:hint="eastAsia"/>
                <w:sz w:val="24"/>
                <w:szCs w:val="24"/>
                <w:u w:val="none"/>
              </w:rPr>
              <w:t>。</w:t>
            </w:r>
          </w:p>
          <w:p w14:paraId="3AD56782">
            <w:pPr>
              <w:pStyle w:val="23"/>
              <w:bidi w:val="0"/>
              <w:rPr>
                <w:rFonts w:hint="default"/>
                <w:color w:val="auto"/>
                <w:lang w:val="en-US" w:eastAsia="zh-CN"/>
              </w:rPr>
            </w:pPr>
            <w:r>
              <w:rPr>
                <w:rFonts w:hint="eastAsia"/>
                <w:color w:val="auto"/>
                <w:lang w:val="en-US" w:eastAsia="zh-CN"/>
              </w:rPr>
              <w:t>表2-2  复合肥料（GB15063-2009）</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68"/>
              <w:gridCol w:w="1005"/>
              <w:gridCol w:w="1065"/>
              <w:gridCol w:w="1102"/>
            </w:tblGrid>
            <w:tr w14:paraId="227E7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8" w:type="dxa"/>
                  <w:vMerge w:val="restart"/>
                  <w:vAlign w:val="top"/>
                </w:tcPr>
                <w:p w14:paraId="1A7FD8FE">
                  <w:pPr>
                    <w:pStyle w:val="7"/>
                    <w:spacing w:before="203" w:beforeLines="50" w:line="240" w:lineRule="auto"/>
                    <w:ind w:firstLine="0" w:firstLineChars="0"/>
                    <w:jc w:val="center"/>
                    <w:rPr>
                      <w:rFonts w:hint="default"/>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项目</w:t>
                  </w:r>
                </w:p>
              </w:tc>
              <w:tc>
                <w:tcPr>
                  <w:tcW w:w="3172" w:type="dxa"/>
                  <w:gridSpan w:val="3"/>
                  <w:vAlign w:val="top"/>
                </w:tcPr>
                <w:p w14:paraId="7B6A94EA">
                  <w:pPr>
                    <w:pStyle w:val="7"/>
                    <w:spacing w:line="240" w:lineRule="auto"/>
                    <w:ind w:firstLine="0" w:firstLineChars="0"/>
                    <w:jc w:val="center"/>
                    <w:rPr>
                      <w:rFonts w:hint="default"/>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指标</w:t>
                  </w:r>
                </w:p>
              </w:tc>
            </w:tr>
            <w:tr w14:paraId="47F7A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8" w:type="dxa"/>
                  <w:vMerge w:val="continue"/>
                  <w:vAlign w:val="center"/>
                </w:tcPr>
                <w:p w14:paraId="4080C3A4">
                  <w:pPr>
                    <w:pStyle w:val="24"/>
                    <w:bidi w:val="0"/>
                    <w:jc w:val="center"/>
                    <w:rPr>
                      <w:rFonts w:hint="default"/>
                      <w:color w:val="4874CB" w:themeColor="accent1"/>
                      <w:u w:val="none"/>
                      <w:lang w:val="en-US" w:eastAsia="zh-CN"/>
                      <w14:textFill>
                        <w14:solidFill>
                          <w14:schemeClr w14:val="accent1"/>
                        </w14:solidFill>
                      </w14:textFill>
                    </w:rPr>
                  </w:pPr>
                </w:p>
              </w:tc>
              <w:tc>
                <w:tcPr>
                  <w:tcW w:w="1005" w:type="dxa"/>
                  <w:vAlign w:val="top"/>
                </w:tcPr>
                <w:p w14:paraId="04EFB0BC">
                  <w:pPr>
                    <w:pStyle w:val="7"/>
                    <w:spacing w:line="240" w:lineRule="auto"/>
                    <w:ind w:firstLine="0" w:firstLineChars="0"/>
                    <w:jc w:val="center"/>
                    <w:rPr>
                      <w:rFonts w:hint="default"/>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高浓度</w:t>
                  </w:r>
                </w:p>
              </w:tc>
              <w:tc>
                <w:tcPr>
                  <w:tcW w:w="1065" w:type="dxa"/>
                  <w:vAlign w:val="top"/>
                </w:tcPr>
                <w:p w14:paraId="59C503D2">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中浓度</w:t>
                  </w:r>
                </w:p>
              </w:tc>
              <w:tc>
                <w:tcPr>
                  <w:tcW w:w="1102" w:type="dxa"/>
                  <w:vAlign w:val="top"/>
                </w:tcPr>
                <w:p w14:paraId="46169B3F">
                  <w:pPr>
                    <w:pStyle w:val="7"/>
                    <w:spacing w:line="240" w:lineRule="auto"/>
                    <w:ind w:firstLine="0" w:firstLineChars="0"/>
                    <w:jc w:val="center"/>
                    <w:rPr>
                      <w:rFonts w:hint="default"/>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低浓度</w:t>
                  </w:r>
                </w:p>
              </w:tc>
            </w:tr>
            <w:tr w14:paraId="3BD8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8" w:type="dxa"/>
                  <w:vAlign w:val="top"/>
                </w:tcPr>
                <w:p w14:paraId="7FE26FA5">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总养分（N＋P</w:t>
                  </w:r>
                  <w:r>
                    <w:rPr>
                      <w:rFonts w:ascii="宋体" w:hAnsi="宋体" w:eastAsia="宋体"/>
                      <w:spacing w:val="0"/>
                      <w:sz w:val="21"/>
                      <w:szCs w:val="21"/>
                      <w:u w:val="none"/>
                    </w:rPr>
                    <w:t>2O5</w:t>
                  </w:r>
                  <w:r>
                    <w:rPr>
                      <w:rFonts w:hint="eastAsia" w:ascii="宋体" w:hAnsi="宋体" w:eastAsia="宋体"/>
                      <w:spacing w:val="0"/>
                      <w:sz w:val="21"/>
                      <w:szCs w:val="21"/>
                      <w:u w:val="none"/>
                    </w:rPr>
                    <w:t>＋</w:t>
                  </w:r>
                  <w:r>
                    <w:rPr>
                      <w:rFonts w:ascii="宋体" w:hAnsi="宋体" w:eastAsia="宋体"/>
                      <w:sz w:val="21"/>
                      <w:szCs w:val="21"/>
                      <w:u w:val="none"/>
                    </w:rPr>
                    <w:t>K2O</w:t>
                  </w:r>
                  <w:r>
                    <w:rPr>
                      <w:rFonts w:hint="eastAsia" w:ascii="宋体" w:hAnsi="宋体" w:eastAsia="宋体"/>
                      <w:spacing w:val="0"/>
                      <w:sz w:val="21"/>
                      <w:szCs w:val="21"/>
                      <w:u w:val="none"/>
                    </w:rPr>
                    <w:t>）的质量分数a/%≥</w:t>
                  </w:r>
                </w:p>
              </w:tc>
              <w:tc>
                <w:tcPr>
                  <w:tcW w:w="1005" w:type="dxa"/>
                  <w:vAlign w:val="top"/>
                </w:tcPr>
                <w:p w14:paraId="4C909E87">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4</w:t>
                  </w:r>
                  <w:r>
                    <w:rPr>
                      <w:rFonts w:ascii="宋体" w:hAnsi="宋体" w:eastAsia="宋体"/>
                      <w:spacing w:val="0"/>
                      <w:sz w:val="21"/>
                      <w:szCs w:val="21"/>
                      <w:u w:val="none"/>
                    </w:rPr>
                    <w:t>0.0</w:t>
                  </w:r>
                </w:p>
              </w:tc>
              <w:tc>
                <w:tcPr>
                  <w:tcW w:w="1065" w:type="dxa"/>
                  <w:vAlign w:val="top"/>
                </w:tcPr>
                <w:p w14:paraId="3F9B0471">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3</w:t>
                  </w:r>
                  <w:r>
                    <w:rPr>
                      <w:rFonts w:ascii="宋体" w:hAnsi="宋体" w:eastAsia="宋体"/>
                      <w:spacing w:val="0"/>
                      <w:sz w:val="21"/>
                      <w:szCs w:val="21"/>
                      <w:u w:val="none"/>
                    </w:rPr>
                    <w:t>0.0</w:t>
                  </w:r>
                </w:p>
              </w:tc>
              <w:tc>
                <w:tcPr>
                  <w:tcW w:w="1102" w:type="dxa"/>
                  <w:vAlign w:val="top"/>
                </w:tcPr>
                <w:p w14:paraId="52FCEABF">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2</w:t>
                  </w:r>
                  <w:r>
                    <w:rPr>
                      <w:rFonts w:ascii="宋体" w:hAnsi="宋体" w:eastAsia="宋体"/>
                      <w:spacing w:val="0"/>
                      <w:sz w:val="21"/>
                      <w:szCs w:val="21"/>
                      <w:u w:val="none"/>
                    </w:rPr>
                    <w:t>5.0</w:t>
                  </w:r>
                </w:p>
              </w:tc>
            </w:tr>
            <w:tr w14:paraId="01562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8" w:type="dxa"/>
                  <w:vAlign w:val="top"/>
                </w:tcPr>
                <w:p w14:paraId="4A7686C0">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水溶性磷占有效磷百分比b</w:t>
                  </w:r>
                  <w:r>
                    <w:rPr>
                      <w:rFonts w:ascii="宋体" w:hAnsi="宋体" w:eastAsia="宋体"/>
                      <w:spacing w:val="0"/>
                      <w:sz w:val="21"/>
                      <w:szCs w:val="21"/>
                      <w:u w:val="none"/>
                    </w:rPr>
                    <w:t>/</w:t>
                  </w:r>
                  <w:r>
                    <w:rPr>
                      <w:rFonts w:hint="eastAsia" w:ascii="宋体" w:hAnsi="宋体" w:eastAsia="宋体"/>
                      <w:spacing w:val="0"/>
                      <w:sz w:val="21"/>
                      <w:szCs w:val="21"/>
                      <w:u w:val="none"/>
                    </w:rPr>
                    <w:t>%≥</w:t>
                  </w:r>
                </w:p>
              </w:tc>
              <w:tc>
                <w:tcPr>
                  <w:tcW w:w="1005" w:type="dxa"/>
                  <w:vAlign w:val="top"/>
                </w:tcPr>
                <w:p w14:paraId="6072EC33">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6</w:t>
                  </w:r>
                  <w:r>
                    <w:rPr>
                      <w:rFonts w:ascii="宋体" w:hAnsi="宋体" w:eastAsia="宋体"/>
                      <w:spacing w:val="0"/>
                      <w:sz w:val="21"/>
                      <w:szCs w:val="21"/>
                      <w:u w:val="none"/>
                    </w:rPr>
                    <w:t>0</w:t>
                  </w:r>
                </w:p>
              </w:tc>
              <w:tc>
                <w:tcPr>
                  <w:tcW w:w="1065" w:type="dxa"/>
                  <w:vAlign w:val="top"/>
                </w:tcPr>
                <w:p w14:paraId="2E9FDDC9">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5</w:t>
                  </w:r>
                  <w:r>
                    <w:rPr>
                      <w:rFonts w:ascii="宋体" w:hAnsi="宋体" w:eastAsia="宋体"/>
                      <w:spacing w:val="0"/>
                      <w:sz w:val="21"/>
                      <w:szCs w:val="21"/>
                      <w:u w:val="none"/>
                    </w:rPr>
                    <w:t>0</w:t>
                  </w:r>
                </w:p>
              </w:tc>
              <w:tc>
                <w:tcPr>
                  <w:tcW w:w="1102" w:type="dxa"/>
                  <w:vAlign w:val="top"/>
                </w:tcPr>
                <w:p w14:paraId="715F36F4">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4</w:t>
                  </w:r>
                  <w:r>
                    <w:rPr>
                      <w:rFonts w:ascii="宋体" w:hAnsi="宋体" w:eastAsia="宋体"/>
                      <w:spacing w:val="0"/>
                      <w:sz w:val="21"/>
                      <w:szCs w:val="21"/>
                      <w:u w:val="none"/>
                    </w:rPr>
                    <w:t>0</w:t>
                  </w:r>
                </w:p>
              </w:tc>
            </w:tr>
            <w:tr w14:paraId="258EB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8" w:type="dxa"/>
                  <w:vAlign w:val="top"/>
                </w:tcPr>
                <w:p w14:paraId="4886E94A">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水分（H</w:t>
                  </w:r>
                  <w:r>
                    <w:rPr>
                      <w:rFonts w:ascii="宋体" w:hAnsi="宋体" w:eastAsia="宋体"/>
                      <w:spacing w:val="0"/>
                      <w:sz w:val="21"/>
                      <w:szCs w:val="21"/>
                      <w:u w:val="none"/>
                      <w:vertAlign w:val="subscript"/>
                    </w:rPr>
                    <w:t>2</w:t>
                  </w:r>
                  <w:r>
                    <w:rPr>
                      <w:rFonts w:ascii="宋体" w:hAnsi="宋体" w:eastAsia="宋体"/>
                      <w:spacing w:val="0"/>
                      <w:sz w:val="21"/>
                      <w:szCs w:val="21"/>
                      <w:u w:val="none"/>
                    </w:rPr>
                    <w:t>O</w:t>
                  </w:r>
                  <w:r>
                    <w:rPr>
                      <w:rFonts w:hint="eastAsia" w:ascii="宋体" w:hAnsi="宋体" w:eastAsia="宋体"/>
                      <w:spacing w:val="0"/>
                      <w:sz w:val="21"/>
                      <w:szCs w:val="21"/>
                      <w:u w:val="none"/>
                    </w:rPr>
                    <w:t>）的质量分数c</w:t>
                  </w:r>
                  <w:r>
                    <w:rPr>
                      <w:rFonts w:ascii="宋体" w:hAnsi="宋体" w:eastAsia="宋体"/>
                      <w:spacing w:val="0"/>
                      <w:sz w:val="21"/>
                      <w:szCs w:val="21"/>
                      <w:u w:val="none"/>
                    </w:rPr>
                    <w:t>/</w:t>
                  </w:r>
                  <w:r>
                    <w:rPr>
                      <w:rFonts w:hint="eastAsia" w:ascii="宋体" w:hAnsi="宋体" w:eastAsia="宋体"/>
                      <w:spacing w:val="0"/>
                      <w:sz w:val="21"/>
                      <w:szCs w:val="21"/>
                      <w:u w:val="none"/>
                    </w:rPr>
                    <w:t>%≤</w:t>
                  </w:r>
                </w:p>
              </w:tc>
              <w:tc>
                <w:tcPr>
                  <w:tcW w:w="1005" w:type="dxa"/>
                  <w:vAlign w:val="top"/>
                </w:tcPr>
                <w:p w14:paraId="513E7348">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2</w:t>
                  </w:r>
                  <w:r>
                    <w:rPr>
                      <w:rFonts w:ascii="宋体" w:hAnsi="宋体" w:eastAsia="宋体"/>
                      <w:spacing w:val="0"/>
                      <w:sz w:val="21"/>
                      <w:szCs w:val="21"/>
                      <w:u w:val="none"/>
                    </w:rPr>
                    <w:t>.0</w:t>
                  </w:r>
                </w:p>
              </w:tc>
              <w:tc>
                <w:tcPr>
                  <w:tcW w:w="1065" w:type="dxa"/>
                  <w:vAlign w:val="top"/>
                </w:tcPr>
                <w:p w14:paraId="07AB4BE2">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2</w:t>
                  </w:r>
                  <w:r>
                    <w:rPr>
                      <w:rFonts w:ascii="宋体" w:hAnsi="宋体" w:eastAsia="宋体"/>
                      <w:spacing w:val="0"/>
                      <w:sz w:val="21"/>
                      <w:szCs w:val="21"/>
                      <w:u w:val="none"/>
                    </w:rPr>
                    <w:t>.5</w:t>
                  </w:r>
                </w:p>
              </w:tc>
              <w:tc>
                <w:tcPr>
                  <w:tcW w:w="1102" w:type="dxa"/>
                  <w:vAlign w:val="top"/>
                </w:tcPr>
                <w:p w14:paraId="269CBD27">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5</w:t>
                  </w:r>
                  <w:r>
                    <w:rPr>
                      <w:rFonts w:ascii="宋体" w:hAnsi="宋体" w:eastAsia="宋体"/>
                      <w:spacing w:val="0"/>
                      <w:sz w:val="21"/>
                      <w:szCs w:val="21"/>
                      <w:u w:val="none"/>
                    </w:rPr>
                    <w:t>.0</w:t>
                  </w:r>
                </w:p>
              </w:tc>
            </w:tr>
            <w:tr w14:paraId="301ED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68" w:type="dxa"/>
                  <w:vAlign w:val="top"/>
                </w:tcPr>
                <w:p w14:paraId="7DA488A3">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粒度（1</w:t>
                  </w:r>
                  <w:r>
                    <w:rPr>
                      <w:rFonts w:ascii="宋体" w:hAnsi="宋体" w:eastAsia="宋体"/>
                      <w:spacing w:val="0"/>
                      <w:sz w:val="21"/>
                      <w:szCs w:val="21"/>
                      <w:u w:val="none"/>
                    </w:rPr>
                    <w:t>.00</w:t>
                  </w:r>
                  <w:r>
                    <w:rPr>
                      <w:rFonts w:hint="eastAsia" w:ascii="宋体" w:hAnsi="宋体" w:eastAsia="宋体"/>
                      <w:spacing w:val="0"/>
                      <w:sz w:val="21"/>
                      <w:szCs w:val="21"/>
                      <w:u w:val="none"/>
                    </w:rPr>
                    <w:t>mm~</w:t>
                  </w:r>
                  <w:r>
                    <w:rPr>
                      <w:rFonts w:ascii="宋体" w:hAnsi="宋体" w:eastAsia="宋体"/>
                      <w:spacing w:val="0"/>
                      <w:sz w:val="21"/>
                      <w:szCs w:val="21"/>
                      <w:u w:val="none"/>
                    </w:rPr>
                    <w:t>4.75</w:t>
                  </w:r>
                  <w:r>
                    <w:rPr>
                      <w:rFonts w:hint="eastAsia" w:ascii="宋体" w:hAnsi="宋体" w:eastAsia="宋体"/>
                      <w:spacing w:val="0"/>
                      <w:sz w:val="21"/>
                      <w:szCs w:val="21"/>
                      <w:u w:val="none"/>
                    </w:rPr>
                    <w:t>mm或3</w:t>
                  </w:r>
                  <w:r>
                    <w:rPr>
                      <w:rFonts w:ascii="宋体" w:hAnsi="宋体" w:eastAsia="宋体"/>
                      <w:spacing w:val="0"/>
                      <w:sz w:val="21"/>
                      <w:szCs w:val="21"/>
                      <w:u w:val="none"/>
                    </w:rPr>
                    <w:t>.35</w:t>
                  </w:r>
                  <w:r>
                    <w:rPr>
                      <w:rFonts w:hint="eastAsia" w:ascii="宋体" w:hAnsi="宋体" w:eastAsia="宋体"/>
                      <w:spacing w:val="0"/>
                      <w:sz w:val="21"/>
                      <w:szCs w:val="21"/>
                      <w:u w:val="none"/>
                    </w:rPr>
                    <w:t>mm~</w:t>
                  </w:r>
                  <w:r>
                    <w:rPr>
                      <w:rFonts w:ascii="宋体" w:hAnsi="宋体" w:eastAsia="宋体"/>
                      <w:spacing w:val="0"/>
                      <w:sz w:val="21"/>
                      <w:szCs w:val="21"/>
                      <w:u w:val="none"/>
                    </w:rPr>
                    <w:t>5.60</w:t>
                  </w:r>
                  <w:r>
                    <w:rPr>
                      <w:rFonts w:hint="eastAsia" w:ascii="宋体" w:hAnsi="宋体" w:eastAsia="宋体"/>
                      <w:spacing w:val="0"/>
                      <w:sz w:val="21"/>
                      <w:szCs w:val="21"/>
                      <w:u w:val="none"/>
                    </w:rPr>
                    <w:t>mm）d</w:t>
                  </w:r>
                  <w:r>
                    <w:rPr>
                      <w:rFonts w:ascii="宋体" w:hAnsi="宋体" w:eastAsia="宋体"/>
                      <w:spacing w:val="0"/>
                      <w:sz w:val="21"/>
                      <w:szCs w:val="21"/>
                      <w:u w:val="none"/>
                    </w:rPr>
                    <w:t>/</w:t>
                  </w:r>
                  <w:r>
                    <w:rPr>
                      <w:rFonts w:hint="eastAsia" w:ascii="宋体" w:hAnsi="宋体" w:eastAsia="宋体"/>
                      <w:spacing w:val="0"/>
                      <w:sz w:val="21"/>
                      <w:szCs w:val="21"/>
                      <w:u w:val="none"/>
                    </w:rPr>
                    <w:t>%≥</w:t>
                  </w:r>
                </w:p>
              </w:tc>
              <w:tc>
                <w:tcPr>
                  <w:tcW w:w="1005" w:type="dxa"/>
                  <w:vAlign w:val="top"/>
                </w:tcPr>
                <w:p w14:paraId="36D66C0E">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9</w:t>
                  </w:r>
                  <w:r>
                    <w:rPr>
                      <w:rFonts w:ascii="宋体" w:hAnsi="宋体" w:eastAsia="宋体"/>
                      <w:spacing w:val="0"/>
                      <w:sz w:val="21"/>
                      <w:szCs w:val="21"/>
                      <w:u w:val="none"/>
                    </w:rPr>
                    <w:t>0</w:t>
                  </w:r>
                </w:p>
              </w:tc>
              <w:tc>
                <w:tcPr>
                  <w:tcW w:w="1065" w:type="dxa"/>
                  <w:vAlign w:val="top"/>
                </w:tcPr>
                <w:p w14:paraId="32278729">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9</w:t>
                  </w:r>
                  <w:r>
                    <w:rPr>
                      <w:rFonts w:ascii="宋体" w:hAnsi="宋体" w:eastAsia="宋体"/>
                      <w:spacing w:val="0"/>
                      <w:sz w:val="21"/>
                      <w:szCs w:val="21"/>
                      <w:u w:val="none"/>
                    </w:rPr>
                    <w:t>0</w:t>
                  </w:r>
                </w:p>
              </w:tc>
              <w:tc>
                <w:tcPr>
                  <w:tcW w:w="1102" w:type="dxa"/>
                  <w:vAlign w:val="top"/>
                </w:tcPr>
                <w:p w14:paraId="5B67B019">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ascii="宋体" w:hAnsi="宋体" w:eastAsia="宋体"/>
                      <w:spacing w:val="0"/>
                      <w:sz w:val="21"/>
                      <w:szCs w:val="21"/>
                      <w:u w:val="none"/>
                    </w:rPr>
                    <w:t>80</w:t>
                  </w:r>
                </w:p>
              </w:tc>
            </w:tr>
          </w:tbl>
          <w:p w14:paraId="5784C22C">
            <w:pPr>
              <w:pStyle w:val="23"/>
              <w:bidi w:val="0"/>
              <w:rPr>
                <w:rFonts w:hint="default"/>
                <w:color w:val="auto"/>
                <w:lang w:val="en-US" w:eastAsia="zh-CN"/>
              </w:rPr>
            </w:pPr>
            <w:r>
              <w:rPr>
                <w:rFonts w:hint="eastAsia"/>
                <w:color w:val="auto"/>
                <w:lang w:val="en-US" w:eastAsia="zh-CN"/>
              </w:rPr>
              <w:t>表2-3  掺混肥料（GB21633-2008）</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8"/>
              <w:gridCol w:w="3472"/>
            </w:tblGrid>
            <w:tr w14:paraId="73005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8" w:type="dxa"/>
                  <w:vAlign w:val="top"/>
                </w:tcPr>
                <w:p w14:paraId="33EC0A69">
                  <w:pPr>
                    <w:pStyle w:val="7"/>
                    <w:spacing w:line="240" w:lineRule="auto"/>
                    <w:ind w:firstLine="0" w:firstLineChars="0"/>
                    <w:jc w:val="center"/>
                    <w:rPr>
                      <w:rFonts w:hint="default"/>
                      <w:color w:val="4874CB" w:themeColor="accent1"/>
                      <w:u w:val="none"/>
                      <w:lang w:val="en-US" w:eastAsia="zh-CN"/>
                      <w14:textFill>
                        <w14:solidFill>
                          <w14:schemeClr w14:val="accent1"/>
                        </w14:solidFill>
                      </w14:textFill>
                    </w:rPr>
                  </w:pPr>
                  <w:r>
                    <w:rPr>
                      <w:rFonts w:hint="eastAsia" w:eastAsia="宋体"/>
                      <w:spacing w:val="0"/>
                      <w:sz w:val="21"/>
                      <w:szCs w:val="21"/>
                      <w:u w:val="none"/>
                    </w:rPr>
                    <w:t>项目</w:t>
                  </w:r>
                </w:p>
              </w:tc>
              <w:tc>
                <w:tcPr>
                  <w:tcW w:w="3472" w:type="dxa"/>
                  <w:vAlign w:val="top"/>
                </w:tcPr>
                <w:p w14:paraId="3A55667C">
                  <w:pPr>
                    <w:pStyle w:val="7"/>
                    <w:spacing w:line="240" w:lineRule="auto"/>
                    <w:ind w:firstLine="0" w:firstLineChars="0"/>
                    <w:jc w:val="center"/>
                    <w:rPr>
                      <w:rFonts w:hint="default"/>
                      <w:color w:val="4874CB" w:themeColor="accent1"/>
                      <w:u w:val="none"/>
                      <w:lang w:val="en-US" w:eastAsia="zh-CN"/>
                      <w14:textFill>
                        <w14:solidFill>
                          <w14:schemeClr w14:val="accent1"/>
                        </w14:solidFill>
                      </w14:textFill>
                    </w:rPr>
                  </w:pPr>
                  <w:r>
                    <w:rPr>
                      <w:rFonts w:hint="eastAsia" w:eastAsia="宋体"/>
                      <w:spacing w:val="0"/>
                      <w:sz w:val="21"/>
                      <w:szCs w:val="21"/>
                      <w:u w:val="none"/>
                    </w:rPr>
                    <w:t>指标</w:t>
                  </w:r>
                </w:p>
              </w:tc>
            </w:tr>
            <w:tr w14:paraId="3D40C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8" w:type="dxa"/>
                  <w:vAlign w:val="top"/>
                </w:tcPr>
                <w:p w14:paraId="69894B2D">
                  <w:pPr>
                    <w:pStyle w:val="7"/>
                    <w:spacing w:line="240" w:lineRule="auto"/>
                    <w:ind w:firstLine="0" w:firstLineChars="0"/>
                    <w:jc w:val="center"/>
                    <w:rPr>
                      <w:rFonts w:hint="default"/>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总养分（N＋P</w:t>
                  </w:r>
                  <w:r>
                    <w:rPr>
                      <w:rFonts w:ascii="宋体" w:hAnsi="宋体" w:eastAsia="宋体"/>
                      <w:spacing w:val="0"/>
                      <w:sz w:val="21"/>
                      <w:szCs w:val="21"/>
                      <w:u w:val="none"/>
                    </w:rPr>
                    <w:t>2O5</w:t>
                  </w:r>
                  <w:r>
                    <w:rPr>
                      <w:rFonts w:hint="eastAsia" w:ascii="宋体" w:hAnsi="宋体" w:eastAsia="宋体"/>
                      <w:spacing w:val="0"/>
                      <w:sz w:val="21"/>
                      <w:szCs w:val="21"/>
                      <w:u w:val="none"/>
                    </w:rPr>
                    <w:t>＋</w:t>
                  </w:r>
                  <w:r>
                    <w:rPr>
                      <w:rFonts w:ascii="宋体" w:hAnsi="宋体" w:eastAsia="宋体"/>
                      <w:sz w:val="21"/>
                      <w:szCs w:val="21"/>
                      <w:u w:val="none"/>
                    </w:rPr>
                    <w:t>K2O</w:t>
                  </w:r>
                  <w:r>
                    <w:rPr>
                      <w:rFonts w:hint="eastAsia" w:ascii="宋体" w:hAnsi="宋体" w:eastAsia="宋体"/>
                      <w:spacing w:val="0"/>
                      <w:sz w:val="21"/>
                      <w:szCs w:val="21"/>
                      <w:u w:val="none"/>
                    </w:rPr>
                    <w:t>）的质量分数</w:t>
                  </w:r>
                  <w:r>
                    <w:rPr>
                      <w:rFonts w:hint="eastAsia" w:ascii="宋体" w:hAnsi="宋体" w:eastAsia="宋体"/>
                      <w:spacing w:val="0"/>
                      <w:sz w:val="21"/>
                      <w:szCs w:val="21"/>
                      <w:u w:val="none"/>
                      <w:vertAlign w:val="superscript"/>
                    </w:rPr>
                    <w:t>a</w:t>
                  </w:r>
                  <w:r>
                    <w:rPr>
                      <w:rFonts w:hint="eastAsia" w:ascii="宋体" w:hAnsi="宋体" w:eastAsia="宋体"/>
                      <w:spacing w:val="0"/>
                      <w:sz w:val="21"/>
                      <w:szCs w:val="21"/>
                      <w:u w:val="none"/>
                    </w:rPr>
                    <w:t>，%≥</w:t>
                  </w:r>
                </w:p>
              </w:tc>
              <w:tc>
                <w:tcPr>
                  <w:tcW w:w="3472" w:type="dxa"/>
                  <w:vAlign w:val="top"/>
                </w:tcPr>
                <w:p w14:paraId="6C7EDE32">
                  <w:pPr>
                    <w:pStyle w:val="7"/>
                    <w:spacing w:line="240" w:lineRule="auto"/>
                    <w:ind w:firstLine="0" w:firstLineChars="0"/>
                    <w:jc w:val="center"/>
                    <w:rPr>
                      <w:rFonts w:hint="default"/>
                      <w:color w:val="4874CB" w:themeColor="accent1"/>
                      <w:u w:val="none"/>
                      <w:lang w:val="en-US" w:eastAsia="zh-CN"/>
                      <w14:textFill>
                        <w14:solidFill>
                          <w14:schemeClr w14:val="accent1"/>
                        </w14:solidFill>
                      </w14:textFill>
                    </w:rPr>
                  </w:pPr>
                  <w:r>
                    <w:rPr>
                      <w:rFonts w:hint="eastAsia" w:eastAsia="宋体"/>
                      <w:spacing w:val="0"/>
                      <w:sz w:val="21"/>
                      <w:szCs w:val="21"/>
                      <w:u w:val="none"/>
                    </w:rPr>
                    <w:t>3</w:t>
                  </w:r>
                  <w:r>
                    <w:rPr>
                      <w:rFonts w:eastAsia="宋体"/>
                      <w:spacing w:val="0"/>
                      <w:sz w:val="21"/>
                      <w:szCs w:val="21"/>
                      <w:u w:val="none"/>
                    </w:rPr>
                    <w:t>5.0</w:t>
                  </w:r>
                </w:p>
              </w:tc>
            </w:tr>
            <w:tr w14:paraId="6892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8" w:type="dxa"/>
                  <w:vAlign w:val="top"/>
                </w:tcPr>
                <w:p w14:paraId="349DD400">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水溶性磷占有效磷百分比</w:t>
                  </w:r>
                  <w:r>
                    <w:rPr>
                      <w:rFonts w:hint="eastAsia" w:ascii="宋体" w:hAnsi="宋体" w:eastAsia="宋体"/>
                      <w:spacing w:val="0"/>
                      <w:sz w:val="21"/>
                      <w:szCs w:val="21"/>
                      <w:u w:val="none"/>
                      <w:vertAlign w:val="superscript"/>
                    </w:rPr>
                    <w:t>b</w:t>
                  </w:r>
                  <w:r>
                    <w:rPr>
                      <w:rFonts w:hint="eastAsia" w:ascii="宋体" w:hAnsi="宋体" w:eastAsia="宋体"/>
                      <w:spacing w:val="0"/>
                      <w:sz w:val="21"/>
                      <w:szCs w:val="21"/>
                      <w:u w:val="none"/>
                    </w:rPr>
                    <w:t>，%≥</w:t>
                  </w:r>
                </w:p>
              </w:tc>
              <w:tc>
                <w:tcPr>
                  <w:tcW w:w="3472" w:type="dxa"/>
                  <w:vAlign w:val="top"/>
                </w:tcPr>
                <w:p w14:paraId="39A279B1">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eastAsia="宋体"/>
                      <w:spacing w:val="0"/>
                      <w:sz w:val="21"/>
                      <w:szCs w:val="21"/>
                      <w:u w:val="none"/>
                    </w:rPr>
                    <w:t>6</w:t>
                  </w:r>
                  <w:r>
                    <w:rPr>
                      <w:rFonts w:eastAsia="宋体"/>
                      <w:spacing w:val="0"/>
                      <w:sz w:val="21"/>
                      <w:szCs w:val="21"/>
                      <w:u w:val="none"/>
                    </w:rPr>
                    <w:t>0</w:t>
                  </w:r>
                </w:p>
              </w:tc>
            </w:tr>
            <w:tr w14:paraId="022A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8" w:type="dxa"/>
                  <w:vAlign w:val="top"/>
                </w:tcPr>
                <w:p w14:paraId="132D85F1">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水分（H</w:t>
                  </w:r>
                  <w:r>
                    <w:rPr>
                      <w:rFonts w:ascii="宋体" w:hAnsi="宋体" w:eastAsia="宋体"/>
                      <w:spacing w:val="0"/>
                      <w:sz w:val="21"/>
                      <w:szCs w:val="21"/>
                      <w:u w:val="none"/>
                      <w:vertAlign w:val="subscript"/>
                    </w:rPr>
                    <w:t>2</w:t>
                  </w:r>
                  <w:r>
                    <w:rPr>
                      <w:rFonts w:ascii="宋体" w:hAnsi="宋体" w:eastAsia="宋体"/>
                      <w:spacing w:val="0"/>
                      <w:sz w:val="21"/>
                      <w:szCs w:val="21"/>
                      <w:u w:val="none"/>
                    </w:rPr>
                    <w:t>O</w:t>
                  </w:r>
                  <w:r>
                    <w:rPr>
                      <w:rFonts w:hint="eastAsia" w:ascii="宋体" w:hAnsi="宋体" w:eastAsia="宋体"/>
                      <w:spacing w:val="0"/>
                      <w:sz w:val="21"/>
                      <w:szCs w:val="21"/>
                      <w:u w:val="none"/>
                    </w:rPr>
                    <w:t>）的质量分数，%≤</w:t>
                  </w:r>
                </w:p>
              </w:tc>
              <w:tc>
                <w:tcPr>
                  <w:tcW w:w="3472" w:type="dxa"/>
                  <w:vAlign w:val="top"/>
                </w:tcPr>
                <w:p w14:paraId="2A7B5A93">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eastAsia="宋体"/>
                      <w:spacing w:val="0"/>
                      <w:sz w:val="21"/>
                      <w:szCs w:val="21"/>
                      <w:u w:val="none"/>
                    </w:rPr>
                    <w:t>2</w:t>
                  </w:r>
                  <w:r>
                    <w:rPr>
                      <w:rFonts w:eastAsia="宋体"/>
                      <w:spacing w:val="0"/>
                      <w:sz w:val="21"/>
                      <w:szCs w:val="21"/>
                      <w:u w:val="none"/>
                    </w:rPr>
                    <w:t>.0</w:t>
                  </w:r>
                </w:p>
              </w:tc>
            </w:tr>
            <w:tr w14:paraId="3387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8" w:type="dxa"/>
                  <w:vAlign w:val="top"/>
                </w:tcPr>
                <w:p w14:paraId="76C23F6A">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ascii="宋体" w:hAnsi="宋体" w:eastAsia="宋体"/>
                      <w:spacing w:val="0"/>
                      <w:sz w:val="21"/>
                      <w:szCs w:val="21"/>
                      <w:u w:val="none"/>
                    </w:rPr>
                    <w:t>粒度（</w:t>
                  </w:r>
                  <w:r>
                    <w:rPr>
                      <w:rFonts w:ascii="宋体" w:hAnsi="宋体" w:eastAsia="宋体"/>
                      <w:spacing w:val="0"/>
                      <w:sz w:val="21"/>
                      <w:szCs w:val="21"/>
                      <w:u w:val="none"/>
                    </w:rPr>
                    <w:t>2.00</w:t>
                  </w:r>
                  <w:r>
                    <w:rPr>
                      <w:rFonts w:hint="eastAsia" w:ascii="宋体" w:hAnsi="宋体" w:eastAsia="宋体"/>
                      <w:spacing w:val="0"/>
                      <w:sz w:val="21"/>
                      <w:szCs w:val="21"/>
                      <w:u w:val="none"/>
                    </w:rPr>
                    <w:t>mm-</w:t>
                  </w:r>
                  <w:r>
                    <w:rPr>
                      <w:rFonts w:ascii="宋体" w:hAnsi="宋体" w:eastAsia="宋体"/>
                      <w:spacing w:val="0"/>
                      <w:sz w:val="21"/>
                      <w:szCs w:val="21"/>
                      <w:u w:val="none"/>
                    </w:rPr>
                    <w:t>4.00</w:t>
                  </w:r>
                  <w:r>
                    <w:rPr>
                      <w:rFonts w:hint="eastAsia" w:ascii="宋体" w:hAnsi="宋体" w:eastAsia="宋体"/>
                      <w:spacing w:val="0"/>
                      <w:sz w:val="21"/>
                      <w:szCs w:val="21"/>
                      <w:u w:val="none"/>
                    </w:rPr>
                    <w:t>mm），%≥</w:t>
                  </w:r>
                </w:p>
              </w:tc>
              <w:tc>
                <w:tcPr>
                  <w:tcW w:w="3472" w:type="dxa"/>
                  <w:vAlign w:val="top"/>
                </w:tcPr>
                <w:p w14:paraId="3C1CD88B">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eastAsia="宋体"/>
                      <w:spacing w:val="0"/>
                      <w:sz w:val="21"/>
                      <w:szCs w:val="21"/>
                      <w:u w:val="none"/>
                    </w:rPr>
                    <w:t>7</w:t>
                  </w:r>
                  <w:r>
                    <w:rPr>
                      <w:rFonts w:eastAsia="宋体"/>
                      <w:spacing w:val="0"/>
                      <w:sz w:val="21"/>
                      <w:szCs w:val="21"/>
                      <w:u w:val="none"/>
                    </w:rPr>
                    <w:t>0</w:t>
                  </w:r>
                </w:p>
              </w:tc>
            </w:tr>
            <w:tr w14:paraId="7E819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8" w:type="dxa"/>
                  <w:vAlign w:val="top"/>
                </w:tcPr>
                <w:p w14:paraId="079CF807">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eastAsia="宋体"/>
                      <w:spacing w:val="0"/>
                      <w:sz w:val="21"/>
                      <w:szCs w:val="21"/>
                      <w:u w:val="none"/>
                    </w:rPr>
                    <w:t>氯离子的质量分数</w:t>
                  </w:r>
                  <w:r>
                    <w:rPr>
                      <w:rFonts w:hint="eastAsia" w:eastAsia="宋体"/>
                      <w:spacing w:val="0"/>
                      <w:sz w:val="21"/>
                      <w:szCs w:val="21"/>
                      <w:u w:val="none"/>
                      <w:vertAlign w:val="superscript"/>
                    </w:rPr>
                    <w:t>c</w:t>
                  </w:r>
                  <w:r>
                    <w:rPr>
                      <w:rFonts w:hint="eastAsia" w:eastAsia="宋体"/>
                      <w:spacing w:val="0"/>
                      <w:sz w:val="21"/>
                      <w:szCs w:val="21"/>
                      <w:u w:val="none"/>
                    </w:rPr>
                    <w:t>，%</w:t>
                  </w:r>
                </w:p>
              </w:tc>
              <w:tc>
                <w:tcPr>
                  <w:tcW w:w="3472" w:type="dxa"/>
                  <w:vAlign w:val="top"/>
                </w:tcPr>
                <w:p w14:paraId="1ED11693">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eastAsia="宋体"/>
                      <w:spacing w:val="0"/>
                      <w:sz w:val="21"/>
                      <w:szCs w:val="21"/>
                      <w:u w:val="none"/>
                    </w:rPr>
                    <w:t>3</w:t>
                  </w:r>
                  <w:r>
                    <w:rPr>
                      <w:rFonts w:eastAsia="宋体"/>
                      <w:spacing w:val="0"/>
                      <w:sz w:val="21"/>
                      <w:szCs w:val="21"/>
                      <w:u w:val="none"/>
                    </w:rPr>
                    <w:t>.0</w:t>
                  </w:r>
                </w:p>
              </w:tc>
            </w:tr>
            <w:tr w14:paraId="0CC3C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8" w:type="dxa"/>
                  <w:vAlign w:val="top"/>
                </w:tcPr>
                <w:p w14:paraId="102259C2">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eastAsia="宋体"/>
                      <w:spacing w:val="0"/>
                      <w:sz w:val="21"/>
                      <w:szCs w:val="21"/>
                      <w:u w:val="none"/>
                    </w:rPr>
                    <w:t>中量元素单一养分的质量分数（以单质计）</w:t>
                  </w:r>
                  <w:r>
                    <w:rPr>
                      <w:rFonts w:hint="eastAsia" w:eastAsia="宋体"/>
                      <w:spacing w:val="0"/>
                      <w:sz w:val="21"/>
                      <w:szCs w:val="21"/>
                      <w:u w:val="none"/>
                      <w:vertAlign w:val="superscript"/>
                    </w:rPr>
                    <w:t>d</w:t>
                  </w:r>
                  <w:r>
                    <w:rPr>
                      <w:rFonts w:hint="eastAsia" w:eastAsia="宋体"/>
                      <w:spacing w:val="0"/>
                      <w:sz w:val="21"/>
                      <w:szCs w:val="21"/>
                      <w:u w:val="none"/>
                    </w:rPr>
                    <w:t>，%</w:t>
                  </w:r>
                </w:p>
              </w:tc>
              <w:tc>
                <w:tcPr>
                  <w:tcW w:w="3472" w:type="dxa"/>
                  <w:vAlign w:val="top"/>
                </w:tcPr>
                <w:p w14:paraId="07726EB9">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eastAsia="宋体"/>
                      <w:spacing w:val="0"/>
                      <w:sz w:val="21"/>
                      <w:szCs w:val="21"/>
                      <w:u w:val="none"/>
                    </w:rPr>
                    <w:t>2</w:t>
                  </w:r>
                  <w:r>
                    <w:rPr>
                      <w:rFonts w:eastAsia="宋体"/>
                      <w:spacing w:val="0"/>
                      <w:sz w:val="21"/>
                      <w:szCs w:val="21"/>
                      <w:u w:val="none"/>
                    </w:rPr>
                    <w:t>.0</w:t>
                  </w:r>
                </w:p>
              </w:tc>
            </w:tr>
            <w:tr w14:paraId="27F20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68" w:type="dxa"/>
                  <w:vAlign w:val="top"/>
                </w:tcPr>
                <w:p w14:paraId="03553649">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eastAsia="宋体"/>
                      <w:spacing w:val="0"/>
                      <w:sz w:val="21"/>
                      <w:szCs w:val="21"/>
                      <w:u w:val="none"/>
                    </w:rPr>
                    <w:t>微量元素单一养分的质量分数（以单质计）</w:t>
                  </w:r>
                  <w:r>
                    <w:rPr>
                      <w:rFonts w:hint="eastAsia" w:eastAsia="宋体"/>
                      <w:spacing w:val="0"/>
                      <w:sz w:val="21"/>
                      <w:szCs w:val="21"/>
                      <w:u w:val="none"/>
                      <w:vertAlign w:val="superscript"/>
                    </w:rPr>
                    <w:t>e</w:t>
                  </w:r>
                  <w:r>
                    <w:rPr>
                      <w:rFonts w:hint="eastAsia" w:eastAsia="宋体"/>
                      <w:spacing w:val="0"/>
                      <w:sz w:val="21"/>
                      <w:szCs w:val="21"/>
                      <w:u w:val="none"/>
                    </w:rPr>
                    <w:t>，%</w:t>
                  </w:r>
                </w:p>
              </w:tc>
              <w:tc>
                <w:tcPr>
                  <w:tcW w:w="3472" w:type="dxa"/>
                  <w:vAlign w:val="top"/>
                </w:tcPr>
                <w:p w14:paraId="60D8994C">
                  <w:pPr>
                    <w:pStyle w:val="7"/>
                    <w:spacing w:line="240" w:lineRule="auto"/>
                    <w:ind w:firstLine="0" w:firstLineChars="0"/>
                    <w:jc w:val="center"/>
                    <w:rPr>
                      <w:rFonts w:hint="eastAsia"/>
                      <w:color w:val="4874CB" w:themeColor="accent1"/>
                      <w:u w:val="none"/>
                      <w:lang w:val="en-US" w:eastAsia="zh-CN"/>
                      <w14:textFill>
                        <w14:solidFill>
                          <w14:schemeClr w14:val="accent1"/>
                        </w14:solidFill>
                      </w14:textFill>
                    </w:rPr>
                  </w:pPr>
                  <w:r>
                    <w:rPr>
                      <w:rFonts w:hint="eastAsia" w:eastAsia="宋体"/>
                      <w:spacing w:val="0"/>
                      <w:sz w:val="21"/>
                      <w:szCs w:val="21"/>
                      <w:u w:val="none"/>
                    </w:rPr>
                    <w:t>0</w:t>
                  </w:r>
                  <w:r>
                    <w:rPr>
                      <w:rFonts w:eastAsia="宋体"/>
                      <w:spacing w:val="0"/>
                      <w:sz w:val="21"/>
                      <w:szCs w:val="21"/>
                      <w:u w:val="none"/>
                    </w:rPr>
                    <w:t>.02</w:t>
                  </w:r>
                </w:p>
              </w:tc>
            </w:tr>
            <w:tr w14:paraId="4107A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0" w:type="dxa"/>
                  <w:gridSpan w:val="2"/>
                  <w:vAlign w:val="top"/>
                </w:tcPr>
                <w:p w14:paraId="15CD3D44">
                  <w:pPr>
                    <w:pStyle w:val="7"/>
                    <w:spacing w:line="240" w:lineRule="auto"/>
                    <w:jc w:val="left"/>
                    <w:rPr>
                      <w:rFonts w:eastAsia="宋体"/>
                      <w:spacing w:val="0"/>
                      <w:sz w:val="21"/>
                      <w:szCs w:val="21"/>
                      <w:u w:val="none"/>
                    </w:rPr>
                  </w:pPr>
                  <w:r>
                    <w:rPr>
                      <w:rFonts w:hint="eastAsia" w:eastAsia="宋体"/>
                      <w:spacing w:val="0"/>
                      <w:sz w:val="21"/>
                      <w:szCs w:val="21"/>
                      <w:u w:val="none"/>
                      <w:vertAlign w:val="superscript"/>
                    </w:rPr>
                    <w:t>a</w:t>
                  </w:r>
                  <w:r>
                    <w:rPr>
                      <w:rFonts w:hint="eastAsia" w:eastAsia="宋体"/>
                      <w:spacing w:val="0"/>
                      <w:sz w:val="21"/>
                      <w:szCs w:val="21"/>
                      <w:u w:val="none"/>
                    </w:rPr>
                    <w:t>组成产品的单一养分质量分数不得低于4.0％，且单一养分测定值与标明值负偏差的绝对值不得大于1.5％；</w:t>
                  </w:r>
                </w:p>
                <w:p w14:paraId="03A5DACC">
                  <w:pPr>
                    <w:pStyle w:val="7"/>
                    <w:spacing w:line="240" w:lineRule="auto"/>
                    <w:jc w:val="left"/>
                    <w:rPr>
                      <w:rFonts w:hint="eastAsia" w:eastAsia="宋体"/>
                      <w:spacing w:val="0"/>
                      <w:sz w:val="21"/>
                      <w:szCs w:val="21"/>
                      <w:u w:val="none"/>
                    </w:rPr>
                  </w:pPr>
                  <w:r>
                    <w:rPr>
                      <w:rFonts w:hint="eastAsia" w:eastAsia="宋体"/>
                      <w:spacing w:val="0"/>
                      <w:sz w:val="21"/>
                      <w:szCs w:val="21"/>
                      <w:u w:val="none"/>
                      <w:vertAlign w:val="superscript"/>
                    </w:rPr>
                    <w:t>b</w:t>
                  </w:r>
                  <w:r>
                    <w:rPr>
                      <w:rFonts w:hint="eastAsia" w:eastAsia="宋体"/>
                      <w:spacing w:val="0"/>
                      <w:sz w:val="21"/>
                      <w:szCs w:val="21"/>
                      <w:u w:val="none"/>
                    </w:rPr>
                    <w:t>以钙镁磷肥等枸溶性磷肥为基础磷肥并在包装容器上注明为“枸溶性磷”，可不控制“水溶性磷占有效磷百分率”指标。若为氮、钾二元肥料，也不控制“水溶性磷占有效磷百分率”指标。</w:t>
                  </w:r>
                </w:p>
                <w:p w14:paraId="32E0A1D9">
                  <w:pPr>
                    <w:pStyle w:val="7"/>
                    <w:spacing w:line="240" w:lineRule="auto"/>
                    <w:jc w:val="left"/>
                    <w:rPr>
                      <w:rFonts w:hint="eastAsia" w:eastAsia="宋体"/>
                      <w:spacing w:val="0"/>
                      <w:sz w:val="21"/>
                      <w:szCs w:val="21"/>
                      <w:u w:val="none"/>
                    </w:rPr>
                  </w:pPr>
                  <w:r>
                    <w:rPr>
                      <w:rFonts w:hint="eastAsia" w:eastAsia="宋体"/>
                      <w:spacing w:val="0"/>
                      <w:sz w:val="21"/>
                      <w:szCs w:val="21"/>
                      <w:u w:val="none"/>
                      <w:vertAlign w:val="superscript"/>
                    </w:rPr>
                    <w:t>c</w:t>
                  </w:r>
                  <w:r>
                    <w:rPr>
                      <w:rFonts w:hint="eastAsia" w:eastAsia="宋体"/>
                      <w:spacing w:val="0"/>
                      <w:sz w:val="21"/>
                      <w:szCs w:val="21"/>
                      <w:u w:val="none"/>
                    </w:rPr>
                    <w:t>包装容器标明“含氯”时不检测本项目</w:t>
                  </w:r>
                </w:p>
                <w:p w14:paraId="53905D63">
                  <w:pPr>
                    <w:pStyle w:val="7"/>
                    <w:spacing w:line="240" w:lineRule="auto"/>
                    <w:jc w:val="left"/>
                    <w:rPr>
                      <w:rFonts w:hint="eastAsia" w:eastAsia="宋体"/>
                      <w:spacing w:val="0"/>
                      <w:sz w:val="21"/>
                      <w:szCs w:val="21"/>
                      <w:u w:val="none"/>
                    </w:rPr>
                  </w:pPr>
                  <w:r>
                    <w:rPr>
                      <w:rFonts w:hint="eastAsia" w:eastAsia="宋体"/>
                      <w:spacing w:val="0"/>
                      <w:sz w:val="21"/>
                      <w:szCs w:val="21"/>
                      <w:u w:val="none"/>
                      <w:vertAlign w:val="superscript"/>
                    </w:rPr>
                    <w:t>d</w:t>
                  </w:r>
                  <w:r>
                    <w:rPr>
                      <w:rFonts w:hint="eastAsia" w:eastAsia="宋体"/>
                      <w:spacing w:val="0"/>
                      <w:sz w:val="21"/>
                      <w:szCs w:val="21"/>
                      <w:u w:val="none"/>
                    </w:rPr>
                    <w:t>包装容器标明含有钙、镁、硫时检测本项目</w:t>
                  </w:r>
                </w:p>
                <w:p w14:paraId="13AEEDD9">
                  <w:pPr>
                    <w:pStyle w:val="7"/>
                    <w:spacing w:line="240" w:lineRule="auto"/>
                    <w:ind w:firstLine="0" w:firstLineChars="0"/>
                    <w:jc w:val="left"/>
                    <w:rPr>
                      <w:rFonts w:hint="eastAsia"/>
                      <w:color w:val="4874CB" w:themeColor="accent1"/>
                      <w:u w:val="none"/>
                      <w:lang w:val="en-US" w:eastAsia="zh-CN"/>
                      <w14:textFill>
                        <w14:solidFill>
                          <w14:schemeClr w14:val="accent1"/>
                        </w14:solidFill>
                      </w14:textFill>
                    </w:rPr>
                  </w:pPr>
                  <w:r>
                    <w:rPr>
                      <w:rFonts w:hint="eastAsia" w:eastAsia="宋体"/>
                      <w:spacing w:val="0"/>
                      <w:sz w:val="21"/>
                      <w:szCs w:val="21"/>
                      <w:u w:val="none"/>
                      <w:vertAlign w:val="superscript"/>
                    </w:rPr>
                    <w:t>e</w:t>
                  </w:r>
                  <w:r>
                    <w:rPr>
                      <w:rFonts w:hint="eastAsia" w:eastAsia="宋体"/>
                      <w:spacing w:val="0"/>
                      <w:sz w:val="21"/>
                      <w:szCs w:val="21"/>
                      <w:u w:val="none"/>
                    </w:rPr>
                    <w:t>包装容器标明含有铜、铁、锰、锌、硼、钼时检测本项目</w:t>
                  </w:r>
                </w:p>
              </w:tc>
            </w:tr>
          </w:tbl>
          <w:p w14:paraId="025F989F">
            <w:pPr>
              <w:pStyle w:val="21"/>
              <w:bidi w:val="0"/>
              <w:ind w:left="0" w:leftChars="0" w:firstLine="482" w:firstLineChars="200"/>
              <w:rPr>
                <w:rFonts w:hint="eastAsia"/>
                <w:color w:val="auto"/>
                <w:lang w:val="en-US" w:eastAsia="zh-CN"/>
              </w:rPr>
            </w:pPr>
            <w:r>
              <w:rPr>
                <w:rFonts w:hint="eastAsia"/>
                <w:color w:val="auto"/>
                <w:lang w:val="en-US" w:eastAsia="zh-CN"/>
              </w:rPr>
              <w:t>5、主要原辅材料</w:t>
            </w:r>
          </w:p>
          <w:p w14:paraId="5BC99823">
            <w:pPr>
              <w:pStyle w:val="22"/>
              <w:bidi w:val="0"/>
              <w:rPr>
                <w:rFonts w:hint="eastAsia"/>
                <w:color w:val="auto"/>
                <w:lang w:val="en-US" w:eastAsia="zh-CN"/>
              </w:rPr>
            </w:pPr>
            <w:r>
              <w:rPr>
                <w:rFonts w:hint="eastAsia"/>
                <w:color w:val="auto"/>
                <w:lang w:val="en-US" w:eastAsia="zh-CN"/>
              </w:rPr>
              <w:t>根据企业提供的资料，主要原辅材料情况详见下表。</w:t>
            </w:r>
          </w:p>
          <w:p w14:paraId="12B899CA">
            <w:pPr>
              <w:pStyle w:val="23"/>
              <w:bidi w:val="0"/>
              <w:ind w:firstLine="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表2-</w:t>
            </w:r>
            <w:r>
              <w:rPr>
                <w:rFonts w:hint="eastAsia" w:cs="Times New Roman"/>
                <w:color w:val="auto"/>
                <w:lang w:val="en-US" w:eastAsia="zh-CN"/>
              </w:rPr>
              <w:t>4</w:t>
            </w:r>
            <w:r>
              <w:rPr>
                <w:rFonts w:hint="eastAsia" w:ascii="Times New Roman" w:hAnsi="Times New Roman" w:eastAsia="宋体" w:cs="Times New Roman"/>
                <w:color w:val="auto"/>
                <w:lang w:val="en-US" w:eastAsia="zh-CN"/>
              </w:rPr>
              <w:t xml:space="preserve">  </w:t>
            </w:r>
            <w:r>
              <w:rPr>
                <w:rFonts w:hint="eastAsia" w:cs="Times New Roman"/>
                <w:color w:val="auto"/>
                <w:lang w:val="en-US" w:eastAsia="zh-CN"/>
              </w:rPr>
              <w:t>复合肥</w:t>
            </w:r>
            <w:r>
              <w:rPr>
                <w:rFonts w:hint="eastAsia" w:ascii="Times New Roman" w:hAnsi="Times New Roman" w:eastAsia="宋体" w:cs="Times New Roman"/>
                <w:color w:val="auto"/>
                <w:lang w:val="en-US" w:eastAsia="zh-CN"/>
              </w:rPr>
              <w:t>原</w:t>
            </w:r>
            <w:r>
              <w:rPr>
                <w:rFonts w:hint="eastAsia" w:cs="Times New Roman"/>
                <w:color w:val="auto"/>
                <w:lang w:val="en-US" w:eastAsia="zh-CN"/>
              </w:rPr>
              <w:t>辅</w:t>
            </w:r>
            <w:r>
              <w:rPr>
                <w:rFonts w:hint="eastAsia" w:ascii="Times New Roman" w:hAnsi="Times New Roman" w:eastAsia="宋体" w:cs="Times New Roman"/>
                <w:color w:val="auto"/>
                <w:lang w:val="en-US" w:eastAsia="zh-CN"/>
              </w:rPr>
              <w:t>材料一览表</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660"/>
              <w:gridCol w:w="990"/>
              <w:gridCol w:w="4320"/>
              <w:gridCol w:w="750"/>
            </w:tblGrid>
            <w:tr w14:paraId="7C885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center"/>
                </w:tcPr>
                <w:p w14:paraId="01CD3F05">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原料名称</w:t>
                  </w:r>
                </w:p>
              </w:tc>
              <w:tc>
                <w:tcPr>
                  <w:tcW w:w="660" w:type="dxa"/>
                  <w:vAlign w:val="center"/>
                </w:tcPr>
                <w:p w14:paraId="523A1A6C">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单位</w:t>
                  </w:r>
                </w:p>
              </w:tc>
              <w:tc>
                <w:tcPr>
                  <w:tcW w:w="990" w:type="dxa"/>
                  <w:vAlign w:val="center"/>
                </w:tcPr>
                <w:p w14:paraId="1D06BF94">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年消耗量</w:t>
                  </w:r>
                </w:p>
              </w:tc>
              <w:tc>
                <w:tcPr>
                  <w:tcW w:w="4320" w:type="dxa"/>
                  <w:vAlign w:val="center"/>
                </w:tcPr>
                <w:p w14:paraId="41F1C287">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备注</w:t>
                  </w:r>
                </w:p>
              </w:tc>
              <w:tc>
                <w:tcPr>
                  <w:tcW w:w="750" w:type="dxa"/>
                  <w:vAlign w:val="center"/>
                </w:tcPr>
                <w:p w14:paraId="7FA2EA64">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最大储量</w:t>
                  </w:r>
                </w:p>
              </w:tc>
            </w:tr>
            <w:tr w14:paraId="6BF3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center"/>
                </w:tcPr>
                <w:p w14:paraId="08CD1001">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有机肥料</w:t>
                  </w:r>
                </w:p>
              </w:tc>
              <w:tc>
                <w:tcPr>
                  <w:tcW w:w="660" w:type="dxa"/>
                  <w:vAlign w:val="center"/>
                </w:tcPr>
                <w:p w14:paraId="6829FC9C">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吨</w:t>
                  </w:r>
                </w:p>
              </w:tc>
              <w:tc>
                <w:tcPr>
                  <w:tcW w:w="990" w:type="dxa"/>
                  <w:vAlign w:val="center"/>
                </w:tcPr>
                <w:p w14:paraId="2A436361">
                  <w:pPr>
                    <w:pStyle w:val="24"/>
                    <w:bidi w:val="0"/>
                    <w:jc w:val="center"/>
                    <w:rPr>
                      <w:rFonts w:hint="default"/>
                      <w:color w:val="auto"/>
                      <w:u w:val="single"/>
                      <w:vertAlign w:val="baseline"/>
                      <w:lang w:val="en-US" w:eastAsia="zh-CN"/>
                    </w:rPr>
                  </w:pPr>
                  <w:r>
                    <w:rPr>
                      <w:rFonts w:hint="eastAsia"/>
                      <w:color w:val="auto"/>
                      <w:sz w:val="21"/>
                      <w:szCs w:val="21"/>
                      <w:u w:val="single"/>
                      <w:vertAlign w:val="baseline"/>
                      <w:lang w:val="en-US" w:eastAsia="zh-CN"/>
                    </w:rPr>
                    <w:t>897.45</w:t>
                  </w:r>
                </w:p>
              </w:tc>
              <w:tc>
                <w:tcPr>
                  <w:tcW w:w="4320" w:type="dxa"/>
                  <w:vAlign w:val="center"/>
                </w:tcPr>
                <w:p w14:paraId="7B643693">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外购成品，自身不发酵。</w:t>
                  </w:r>
                </w:p>
              </w:tc>
              <w:tc>
                <w:tcPr>
                  <w:tcW w:w="750" w:type="dxa"/>
                  <w:vAlign w:val="center"/>
                </w:tcPr>
                <w:p w14:paraId="24D9288F">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200</w:t>
                  </w:r>
                </w:p>
              </w:tc>
            </w:tr>
            <w:tr w14:paraId="70FC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28" w:type="dxa"/>
                  <w:vAlign w:val="center"/>
                </w:tcPr>
                <w:p w14:paraId="731CEA2D">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尿素</w:t>
                  </w:r>
                </w:p>
              </w:tc>
              <w:tc>
                <w:tcPr>
                  <w:tcW w:w="660" w:type="dxa"/>
                  <w:vAlign w:val="center"/>
                </w:tcPr>
                <w:p w14:paraId="18693D4E">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吨</w:t>
                  </w:r>
                </w:p>
              </w:tc>
              <w:tc>
                <w:tcPr>
                  <w:tcW w:w="990" w:type="dxa"/>
                  <w:vAlign w:val="center"/>
                </w:tcPr>
                <w:p w14:paraId="02DE9A5E">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2800</w:t>
                  </w:r>
                </w:p>
              </w:tc>
              <w:tc>
                <w:tcPr>
                  <w:tcW w:w="4320" w:type="dxa"/>
                  <w:vAlign w:val="center"/>
                </w:tcPr>
                <w:p w14:paraId="6234B00D">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外购，50kg袋装储存，原料状态为结晶粉末状</w:t>
                  </w:r>
                </w:p>
              </w:tc>
              <w:tc>
                <w:tcPr>
                  <w:tcW w:w="750" w:type="dxa"/>
                  <w:vAlign w:val="center"/>
                </w:tcPr>
                <w:p w14:paraId="62787134">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500</w:t>
                  </w:r>
                </w:p>
              </w:tc>
            </w:tr>
            <w:tr w14:paraId="22F2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center"/>
                </w:tcPr>
                <w:p w14:paraId="20B70386">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氯化铵</w:t>
                  </w:r>
                </w:p>
              </w:tc>
              <w:tc>
                <w:tcPr>
                  <w:tcW w:w="660" w:type="dxa"/>
                  <w:vAlign w:val="center"/>
                </w:tcPr>
                <w:p w14:paraId="7C700E0E">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吨</w:t>
                  </w:r>
                </w:p>
              </w:tc>
              <w:tc>
                <w:tcPr>
                  <w:tcW w:w="990" w:type="dxa"/>
                  <w:vAlign w:val="center"/>
                </w:tcPr>
                <w:p w14:paraId="45F351B5">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6000</w:t>
                  </w:r>
                </w:p>
              </w:tc>
              <w:tc>
                <w:tcPr>
                  <w:tcW w:w="4320" w:type="dxa"/>
                  <w:vAlign w:val="center"/>
                </w:tcPr>
                <w:p w14:paraId="5C5E1621">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外购，50kg袋装储存，原料状态为结晶粉末状</w:t>
                  </w:r>
                </w:p>
              </w:tc>
              <w:tc>
                <w:tcPr>
                  <w:tcW w:w="750" w:type="dxa"/>
                  <w:vAlign w:val="center"/>
                </w:tcPr>
                <w:p w14:paraId="29A3F94C">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600</w:t>
                  </w:r>
                </w:p>
              </w:tc>
            </w:tr>
            <w:tr w14:paraId="0D1D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center"/>
                </w:tcPr>
                <w:p w14:paraId="7755C20F">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磷酸一铵</w:t>
                  </w:r>
                </w:p>
              </w:tc>
              <w:tc>
                <w:tcPr>
                  <w:tcW w:w="660" w:type="dxa"/>
                  <w:vAlign w:val="center"/>
                </w:tcPr>
                <w:p w14:paraId="31CF12B3">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吨</w:t>
                  </w:r>
                </w:p>
              </w:tc>
              <w:tc>
                <w:tcPr>
                  <w:tcW w:w="990" w:type="dxa"/>
                  <w:vAlign w:val="center"/>
                </w:tcPr>
                <w:p w14:paraId="4FCFC489">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2800</w:t>
                  </w:r>
                </w:p>
              </w:tc>
              <w:tc>
                <w:tcPr>
                  <w:tcW w:w="4320" w:type="dxa"/>
                  <w:vAlign w:val="center"/>
                </w:tcPr>
                <w:p w14:paraId="2991F9AF">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外购，50kg袋装储存，原料状态为粉末状</w:t>
                  </w:r>
                </w:p>
              </w:tc>
              <w:tc>
                <w:tcPr>
                  <w:tcW w:w="750" w:type="dxa"/>
                  <w:vAlign w:val="center"/>
                </w:tcPr>
                <w:p w14:paraId="1C5777EC">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200</w:t>
                  </w:r>
                </w:p>
              </w:tc>
            </w:tr>
            <w:tr w14:paraId="34298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center"/>
                </w:tcPr>
                <w:p w14:paraId="59309C24">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磷酸氢钙</w:t>
                  </w:r>
                </w:p>
              </w:tc>
              <w:tc>
                <w:tcPr>
                  <w:tcW w:w="660" w:type="dxa"/>
                  <w:vAlign w:val="center"/>
                </w:tcPr>
                <w:p w14:paraId="05D807C4">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吨</w:t>
                  </w:r>
                </w:p>
              </w:tc>
              <w:tc>
                <w:tcPr>
                  <w:tcW w:w="990" w:type="dxa"/>
                  <w:vAlign w:val="center"/>
                </w:tcPr>
                <w:p w14:paraId="1A93DAC4">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2700</w:t>
                  </w:r>
                </w:p>
              </w:tc>
              <w:tc>
                <w:tcPr>
                  <w:tcW w:w="4320" w:type="dxa"/>
                  <w:vAlign w:val="center"/>
                </w:tcPr>
                <w:p w14:paraId="177204E3">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外购，50kg袋装储存，原料状态为结晶粉末状</w:t>
                  </w:r>
                </w:p>
              </w:tc>
              <w:tc>
                <w:tcPr>
                  <w:tcW w:w="750" w:type="dxa"/>
                  <w:vAlign w:val="center"/>
                </w:tcPr>
                <w:p w14:paraId="3057BD72">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200</w:t>
                  </w:r>
                </w:p>
              </w:tc>
            </w:tr>
            <w:tr w14:paraId="50E2C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center"/>
                </w:tcPr>
                <w:p w14:paraId="0FBF0C71">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氯化钾</w:t>
                  </w:r>
                </w:p>
              </w:tc>
              <w:tc>
                <w:tcPr>
                  <w:tcW w:w="660" w:type="dxa"/>
                  <w:vAlign w:val="center"/>
                </w:tcPr>
                <w:p w14:paraId="258BC960">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吨</w:t>
                  </w:r>
                </w:p>
              </w:tc>
              <w:tc>
                <w:tcPr>
                  <w:tcW w:w="990" w:type="dxa"/>
                  <w:vAlign w:val="center"/>
                </w:tcPr>
                <w:p w14:paraId="1D72AE14">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2000</w:t>
                  </w:r>
                </w:p>
              </w:tc>
              <w:tc>
                <w:tcPr>
                  <w:tcW w:w="4320" w:type="dxa"/>
                  <w:vAlign w:val="center"/>
                </w:tcPr>
                <w:p w14:paraId="772BC7A1">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外购，50kg袋装储存，原料状态为结晶粉末状</w:t>
                  </w:r>
                </w:p>
              </w:tc>
              <w:tc>
                <w:tcPr>
                  <w:tcW w:w="750" w:type="dxa"/>
                  <w:vAlign w:val="center"/>
                </w:tcPr>
                <w:p w14:paraId="7FAB629C">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200</w:t>
                  </w:r>
                </w:p>
              </w:tc>
            </w:tr>
            <w:tr w14:paraId="3CDA6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center"/>
                </w:tcPr>
                <w:p w14:paraId="1CBB1E92">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硫酸钾</w:t>
                  </w:r>
                </w:p>
              </w:tc>
              <w:tc>
                <w:tcPr>
                  <w:tcW w:w="660" w:type="dxa"/>
                  <w:vAlign w:val="center"/>
                </w:tcPr>
                <w:p w14:paraId="39C7B618">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吨</w:t>
                  </w:r>
                </w:p>
              </w:tc>
              <w:tc>
                <w:tcPr>
                  <w:tcW w:w="990" w:type="dxa"/>
                  <w:vAlign w:val="center"/>
                </w:tcPr>
                <w:p w14:paraId="0DA5F69D">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2800</w:t>
                  </w:r>
                </w:p>
              </w:tc>
              <w:tc>
                <w:tcPr>
                  <w:tcW w:w="4320" w:type="dxa"/>
                  <w:vAlign w:val="center"/>
                </w:tcPr>
                <w:p w14:paraId="0A2F6D45">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外购，50kg袋装储存，原料状态为结晶粉末状</w:t>
                  </w:r>
                </w:p>
              </w:tc>
              <w:tc>
                <w:tcPr>
                  <w:tcW w:w="750" w:type="dxa"/>
                  <w:vAlign w:val="center"/>
                </w:tcPr>
                <w:p w14:paraId="170753EE">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300</w:t>
                  </w:r>
                </w:p>
              </w:tc>
            </w:tr>
            <w:tr w14:paraId="780F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center"/>
                </w:tcPr>
                <w:p w14:paraId="5A80EA22">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防结块剂</w:t>
                  </w:r>
                </w:p>
              </w:tc>
              <w:tc>
                <w:tcPr>
                  <w:tcW w:w="660" w:type="dxa"/>
                  <w:vAlign w:val="center"/>
                </w:tcPr>
                <w:p w14:paraId="7A58E03C">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吨</w:t>
                  </w:r>
                </w:p>
              </w:tc>
              <w:tc>
                <w:tcPr>
                  <w:tcW w:w="990" w:type="dxa"/>
                  <w:vAlign w:val="center"/>
                </w:tcPr>
                <w:p w14:paraId="2D257B7F">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20</w:t>
                  </w:r>
                </w:p>
              </w:tc>
              <w:tc>
                <w:tcPr>
                  <w:tcW w:w="4320" w:type="dxa"/>
                  <w:vAlign w:val="center"/>
                </w:tcPr>
                <w:p w14:paraId="5803F1F1">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外购，50kg袋装储存，原料状态为粉末状</w:t>
                  </w:r>
                </w:p>
              </w:tc>
              <w:tc>
                <w:tcPr>
                  <w:tcW w:w="750" w:type="dxa"/>
                  <w:vAlign w:val="center"/>
                </w:tcPr>
                <w:p w14:paraId="1E6AA075">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10</w:t>
                  </w:r>
                </w:p>
              </w:tc>
            </w:tr>
            <w:tr w14:paraId="78D25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center"/>
                </w:tcPr>
                <w:p w14:paraId="70B0DCE0">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编织袋</w:t>
                  </w:r>
                </w:p>
              </w:tc>
              <w:tc>
                <w:tcPr>
                  <w:tcW w:w="660" w:type="dxa"/>
                  <w:vAlign w:val="center"/>
                </w:tcPr>
                <w:p w14:paraId="6E434C58">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万个</w:t>
                  </w:r>
                </w:p>
              </w:tc>
              <w:tc>
                <w:tcPr>
                  <w:tcW w:w="990" w:type="dxa"/>
                  <w:vAlign w:val="center"/>
                </w:tcPr>
                <w:p w14:paraId="04F0557B">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40</w:t>
                  </w:r>
                </w:p>
              </w:tc>
              <w:tc>
                <w:tcPr>
                  <w:tcW w:w="4320" w:type="dxa"/>
                  <w:vAlign w:val="center"/>
                </w:tcPr>
                <w:p w14:paraId="4DDE7283">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外购</w:t>
                  </w:r>
                </w:p>
              </w:tc>
              <w:tc>
                <w:tcPr>
                  <w:tcW w:w="750" w:type="dxa"/>
                  <w:vAlign w:val="center"/>
                </w:tcPr>
                <w:p w14:paraId="65F4118C">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4</w:t>
                  </w:r>
                </w:p>
              </w:tc>
            </w:tr>
          </w:tbl>
          <w:p w14:paraId="45550F67">
            <w:pPr>
              <w:pStyle w:val="23"/>
              <w:bidi w:val="0"/>
              <w:ind w:firstLine="0"/>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表2-</w:t>
            </w:r>
            <w:r>
              <w:rPr>
                <w:rFonts w:hint="eastAsia" w:cs="Times New Roman"/>
                <w:color w:val="auto"/>
                <w:lang w:val="en-US" w:eastAsia="zh-CN"/>
              </w:rPr>
              <w:t>5</w:t>
            </w:r>
            <w:r>
              <w:rPr>
                <w:rFonts w:hint="eastAsia" w:ascii="Times New Roman" w:hAnsi="Times New Roman" w:eastAsia="宋体" w:cs="Times New Roman"/>
                <w:color w:val="auto"/>
                <w:lang w:val="en-US" w:eastAsia="zh-CN"/>
              </w:rPr>
              <w:t xml:space="preserve">  </w:t>
            </w:r>
            <w:r>
              <w:rPr>
                <w:rFonts w:hint="eastAsia" w:cs="Times New Roman"/>
                <w:color w:val="auto"/>
                <w:lang w:val="en-US" w:eastAsia="zh-CN"/>
              </w:rPr>
              <w:t>掺混肥</w:t>
            </w:r>
            <w:r>
              <w:rPr>
                <w:rFonts w:hint="eastAsia" w:ascii="Times New Roman" w:hAnsi="Times New Roman" w:eastAsia="宋体" w:cs="Times New Roman"/>
                <w:color w:val="auto"/>
                <w:lang w:val="en-US" w:eastAsia="zh-CN"/>
              </w:rPr>
              <w:t>原</w:t>
            </w:r>
            <w:r>
              <w:rPr>
                <w:rFonts w:hint="eastAsia" w:cs="Times New Roman"/>
                <w:color w:val="auto"/>
                <w:lang w:val="en-US" w:eastAsia="zh-CN"/>
              </w:rPr>
              <w:t>辅</w:t>
            </w:r>
            <w:r>
              <w:rPr>
                <w:rFonts w:hint="eastAsia" w:ascii="Times New Roman" w:hAnsi="Times New Roman" w:eastAsia="宋体" w:cs="Times New Roman"/>
                <w:color w:val="auto"/>
                <w:lang w:val="en-US" w:eastAsia="zh-CN"/>
              </w:rPr>
              <w:t>材料一览表</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660"/>
              <w:gridCol w:w="990"/>
              <w:gridCol w:w="4320"/>
              <w:gridCol w:w="750"/>
            </w:tblGrid>
            <w:tr w14:paraId="369FF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center"/>
                </w:tcPr>
                <w:p w14:paraId="791938FE">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原料名称</w:t>
                  </w:r>
                </w:p>
              </w:tc>
              <w:tc>
                <w:tcPr>
                  <w:tcW w:w="660" w:type="dxa"/>
                  <w:vAlign w:val="center"/>
                </w:tcPr>
                <w:p w14:paraId="48817CD9">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单位</w:t>
                  </w:r>
                </w:p>
              </w:tc>
              <w:tc>
                <w:tcPr>
                  <w:tcW w:w="990" w:type="dxa"/>
                  <w:vAlign w:val="center"/>
                </w:tcPr>
                <w:p w14:paraId="7E57188E">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年消耗量</w:t>
                  </w:r>
                </w:p>
              </w:tc>
              <w:tc>
                <w:tcPr>
                  <w:tcW w:w="4320" w:type="dxa"/>
                  <w:vAlign w:val="center"/>
                </w:tcPr>
                <w:p w14:paraId="13693A0D">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备注</w:t>
                  </w:r>
                </w:p>
              </w:tc>
              <w:tc>
                <w:tcPr>
                  <w:tcW w:w="750" w:type="dxa"/>
                  <w:vAlign w:val="center"/>
                </w:tcPr>
                <w:p w14:paraId="4F92A7B6">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最大储量</w:t>
                  </w:r>
                </w:p>
              </w:tc>
            </w:tr>
            <w:tr w14:paraId="202EB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top"/>
                </w:tcPr>
                <w:p w14:paraId="4F902EAA">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尿素</w:t>
                  </w:r>
                </w:p>
              </w:tc>
              <w:tc>
                <w:tcPr>
                  <w:tcW w:w="660" w:type="dxa"/>
                  <w:vAlign w:val="top"/>
                </w:tcPr>
                <w:p w14:paraId="4A2965AD">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吨</w:t>
                  </w:r>
                </w:p>
              </w:tc>
              <w:tc>
                <w:tcPr>
                  <w:tcW w:w="990" w:type="dxa"/>
                  <w:vAlign w:val="top"/>
                </w:tcPr>
                <w:p w14:paraId="1E14D426">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5000</w:t>
                  </w:r>
                </w:p>
              </w:tc>
              <w:tc>
                <w:tcPr>
                  <w:tcW w:w="4320" w:type="dxa"/>
                  <w:vAlign w:val="top"/>
                </w:tcPr>
                <w:p w14:paraId="6BE05FC8">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外购，50kg袋装储存，原料状态为大颗粒状</w:t>
                  </w:r>
                </w:p>
              </w:tc>
              <w:tc>
                <w:tcPr>
                  <w:tcW w:w="750" w:type="dxa"/>
                  <w:vAlign w:val="top"/>
                </w:tcPr>
                <w:p w14:paraId="28CDB6CD">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300</w:t>
                  </w:r>
                </w:p>
              </w:tc>
            </w:tr>
            <w:tr w14:paraId="594D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128" w:type="dxa"/>
                  <w:vAlign w:val="top"/>
                </w:tcPr>
                <w:p w14:paraId="4AFFCCF8">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氯化铵</w:t>
                  </w:r>
                </w:p>
              </w:tc>
              <w:tc>
                <w:tcPr>
                  <w:tcW w:w="660" w:type="dxa"/>
                  <w:vAlign w:val="top"/>
                </w:tcPr>
                <w:p w14:paraId="097576D4">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吨</w:t>
                  </w:r>
                </w:p>
              </w:tc>
              <w:tc>
                <w:tcPr>
                  <w:tcW w:w="990" w:type="dxa"/>
                  <w:vAlign w:val="top"/>
                </w:tcPr>
                <w:p w14:paraId="3294D30B">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10000</w:t>
                  </w:r>
                </w:p>
              </w:tc>
              <w:tc>
                <w:tcPr>
                  <w:tcW w:w="4320" w:type="dxa"/>
                  <w:vAlign w:val="top"/>
                </w:tcPr>
                <w:p w14:paraId="0D5A38C9">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外购，50kg袋装储存，原料状态为大颗粒状</w:t>
                  </w:r>
                </w:p>
              </w:tc>
              <w:tc>
                <w:tcPr>
                  <w:tcW w:w="750" w:type="dxa"/>
                  <w:vAlign w:val="top"/>
                </w:tcPr>
                <w:p w14:paraId="03044444">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400</w:t>
                  </w:r>
                </w:p>
              </w:tc>
            </w:tr>
            <w:tr w14:paraId="65DF6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top"/>
                </w:tcPr>
                <w:p w14:paraId="00E939FA">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氯化钾</w:t>
                  </w:r>
                </w:p>
              </w:tc>
              <w:tc>
                <w:tcPr>
                  <w:tcW w:w="660" w:type="dxa"/>
                  <w:vAlign w:val="top"/>
                </w:tcPr>
                <w:p w14:paraId="4960AF2A">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吨</w:t>
                  </w:r>
                </w:p>
              </w:tc>
              <w:tc>
                <w:tcPr>
                  <w:tcW w:w="990" w:type="dxa"/>
                  <w:vAlign w:val="top"/>
                </w:tcPr>
                <w:p w14:paraId="6A15404C">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8000</w:t>
                  </w:r>
                </w:p>
              </w:tc>
              <w:tc>
                <w:tcPr>
                  <w:tcW w:w="4320" w:type="dxa"/>
                  <w:vAlign w:val="top"/>
                </w:tcPr>
                <w:p w14:paraId="66A9CC7D">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外购，50kg袋装储存，原料状态为大颗粒状</w:t>
                  </w:r>
                </w:p>
              </w:tc>
              <w:tc>
                <w:tcPr>
                  <w:tcW w:w="750" w:type="dxa"/>
                  <w:vAlign w:val="top"/>
                </w:tcPr>
                <w:p w14:paraId="39A8B45F">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300</w:t>
                  </w:r>
                </w:p>
              </w:tc>
            </w:tr>
            <w:tr w14:paraId="3300A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top"/>
                </w:tcPr>
                <w:p w14:paraId="2C51B747">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磷酸氢钙</w:t>
                  </w:r>
                </w:p>
              </w:tc>
              <w:tc>
                <w:tcPr>
                  <w:tcW w:w="660" w:type="dxa"/>
                  <w:vAlign w:val="top"/>
                </w:tcPr>
                <w:p w14:paraId="1729FF23">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吨</w:t>
                  </w:r>
                </w:p>
              </w:tc>
              <w:tc>
                <w:tcPr>
                  <w:tcW w:w="990" w:type="dxa"/>
                  <w:vAlign w:val="top"/>
                </w:tcPr>
                <w:p w14:paraId="7AAA3BD0">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7000</w:t>
                  </w:r>
                </w:p>
              </w:tc>
              <w:tc>
                <w:tcPr>
                  <w:tcW w:w="4320" w:type="dxa"/>
                  <w:vAlign w:val="top"/>
                </w:tcPr>
                <w:p w14:paraId="74EE49BB">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外购，50kg袋装储存，原料状态为大颗粒状</w:t>
                  </w:r>
                </w:p>
              </w:tc>
              <w:tc>
                <w:tcPr>
                  <w:tcW w:w="750" w:type="dxa"/>
                  <w:vAlign w:val="top"/>
                </w:tcPr>
                <w:p w14:paraId="4B553C63">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200</w:t>
                  </w:r>
                </w:p>
              </w:tc>
            </w:tr>
            <w:tr w14:paraId="52BA2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top"/>
                </w:tcPr>
                <w:p w14:paraId="43B52DC1">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编织袋</w:t>
                  </w:r>
                </w:p>
              </w:tc>
              <w:tc>
                <w:tcPr>
                  <w:tcW w:w="660" w:type="dxa"/>
                  <w:vAlign w:val="top"/>
                </w:tcPr>
                <w:p w14:paraId="51984D84">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万个</w:t>
                  </w:r>
                </w:p>
              </w:tc>
              <w:tc>
                <w:tcPr>
                  <w:tcW w:w="990" w:type="dxa"/>
                  <w:vAlign w:val="top"/>
                </w:tcPr>
                <w:p w14:paraId="2EE372F8">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60</w:t>
                  </w:r>
                </w:p>
              </w:tc>
              <w:tc>
                <w:tcPr>
                  <w:tcW w:w="4320" w:type="dxa"/>
                  <w:vAlign w:val="top"/>
                </w:tcPr>
                <w:p w14:paraId="140B0111">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外购</w:t>
                  </w:r>
                </w:p>
              </w:tc>
              <w:tc>
                <w:tcPr>
                  <w:tcW w:w="750" w:type="dxa"/>
                  <w:vAlign w:val="top"/>
                </w:tcPr>
                <w:p w14:paraId="0CF485C5">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2</w:t>
                  </w:r>
                </w:p>
              </w:tc>
            </w:tr>
          </w:tbl>
          <w:p w14:paraId="71C71F29">
            <w:pPr>
              <w:pStyle w:val="21"/>
              <w:bidi w:val="0"/>
              <w:ind w:left="0" w:leftChars="0" w:firstLine="482" w:firstLineChars="200"/>
              <w:rPr>
                <w:rFonts w:hint="eastAsia"/>
                <w:color w:val="4874CB" w:themeColor="accent1"/>
                <w:lang w:val="en-US" w:eastAsia="zh-CN"/>
                <w14:textFill>
                  <w14:solidFill>
                    <w14:schemeClr w14:val="accent1"/>
                  </w14:solidFill>
                </w14:textFill>
              </w:rPr>
            </w:pPr>
          </w:p>
          <w:p w14:paraId="13859762">
            <w:pPr>
              <w:pStyle w:val="26"/>
              <w:spacing w:line="360" w:lineRule="auto"/>
              <w:ind w:firstLine="240" w:firstLineChars="100"/>
              <w:rPr>
                <w:color w:val="auto"/>
                <w:sz w:val="24"/>
                <w:szCs w:val="24"/>
                <w:u w:val="none"/>
              </w:rPr>
            </w:pPr>
            <w:r>
              <w:rPr>
                <w:color w:val="auto"/>
                <w:sz w:val="24"/>
                <w:szCs w:val="24"/>
                <w:u w:val="none"/>
              </w:rPr>
              <w:t>原辅材料性质：</w:t>
            </w:r>
          </w:p>
          <w:p w14:paraId="08E3BD86">
            <w:pPr>
              <w:adjustRightInd w:val="0"/>
              <w:snapToGrid w:val="0"/>
              <w:spacing w:line="360" w:lineRule="auto"/>
              <w:ind w:firstLine="480" w:firstLineChars="200"/>
              <w:rPr>
                <w:rFonts w:ascii="宋体" w:hAnsi="宋体"/>
                <w:sz w:val="24"/>
                <w:szCs w:val="24"/>
                <w:u w:val="none"/>
              </w:rPr>
            </w:pPr>
            <w:r>
              <w:rPr>
                <w:rFonts w:hint="eastAsia" w:ascii="宋体" w:hAnsi="宋体"/>
                <w:sz w:val="24"/>
                <w:szCs w:val="24"/>
                <w:u w:val="none"/>
              </w:rPr>
              <w:t>（1）有机肥</w:t>
            </w:r>
          </w:p>
          <w:p w14:paraId="15DF430E">
            <w:pPr>
              <w:adjustRightInd w:val="0"/>
              <w:snapToGrid w:val="0"/>
              <w:spacing w:line="360" w:lineRule="auto"/>
              <w:ind w:firstLine="480" w:firstLineChars="200"/>
              <w:rPr>
                <w:rFonts w:hint="eastAsia"/>
                <w:sz w:val="24"/>
                <w:szCs w:val="24"/>
                <w:u w:val="none"/>
              </w:rPr>
            </w:pPr>
            <w:r>
              <w:rPr>
                <w:rFonts w:hint="eastAsia"/>
                <w:sz w:val="24"/>
                <w:szCs w:val="24"/>
                <w:u w:val="none"/>
              </w:rPr>
              <w:t>有机肥料是指由动物的排泄物或动植物残体等富含有机质的副产品资源为主要原料,经发酵腐熟后而成的肥料。本项目有机肥料主要成分为统糠和烟茎。统糠是稻麦等谷类粮食加工后的副产品，分三七统糠和二八统糠，统属糠麸类；烟茎为烟草的茎，用其加工而成的有机肥料不仅有较好的肥力，而且还可以有效</w:t>
            </w:r>
            <w:r>
              <w:rPr>
                <w:rFonts w:hint="eastAsia"/>
                <w:sz w:val="24"/>
                <w:szCs w:val="24"/>
                <w:u w:val="none"/>
                <w:lang w:eastAsia="zh-CN"/>
              </w:rPr>
              <w:t>地</w:t>
            </w:r>
            <w:r>
              <w:rPr>
                <w:rFonts w:hint="eastAsia"/>
                <w:sz w:val="24"/>
                <w:szCs w:val="24"/>
                <w:u w:val="none"/>
              </w:rPr>
              <w:t>防治虫害，无副作用。</w:t>
            </w:r>
          </w:p>
          <w:p w14:paraId="6EEF8DA3">
            <w:pPr>
              <w:adjustRightInd w:val="0"/>
              <w:snapToGrid w:val="0"/>
              <w:spacing w:line="360" w:lineRule="auto"/>
              <w:ind w:firstLine="480" w:firstLineChars="200"/>
              <w:rPr>
                <w:sz w:val="24"/>
                <w:szCs w:val="24"/>
              </w:rPr>
            </w:pPr>
            <w:r>
              <w:rPr>
                <w:sz w:val="24"/>
                <w:szCs w:val="24"/>
              </w:rPr>
              <w:t>（2）尿素</w:t>
            </w:r>
          </w:p>
          <w:p w14:paraId="1DA47A8A">
            <w:pPr>
              <w:adjustRightInd w:val="0"/>
              <w:snapToGrid w:val="0"/>
              <w:spacing w:line="360" w:lineRule="auto"/>
              <w:ind w:firstLine="480" w:firstLineChars="200"/>
              <w:rPr>
                <w:sz w:val="24"/>
                <w:szCs w:val="24"/>
              </w:rPr>
            </w:pPr>
            <w:r>
              <w:rPr>
                <w:sz w:val="24"/>
                <w:szCs w:val="24"/>
              </w:rPr>
              <w:t>尿素理化性质：化学式：CO(NH</w:t>
            </w:r>
            <w:r>
              <w:rPr>
                <w:sz w:val="24"/>
                <w:szCs w:val="24"/>
                <w:vertAlign w:val="subscript"/>
              </w:rPr>
              <w:t>2</w:t>
            </w:r>
            <w:r>
              <w:rPr>
                <w:sz w:val="24"/>
                <w:szCs w:val="24"/>
              </w:rPr>
              <w:t>)</w:t>
            </w:r>
            <w:r>
              <w:rPr>
                <w:sz w:val="24"/>
                <w:szCs w:val="24"/>
                <w:vertAlign w:val="subscript"/>
              </w:rPr>
              <w:t>2</w:t>
            </w:r>
            <w:r>
              <w:rPr>
                <w:sz w:val="24"/>
                <w:szCs w:val="24"/>
              </w:rPr>
              <w:t>，相对分子质量60.06，</w:t>
            </w:r>
            <w:r>
              <w:rPr>
                <w:rFonts w:hint="eastAsia"/>
                <w:sz w:val="24"/>
                <w:szCs w:val="24"/>
              </w:rPr>
              <w:t>呈</w:t>
            </w:r>
            <w:r>
              <w:rPr>
                <w:sz w:val="24"/>
                <w:szCs w:val="24"/>
              </w:rPr>
              <w:t>无色或白色针状或棒状结晶体，工业或农业品为白色略带微红色固体颗粒，有刺鼻性气味。含氮量约为46.67%。密度1.335g/cm</w:t>
            </w:r>
            <w:r>
              <w:rPr>
                <w:sz w:val="24"/>
                <w:szCs w:val="24"/>
                <w:vertAlign w:val="superscript"/>
              </w:rPr>
              <w:t>3</w:t>
            </w:r>
            <w:r>
              <w:rPr>
                <w:sz w:val="24"/>
                <w:szCs w:val="24"/>
              </w:rPr>
              <w:t>。</w:t>
            </w:r>
            <w:r>
              <w:rPr>
                <w:sz w:val="24"/>
                <w:szCs w:val="24"/>
              </w:rPr>
              <w:fldChar w:fldCharType="begin"/>
            </w:r>
            <w:r>
              <w:rPr>
                <w:sz w:val="24"/>
                <w:szCs w:val="24"/>
              </w:rPr>
              <w:instrText xml:space="preserve"> HYPERLINK "http://baike.baidu.com/view/118854.htm" \t "_blank" </w:instrText>
            </w:r>
            <w:r>
              <w:rPr>
                <w:sz w:val="24"/>
                <w:szCs w:val="24"/>
              </w:rPr>
              <w:fldChar w:fldCharType="separate"/>
            </w:r>
            <w:r>
              <w:rPr>
                <w:sz w:val="24"/>
                <w:szCs w:val="24"/>
              </w:rPr>
              <w:t>熔点</w:t>
            </w:r>
            <w:r>
              <w:rPr>
                <w:sz w:val="24"/>
                <w:szCs w:val="24"/>
              </w:rPr>
              <w:fldChar w:fldCharType="end"/>
            </w:r>
            <w:r>
              <w:rPr>
                <w:sz w:val="24"/>
                <w:szCs w:val="24"/>
              </w:rPr>
              <w:t>132.7</w:t>
            </w:r>
            <w:r>
              <w:rPr>
                <w:rFonts w:hint="eastAsia" w:ascii="宋体" w:hAnsi="宋体" w:cs="宋体"/>
                <w:sz w:val="24"/>
                <w:szCs w:val="24"/>
              </w:rPr>
              <w:t>℃</w:t>
            </w:r>
            <w:r>
              <w:rPr>
                <w:sz w:val="24"/>
                <w:szCs w:val="24"/>
              </w:rPr>
              <w:t>。溶于水、醇，难溶于</w:t>
            </w:r>
            <w:r>
              <w:rPr>
                <w:sz w:val="24"/>
                <w:szCs w:val="24"/>
              </w:rPr>
              <w:fldChar w:fldCharType="begin"/>
            </w:r>
            <w:r>
              <w:rPr>
                <w:sz w:val="24"/>
                <w:szCs w:val="24"/>
              </w:rPr>
              <w:instrText xml:space="preserve"> HYPERLINK "http://baike.baidu.com/view/15924.htm" \t "_blank" </w:instrText>
            </w:r>
            <w:r>
              <w:rPr>
                <w:sz w:val="24"/>
                <w:szCs w:val="24"/>
              </w:rPr>
              <w:fldChar w:fldCharType="separate"/>
            </w:r>
            <w:r>
              <w:rPr>
                <w:sz w:val="24"/>
                <w:szCs w:val="24"/>
              </w:rPr>
              <w:t>乙醚</w:t>
            </w:r>
            <w:r>
              <w:rPr>
                <w:sz w:val="24"/>
                <w:szCs w:val="24"/>
              </w:rPr>
              <w:fldChar w:fldCharType="end"/>
            </w:r>
            <w:r>
              <w:rPr>
                <w:sz w:val="24"/>
                <w:szCs w:val="24"/>
              </w:rPr>
              <w:t>、</w:t>
            </w:r>
            <w:r>
              <w:rPr>
                <w:sz w:val="24"/>
                <w:szCs w:val="24"/>
              </w:rPr>
              <w:fldChar w:fldCharType="begin"/>
            </w:r>
            <w:r>
              <w:rPr>
                <w:sz w:val="24"/>
                <w:szCs w:val="24"/>
              </w:rPr>
              <w:instrText xml:space="preserve"> HYPERLINK "http://baike.baidu.com/view/27713.htm" \t "_blank" </w:instrText>
            </w:r>
            <w:r>
              <w:rPr>
                <w:sz w:val="24"/>
                <w:szCs w:val="24"/>
              </w:rPr>
              <w:fldChar w:fldCharType="separate"/>
            </w:r>
            <w:r>
              <w:rPr>
                <w:sz w:val="24"/>
                <w:szCs w:val="24"/>
              </w:rPr>
              <w:t>氯仿</w:t>
            </w:r>
            <w:r>
              <w:rPr>
                <w:sz w:val="24"/>
                <w:szCs w:val="24"/>
              </w:rPr>
              <w:fldChar w:fldCharType="end"/>
            </w:r>
            <w:r>
              <w:rPr>
                <w:sz w:val="24"/>
                <w:szCs w:val="24"/>
              </w:rPr>
              <w:t>。呈弱碱性。加热至160</w:t>
            </w:r>
            <w:r>
              <w:rPr>
                <w:rFonts w:hint="eastAsia" w:ascii="宋体" w:hAnsi="宋体" w:cs="宋体"/>
                <w:sz w:val="24"/>
                <w:szCs w:val="24"/>
              </w:rPr>
              <w:t>℃</w:t>
            </w:r>
            <w:r>
              <w:rPr>
                <w:sz w:val="24"/>
                <w:szCs w:val="24"/>
              </w:rPr>
              <w:t>分解，产生氨气同时变为异氰酸。</w:t>
            </w:r>
          </w:p>
          <w:p w14:paraId="23A11703">
            <w:pPr>
              <w:widowControl/>
              <w:adjustRightInd w:val="0"/>
              <w:snapToGrid w:val="0"/>
              <w:spacing w:line="360" w:lineRule="auto"/>
              <w:ind w:firstLine="480" w:firstLineChars="200"/>
              <w:rPr>
                <w:sz w:val="24"/>
                <w:szCs w:val="24"/>
              </w:rPr>
            </w:pPr>
            <w:r>
              <w:rPr>
                <w:sz w:val="24"/>
                <w:szCs w:val="24"/>
              </w:rPr>
              <w:t>尿素是一种高浓度氮肥，属中性速效肥料，也可用于生产多种</w:t>
            </w:r>
            <w:r>
              <w:rPr>
                <w:sz w:val="24"/>
                <w:szCs w:val="24"/>
              </w:rPr>
              <w:fldChar w:fldCharType="begin"/>
            </w:r>
            <w:r>
              <w:rPr>
                <w:sz w:val="24"/>
                <w:szCs w:val="24"/>
              </w:rPr>
              <w:instrText xml:space="preserve"> HYPERLINK "http://baike.baidu.com/view/602960.htm" \t "_blank" </w:instrText>
            </w:r>
            <w:r>
              <w:rPr>
                <w:sz w:val="24"/>
                <w:szCs w:val="24"/>
              </w:rPr>
              <w:fldChar w:fldCharType="separate"/>
            </w:r>
            <w:r>
              <w:rPr>
                <w:sz w:val="24"/>
                <w:szCs w:val="24"/>
              </w:rPr>
              <w:t>复合肥料</w:t>
            </w:r>
            <w:r>
              <w:rPr>
                <w:sz w:val="24"/>
                <w:szCs w:val="24"/>
              </w:rPr>
              <w:fldChar w:fldCharType="end"/>
            </w:r>
            <w:r>
              <w:rPr>
                <w:sz w:val="24"/>
                <w:szCs w:val="24"/>
              </w:rPr>
              <w:t>。在土壤中不残留任何有害物质，长期施用没有不良影响。畜牧业可用作反刍动物的饲料。 但在造粒中温度过高会产生少量缩二脲，又称双缩脲，对作物有抑制作用。</w:t>
            </w:r>
          </w:p>
          <w:p w14:paraId="1644E2D5">
            <w:pPr>
              <w:pStyle w:val="26"/>
              <w:spacing w:line="360" w:lineRule="auto"/>
              <w:ind w:firstLine="474"/>
              <w:rPr>
                <w:color w:val="auto"/>
                <w:sz w:val="24"/>
                <w:szCs w:val="24"/>
              </w:rPr>
            </w:pPr>
            <w:r>
              <w:rPr>
                <w:rFonts w:hint="eastAsia"/>
                <w:color w:val="auto"/>
                <w:sz w:val="24"/>
                <w:szCs w:val="24"/>
              </w:rPr>
              <w:t>（</w:t>
            </w:r>
            <w:r>
              <w:rPr>
                <w:color w:val="auto"/>
                <w:sz w:val="24"/>
                <w:szCs w:val="24"/>
              </w:rPr>
              <w:t>3</w:t>
            </w:r>
            <w:r>
              <w:rPr>
                <w:rFonts w:hint="eastAsia"/>
                <w:color w:val="auto"/>
                <w:sz w:val="24"/>
                <w:szCs w:val="24"/>
              </w:rPr>
              <w:t>）</w:t>
            </w:r>
            <w:r>
              <w:rPr>
                <w:color w:val="auto"/>
                <w:sz w:val="24"/>
                <w:szCs w:val="24"/>
              </w:rPr>
              <w:t>氯化铵</w:t>
            </w:r>
          </w:p>
          <w:p w14:paraId="41C2CEF0">
            <w:pPr>
              <w:pStyle w:val="26"/>
              <w:spacing w:line="360" w:lineRule="auto"/>
              <w:ind w:firstLine="0" w:firstLineChars="0"/>
              <w:rPr>
                <w:color w:val="auto"/>
                <w:sz w:val="24"/>
                <w:szCs w:val="24"/>
              </w:rPr>
            </w:pPr>
            <w:r>
              <w:rPr>
                <w:color w:val="auto"/>
                <w:sz w:val="24"/>
                <w:szCs w:val="24"/>
              </w:rPr>
              <w:t xml:space="preserve">     氯化铵理化性质：化学式：NH</w:t>
            </w:r>
            <w:r>
              <w:rPr>
                <w:color w:val="auto"/>
                <w:sz w:val="24"/>
                <w:szCs w:val="24"/>
                <w:vertAlign w:val="subscript"/>
              </w:rPr>
              <w:t>4</w:t>
            </w:r>
            <w:r>
              <w:rPr>
                <w:color w:val="auto"/>
                <w:sz w:val="24"/>
                <w:szCs w:val="24"/>
              </w:rPr>
              <w:t>Cl，相对分子质量53.49，呈白色或略带黄色的方形或八面体小结晶，含氮24%</w:t>
            </w:r>
            <w:r>
              <w:rPr>
                <w:rFonts w:eastAsia="微软雅黑"/>
                <w:color w:val="auto"/>
                <w:sz w:val="24"/>
                <w:szCs w:val="24"/>
              </w:rPr>
              <w:t>〜</w:t>
            </w:r>
            <w:r>
              <w:rPr>
                <w:color w:val="auto"/>
                <w:sz w:val="24"/>
                <w:szCs w:val="24"/>
              </w:rPr>
              <w:t>26%，相对密度1.5274g/cm3。能升华（实际上是氯化铵的分解和重新生成的过程）而无熔点。易溶于水，微溶于乙醇，溶于液氨，不溶于丙酮和乙醚。加热至100</w:t>
            </w:r>
            <w:r>
              <w:rPr>
                <w:rFonts w:hint="eastAsia" w:ascii="宋体" w:hAnsi="宋体" w:cs="宋体"/>
                <w:color w:val="auto"/>
                <w:sz w:val="24"/>
                <w:szCs w:val="24"/>
              </w:rPr>
              <w:t>℃</w:t>
            </w:r>
            <w:r>
              <w:rPr>
                <w:color w:val="auto"/>
                <w:sz w:val="24"/>
                <w:szCs w:val="24"/>
              </w:rPr>
              <w:t>时开始分解，337.8</w:t>
            </w:r>
            <w:r>
              <w:rPr>
                <w:rFonts w:hint="eastAsia" w:ascii="宋体" w:hAnsi="宋体" w:cs="宋体"/>
                <w:color w:val="auto"/>
                <w:sz w:val="24"/>
                <w:szCs w:val="24"/>
              </w:rPr>
              <w:t>℃</w:t>
            </w:r>
            <w:r>
              <w:rPr>
                <w:color w:val="auto"/>
                <w:sz w:val="24"/>
                <w:szCs w:val="24"/>
              </w:rPr>
              <w:t>时可以完全分解为氨气和氯化氢气体，遇冷后又重新化合生成颗粒极小的氯化铵而呈现为白色浓烟，不易下沉，也极不易再溶解于水。</w:t>
            </w:r>
          </w:p>
          <w:p w14:paraId="19039550">
            <w:pPr>
              <w:pStyle w:val="26"/>
              <w:spacing w:line="360" w:lineRule="auto"/>
              <w:ind w:firstLine="474" w:firstLineChars="0"/>
              <w:rPr>
                <w:color w:val="auto"/>
                <w:sz w:val="24"/>
                <w:szCs w:val="24"/>
              </w:rPr>
            </w:pPr>
            <w:r>
              <w:rPr>
                <w:color w:val="auto"/>
                <w:sz w:val="24"/>
                <w:szCs w:val="24"/>
              </w:rPr>
              <w:t>氯化铵较多用作生产复肥的基础肥料。属生理酸性肥料，因含氯较多而不宜在酸性土和盐碱土上施用，不宜用作种肥、秧田肥或叶面肥，也不宜在忌氯作物（如烟草、马铃薯、柑橘、茶树等）上施用。氯化铵用于稻田肥效较高而且稳定，因为cl-既可抑制稻田硝化作用，又有利于水稻茎秆纤维形成，增加韧性，减少水稻倒伏和病虫侵袭。</w:t>
            </w:r>
          </w:p>
          <w:p w14:paraId="61E579E8">
            <w:pPr>
              <w:pStyle w:val="26"/>
              <w:spacing w:line="360" w:lineRule="auto"/>
              <w:ind w:firstLine="474"/>
              <w:rPr>
                <w:color w:val="auto"/>
                <w:sz w:val="24"/>
                <w:szCs w:val="24"/>
              </w:rPr>
            </w:pPr>
            <w:r>
              <w:rPr>
                <w:rFonts w:hint="eastAsia"/>
                <w:color w:val="auto"/>
                <w:sz w:val="24"/>
                <w:szCs w:val="24"/>
              </w:rPr>
              <w:t>（4）</w:t>
            </w:r>
            <w:r>
              <w:rPr>
                <w:color w:val="auto"/>
                <w:sz w:val="24"/>
                <w:szCs w:val="24"/>
              </w:rPr>
              <w:t>磷酸一铵</w:t>
            </w:r>
          </w:p>
          <w:p w14:paraId="4BF696FC">
            <w:pPr>
              <w:widowControl/>
              <w:adjustRightInd w:val="0"/>
              <w:snapToGrid w:val="0"/>
              <w:spacing w:line="360" w:lineRule="auto"/>
              <w:ind w:firstLine="480" w:firstLineChars="200"/>
              <w:rPr>
                <w:sz w:val="24"/>
                <w:szCs w:val="24"/>
              </w:rPr>
            </w:pPr>
            <w:r>
              <w:rPr>
                <w:sz w:val="24"/>
                <w:szCs w:val="24"/>
              </w:rPr>
              <w:t>磷酸一铵理化性质：磷酸一铵呈白色粉状或颗粒状物（粒状产品具有较高的颗粒抗压强度），密度1.803（19</w:t>
            </w:r>
            <w:r>
              <w:rPr>
                <w:rFonts w:hint="eastAsia" w:ascii="宋体" w:hAnsi="宋体" w:cs="宋体"/>
                <w:sz w:val="24"/>
                <w:szCs w:val="24"/>
              </w:rPr>
              <w:t>℃</w:t>
            </w:r>
            <w:r>
              <w:rPr>
                <w:sz w:val="24"/>
                <w:szCs w:val="24"/>
              </w:rPr>
              <w:t>）。熔点为190</w:t>
            </w:r>
            <w:r>
              <w:rPr>
                <w:rFonts w:hint="eastAsia" w:ascii="宋体" w:hAnsi="宋体" w:cs="宋体"/>
                <w:sz w:val="24"/>
                <w:szCs w:val="24"/>
              </w:rPr>
              <w:t>℃</w:t>
            </w:r>
            <w:r>
              <w:rPr>
                <w:sz w:val="24"/>
                <w:szCs w:val="24"/>
              </w:rPr>
              <w:t>，易溶于水，微溶于醇、不溶于丙酮，25</w:t>
            </w:r>
            <w:r>
              <w:rPr>
                <w:rFonts w:hint="eastAsia" w:ascii="宋体" w:hAnsi="宋体" w:cs="宋体"/>
                <w:sz w:val="24"/>
                <w:szCs w:val="24"/>
              </w:rPr>
              <w:t>℃</w:t>
            </w:r>
            <w:r>
              <w:rPr>
                <w:sz w:val="24"/>
                <w:szCs w:val="24"/>
              </w:rPr>
              <w:t>下100g水中的溶解度为41.6g，生成热121.42kJ/mol，1%水溶液pH值为4.5，呈酸性，常温下稳定，无氧化还原性，温度高于熔点时分解失去氨和水，形成偏磷酸铵和磷酸和混合物。在100</w:t>
            </w:r>
            <w:r>
              <w:rPr>
                <w:rFonts w:hint="eastAsia" w:ascii="宋体" w:hAnsi="宋体" w:cs="宋体"/>
                <w:sz w:val="24"/>
                <w:szCs w:val="24"/>
              </w:rPr>
              <w:t>℃</w:t>
            </w:r>
            <w:r>
              <w:rPr>
                <w:sz w:val="24"/>
                <w:szCs w:val="24"/>
              </w:rPr>
              <w:t>时有小部分分解。</w:t>
            </w:r>
          </w:p>
          <w:p w14:paraId="3B5AAFF6">
            <w:pPr>
              <w:widowControl/>
              <w:adjustRightInd w:val="0"/>
              <w:snapToGrid w:val="0"/>
              <w:spacing w:line="360" w:lineRule="auto"/>
              <w:ind w:firstLine="480" w:firstLineChars="200"/>
              <w:rPr>
                <w:sz w:val="24"/>
                <w:szCs w:val="24"/>
              </w:rPr>
            </w:pPr>
            <w:r>
              <w:rPr>
                <w:sz w:val="24"/>
                <w:szCs w:val="24"/>
              </w:rPr>
              <w:t>遇高温、酸碱、氧化还原性物质不会燃烧、爆炸，在水中、酸中具有较好的溶解性，粉状产品有一定的吸湿性，同时具有良好的热稳定性，并且在高温下会脱水成黏稠的焦磷酸铵、聚磷酸铵、偏磷酸铵等链状化合物。洒落物及其处置方法：简单清扫即可。 运输贮存保护措施：为防止产品受潮结块、变质，应存放于室内或在产品上铺</w:t>
            </w:r>
            <w:r>
              <w:rPr>
                <w:rFonts w:hint="eastAsia"/>
                <w:sz w:val="24"/>
                <w:szCs w:val="24"/>
                <w:lang w:eastAsia="zh-CN"/>
              </w:rPr>
              <w:t>篷布</w:t>
            </w:r>
            <w:r>
              <w:rPr>
                <w:sz w:val="24"/>
                <w:szCs w:val="24"/>
              </w:rPr>
              <w:t>等防护物，同时避免产品暴晒于阳光下。</w:t>
            </w:r>
          </w:p>
          <w:p w14:paraId="16F74E61">
            <w:pPr>
              <w:pStyle w:val="26"/>
              <w:spacing w:line="360" w:lineRule="auto"/>
              <w:ind w:firstLine="474"/>
              <w:rPr>
                <w:color w:val="auto"/>
                <w:sz w:val="24"/>
                <w:szCs w:val="24"/>
              </w:rPr>
            </w:pPr>
            <w:r>
              <w:rPr>
                <w:rFonts w:hint="eastAsia"/>
                <w:color w:val="auto"/>
                <w:sz w:val="24"/>
                <w:szCs w:val="24"/>
              </w:rPr>
              <w:t>（5）</w:t>
            </w:r>
            <w:r>
              <w:rPr>
                <w:color w:val="auto"/>
                <w:sz w:val="24"/>
                <w:szCs w:val="24"/>
              </w:rPr>
              <w:t>磷酸氢钙</w:t>
            </w:r>
          </w:p>
          <w:p w14:paraId="02C53FB6">
            <w:pPr>
              <w:pStyle w:val="26"/>
              <w:spacing w:line="360" w:lineRule="auto"/>
              <w:ind w:firstLine="474"/>
              <w:rPr>
                <w:color w:val="auto"/>
                <w:sz w:val="24"/>
                <w:szCs w:val="24"/>
              </w:rPr>
            </w:pPr>
            <w:r>
              <w:rPr>
                <w:color w:val="auto"/>
                <w:sz w:val="24"/>
                <w:szCs w:val="24"/>
              </w:rPr>
              <w:t>磷酸氢钙理化性质：化学式 CaHPO</w:t>
            </w:r>
            <w:r>
              <w:rPr>
                <w:color w:val="auto"/>
                <w:sz w:val="24"/>
                <w:szCs w:val="24"/>
                <w:vertAlign w:val="subscript"/>
              </w:rPr>
              <w:t>4</w:t>
            </w:r>
            <w:r>
              <w:rPr>
                <w:color w:val="auto"/>
                <w:sz w:val="24"/>
                <w:szCs w:val="24"/>
              </w:rPr>
              <w:t>，相对分子质量：172.09，呈白色单斜晶系结晶性粉末，无臭无味。在空气中稳定，加热至75</w:t>
            </w:r>
            <w:r>
              <w:rPr>
                <w:rFonts w:hint="eastAsia" w:ascii="宋体" w:hAnsi="宋体" w:cs="宋体"/>
                <w:color w:val="auto"/>
                <w:sz w:val="24"/>
                <w:szCs w:val="24"/>
              </w:rPr>
              <w:t>℃</w:t>
            </w:r>
            <w:r>
              <w:rPr>
                <w:color w:val="auto"/>
                <w:sz w:val="24"/>
                <w:szCs w:val="24"/>
              </w:rPr>
              <w:t>开始失去结晶水成为无水物，高温则变为焦磷酸盐。易溶于稀盐酸、稀硝酸、醋酸，微溶于水（100</w:t>
            </w:r>
            <w:r>
              <w:rPr>
                <w:rFonts w:hint="eastAsia" w:ascii="宋体" w:hAnsi="宋体" w:cs="宋体"/>
                <w:color w:val="auto"/>
                <w:sz w:val="24"/>
                <w:szCs w:val="24"/>
              </w:rPr>
              <w:t>℃</w:t>
            </w:r>
            <w:r>
              <w:rPr>
                <w:color w:val="auto"/>
                <w:sz w:val="24"/>
                <w:szCs w:val="24"/>
              </w:rPr>
              <w:t>，0.025%），不溶于乙醇。</w:t>
            </w:r>
          </w:p>
          <w:p w14:paraId="24BAEEE7">
            <w:pPr>
              <w:pStyle w:val="26"/>
              <w:spacing w:line="360" w:lineRule="auto"/>
              <w:ind w:firstLine="474"/>
              <w:rPr>
                <w:color w:val="auto"/>
                <w:sz w:val="24"/>
                <w:szCs w:val="24"/>
              </w:rPr>
            </w:pPr>
            <w:r>
              <w:rPr>
                <w:color w:val="auto"/>
                <w:sz w:val="24"/>
                <w:szCs w:val="24"/>
              </w:rPr>
              <w:t>主要用于复合肥、复混肥、有机肥的生产中添加，也可以直接在农田中使它包水溶解磷和枸溶性磷二特性和一定的中微量元素，有速性和缓释双重特征。在生产复合肥、复混肥、有机肥和生物肥时是过磷酸钙和钙镁磷肥的替代品。施入土壤后，水溶性磷形成速效养分，满足作物前期生长需要，枸溶性磷缓慢释放，为作物的中后期生长提供养分。</w:t>
            </w:r>
          </w:p>
          <w:p w14:paraId="590B1090">
            <w:pPr>
              <w:pStyle w:val="26"/>
              <w:spacing w:line="360" w:lineRule="auto"/>
              <w:ind w:firstLine="474"/>
              <w:rPr>
                <w:color w:val="auto"/>
                <w:sz w:val="24"/>
                <w:szCs w:val="24"/>
              </w:rPr>
            </w:pPr>
            <w:r>
              <w:rPr>
                <w:rFonts w:hint="eastAsia"/>
                <w:color w:val="auto"/>
                <w:sz w:val="24"/>
                <w:szCs w:val="24"/>
              </w:rPr>
              <w:t>（6）</w:t>
            </w:r>
            <w:r>
              <w:rPr>
                <w:color w:val="auto"/>
                <w:sz w:val="24"/>
                <w:szCs w:val="24"/>
              </w:rPr>
              <w:t>氯化钾</w:t>
            </w:r>
          </w:p>
          <w:p w14:paraId="62F57A0B">
            <w:pPr>
              <w:pStyle w:val="26"/>
              <w:spacing w:line="360" w:lineRule="auto"/>
              <w:ind w:firstLine="474"/>
              <w:rPr>
                <w:color w:val="auto"/>
                <w:sz w:val="24"/>
                <w:szCs w:val="24"/>
              </w:rPr>
            </w:pPr>
            <w:r>
              <w:rPr>
                <w:color w:val="auto"/>
                <w:sz w:val="24"/>
                <w:szCs w:val="24"/>
              </w:rPr>
              <w:t>氯化钾理化性质:化学式KCl，相对分子质量：74.55，一种无色细长菱形或成一立方晶体，或白色结晶小颗粒粉末，外观如同食盐，无臭、味咸。相对密度1.98g/m3，熔点为770</w:t>
            </w:r>
            <w:r>
              <w:rPr>
                <w:rFonts w:hint="eastAsia" w:ascii="宋体" w:hAnsi="宋体" w:cs="宋体"/>
                <w:color w:val="auto"/>
                <w:sz w:val="24"/>
                <w:szCs w:val="24"/>
              </w:rPr>
              <w:t>℃</w:t>
            </w:r>
            <w:r>
              <w:rPr>
                <w:color w:val="auto"/>
                <w:sz w:val="24"/>
                <w:szCs w:val="24"/>
              </w:rPr>
              <w:t>，易溶于水、醚、甘油及碱类，微溶于乙醇，但不溶于无水乙醇，有吸湿性，易结块；在水中的溶解度随温度的升高而迅速地增加。</w:t>
            </w:r>
          </w:p>
          <w:p w14:paraId="137BA4C9">
            <w:pPr>
              <w:widowControl/>
              <w:spacing w:line="360" w:lineRule="auto"/>
              <w:ind w:firstLine="480" w:firstLineChars="200"/>
              <w:jc w:val="left"/>
              <w:rPr>
                <w:sz w:val="24"/>
                <w:szCs w:val="24"/>
              </w:rPr>
            </w:pPr>
            <w:r>
              <w:rPr>
                <w:sz w:val="24"/>
                <w:szCs w:val="24"/>
              </w:rPr>
              <w:t>农业上则是一种钾肥。其肥效快，直接施用于农田，能使土壤下层水分上升，有抗旱的作用。但在盐碱地及对烟草、 甘薯、甜菜等作物不宜施用。</w:t>
            </w:r>
          </w:p>
          <w:p w14:paraId="329BB1AD">
            <w:pPr>
              <w:pStyle w:val="26"/>
              <w:spacing w:line="360" w:lineRule="auto"/>
              <w:ind w:firstLine="474"/>
              <w:rPr>
                <w:color w:val="auto"/>
                <w:sz w:val="24"/>
                <w:szCs w:val="24"/>
              </w:rPr>
            </w:pPr>
            <w:r>
              <w:rPr>
                <w:rFonts w:hint="eastAsia"/>
                <w:color w:val="auto"/>
                <w:sz w:val="24"/>
                <w:szCs w:val="24"/>
              </w:rPr>
              <w:t>（7）</w:t>
            </w:r>
            <w:r>
              <w:rPr>
                <w:color w:val="auto"/>
                <w:sz w:val="24"/>
                <w:szCs w:val="24"/>
              </w:rPr>
              <w:t>硫酸钾</w:t>
            </w:r>
          </w:p>
          <w:p w14:paraId="3C896CA1">
            <w:pPr>
              <w:pStyle w:val="26"/>
              <w:spacing w:line="360" w:lineRule="auto"/>
              <w:ind w:firstLine="474"/>
              <w:rPr>
                <w:color w:val="auto"/>
                <w:sz w:val="24"/>
                <w:szCs w:val="24"/>
              </w:rPr>
            </w:pPr>
            <w:r>
              <w:rPr>
                <w:color w:val="auto"/>
                <w:sz w:val="24"/>
                <w:szCs w:val="24"/>
              </w:rPr>
              <w:t>硫酸钾理化性质：化学式K</w:t>
            </w:r>
            <w:r>
              <w:rPr>
                <w:color w:val="auto"/>
                <w:sz w:val="24"/>
                <w:szCs w:val="24"/>
                <w:vertAlign w:val="subscript"/>
              </w:rPr>
              <w:t>2</w:t>
            </w:r>
            <w:r>
              <w:rPr>
                <w:color w:val="auto"/>
                <w:sz w:val="24"/>
                <w:szCs w:val="24"/>
              </w:rPr>
              <w:t>SO</w:t>
            </w:r>
            <w:r>
              <w:rPr>
                <w:color w:val="auto"/>
                <w:sz w:val="24"/>
                <w:szCs w:val="24"/>
                <w:vertAlign w:val="subscript"/>
              </w:rPr>
              <w:t>4</w:t>
            </w:r>
            <w:r>
              <w:rPr>
                <w:color w:val="auto"/>
                <w:sz w:val="24"/>
                <w:szCs w:val="24"/>
              </w:rPr>
              <w:t>，相对分子质量为174.24。硫酸钾纯品是无色结晶体，农用硫酸钾外观多呈淡黄色。一般K含量为50%</w:t>
            </w:r>
            <w:r>
              <w:rPr>
                <w:rFonts w:eastAsia="微软雅黑"/>
                <w:color w:val="auto"/>
                <w:sz w:val="24"/>
                <w:szCs w:val="24"/>
              </w:rPr>
              <w:t>〜</w:t>
            </w:r>
            <w:r>
              <w:rPr>
                <w:color w:val="auto"/>
                <w:sz w:val="24"/>
                <w:szCs w:val="24"/>
              </w:rPr>
              <w:t>52%。相对密度2.66g/cm</w:t>
            </w:r>
            <w:r>
              <w:rPr>
                <w:color w:val="auto"/>
                <w:sz w:val="24"/>
                <w:szCs w:val="24"/>
                <w:vertAlign w:val="superscript"/>
              </w:rPr>
              <w:t>3</w:t>
            </w:r>
            <w:r>
              <w:rPr>
                <w:color w:val="auto"/>
                <w:sz w:val="24"/>
                <w:szCs w:val="24"/>
              </w:rPr>
              <w:t>,熔点1067</w:t>
            </w:r>
            <w:r>
              <w:rPr>
                <w:rFonts w:hint="eastAsia" w:ascii="宋体" w:hAnsi="宋体" w:cs="宋体"/>
                <w:color w:val="auto"/>
                <w:sz w:val="24"/>
                <w:szCs w:val="24"/>
              </w:rPr>
              <w:t>℃</w:t>
            </w:r>
            <w:r>
              <w:rPr>
                <w:color w:val="auto"/>
                <w:sz w:val="24"/>
                <w:szCs w:val="24"/>
              </w:rPr>
              <w:t>。硫酸钾的吸湿性小，不易结块。溶于水（25</w:t>
            </w:r>
            <w:r>
              <w:rPr>
                <w:rFonts w:hint="eastAsia" w:ascii="宋体" w:hAnsi="宋体" w:cs="宋体"/>
                <w:color w:val="auto"/>
                <w:sz w:val="24"/>
                <w:szCs w:val="24"/>
              </w:rPr>
              <w:t>℃</w:t>
            </w:r>
            <w:r>
              <w:rPr>
                <w:color w:val="auto"/>
                <w:sz w:val="24"/>
                <w:szCs w:val="24"/>
              </w:rPr>
              <w:t>时12g/100ml水，100</w:t>
            </w:r>
            <w:r>
              <w:rPr>
                <w:rFonts w:hint="eastAsia" w:ascii="宋体" w:hAnsi="宋体" w:cs="宋体"/>
                <w:color w:val="auto"/>
                <w:sz w:val="24"/>
                <w:szCs w:val="24"/>
              </w:rPr>
              <w:t>℃</w:t>
            </w:r>
            <w:r>
              <w:rPr>
                <w:color w:val="auto"/>
                <w:sz w:val="24"/>
                <w:szCs w:val="24"/>
              </w:rPr>
              <w:t xml:space="preserve">时24.1g/100ml水），不溶于醇、丙酮和二硫化碳。 </w:t>
            </w:r>
          </w:p>
          <w:p w14:paraId="49D46B23">
            <w:pPr>
              <w:pStyle w:val="26"/>
              <w:spacing w:line="360" w:lineRule="auto"/>
              <w:ind w:firstLine="474"/>
              <w:rPr>
                <w:color w:val="auto"/>
                <w:sz w:val="24"/>
                <w:szCs w:val="24"/>
              </w:rPr>
            </w:pPr>
            <w:r>
              <w:rPr>
                <w:color w:val="auto"/>
                <w:sz w:val="24"/>
                <w:szCs w:val="24"/>
              </w:rPr>
              <w:t>农业上用作钾肥（以氧化钾计含量为50—60%）,肥效快,可用作基肥和追肥。</w:t>
            </w:r>
          </w:p>
          <w:p w14:paraId="46307ECC">
            <w:pPr>
              <w:pStyle w:val="26"/>
              <w:spacing w:line="360" w:lineRule="auto"/>
              <w:ind w:firstLine="474"/>
              <w:rPr>
                <w:color w:val="auto"/>
                <w:sz w:val="24"/>
                <w:szCs w:val="24"/>
              </w:rPr>
            </w:pPr>
            <w:r>
              <w:rPr>
                <w:color w:val="auto"/>
                <w:sz w:val="24"/>
                <w:szCs w:val="24"/>
              </w:rPr>
              <w:t>（8）防结块剂</w:t>
            </w:r>
          </w:p>
          <w:p w14:paraId="2FC2083B">
            <w:pPr>
              <w:pStyle w:val="26"/>
              <w:spacing w:line="360" w:lineRule="auto"/>
              <w:ind w:firstLine="474"/>
              <w:rPr>
                <w:color w:val="auto"/>
                <w:sz w:val="24"/>
                <w:szCs w:val="24"/>
              </w:rPr>
            </w:pPr>
            <w:r>
              <w:rPr>
                <w:color w:val="auto"/>
                <w:sz w:val="24"/>
                <w:szCs w:val="24"/>
              </w:rPr>
              <w:t>常用的防结块剂有亚铁氰化钾、硅铝酸钠、二氧化硅等；呈米黄色膏体或白色粉末；水溶性：易溶于水；pH 值：7～8；耐硬水、耐酸、耐碱、耐一般电解质、耐煮沸。对钙皂分散、洗涤、起泡等均具有极优良性能。并有良好的抗结块、分散性。</w:t>
            </w:r>
          </w:p>
          <w:p w14:paraId="3CCC4376">
            <w:pPr>
              <w:pStyle w:val="23"/>
              <w:bidi w:val="0"/>
              <w:rPr>
                <w:rFonts w:hint="default"/>
                <w:color w:val="auto"/>
                <w:lang w:val="en-US" w:eastAsia="zh-CN"/>
              </w:rPr>
            </w:pPr>
            <w:r>
              <w:rPr>
                <w:rFonts w:hint="eastAsia"/>
                <w:color w:val="auto"/>
                <w:lang w:val="en-US" w:eastAsia="zh-CN"/>
              </w:rPr>
              <w:t>表2-6</w:t>
            </w:r>
            <w:r>
              <w:rPr>
                <w:rFonts w:hint="eastAsia"/>
                <w:color w:val="4874CB" w:themeColor="accent1"/>
                <w:lang w:val="en-US" w:eastAsia="zh-CN"/>
                <w14:textFill>
                  <w14:solidFill>
                    <w14:schemeClr w14:val="accent1"/>
                  </w14:solidFill>
                </w14:textFill>
              </w:rPr>
              <w:t xml:space="preserve">  </w:t>
            </w:r>
            <w:r>
              <w:rPr>
                <w:rFonts w:hint="eastAsia"/>
                <w:color w:val="auto"/>
                <w:lang w:val="en-US" w:eastAsia="zh-CN"/>
              </w:rPr>
              <w:t>能源消耗情况表</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1560"/>
              <w:gridCol w:w="1363"/>
              <w:gridCol w:w="683"/>
              <w:gridCol w:w="1389"/>
              <w:gridCol w:w="1725"/>
            </w:tblGrid>
            <w:tr w14:paraId="0E4E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center"/>
                </w:tcPr>
                <w:p w14:paraId="494A8CD0">
                  <w:pPr>
                    <w:pStyle w:val="24"/>
                    <w:bidi w:val="0"/>
                    <w:jc w:val="center"/>
                    <w:rPr>
                      <w:rFonts w:hint="default"/>
                      <w:color w:val="auto"/>
                      <w:vertAlign w:val="baseline"/>
                      <w:lang w:val="en-US" w:eastAsia="zh-CN"/>
                    </w:rPr>
                  </w:pPr>
                  <w:r>
                    <w:rPr>
                      <w:rFonts w:hint="eastAsia"/>
                      <w:color w:val="auto"/>
                      <w:vertAlign w:val="baseline"/>
                      <w:lang w:val="en-US" w:eastAsia="zh-CN"/>
                    </w:rPr>
                    <w:t>序号</w:t>
                  </w:r>
                </w:p>
              </w:tc>
              <w:tc>
                <w:tcPr>
                  <w:tcW w:w="1560" w:type="dxa"/>
                  <w:vAlign w:val="center"/>
                </w:tcPr>
                <w:p w14:paraId="340688B8">
                  <w:pPr>
                    <w:pStyle w:val="24"/>
                    <w:bidi w:val="0"/>
                    <w:jc w:val="center"/>
                    <w:rPr>
                      <w:rFonts w:hint="default"/>
                      <w:color w:val="auto"/>
                      <w:vertAlign w:val="baseline"/>
                      <w:lang w:val="en-US" w:eastAsia="zh-CN"/>
                    </w:rPr>
                  </w:pPr>
                  <w:r>
                    <w:rPr>
                      <w:rFonts w:hint="eastAsia"/>
                      <w:color w:val="auto"/>
                      <w:vertAlign w:val="baseline"/>
                      <w:lang w:val="en-US" w:eastAsia="zh-CN"/>
                    </w:rPr>
                    <w:t>名称</w:t>
                  </w:r>
                </w:p>
              </w:tc>
              <w:tc>
                <w:tcPr>
                  <w:tcW w:w="1363" w:type="dxa"/>
                  <w:vAlign w:val="center"/>
                </w:tcPr>
                <w:p w14:paraId="358CB578">
                  <w:pPr>
                    <w:pStyle w:val="24"/>
                    <w:bidi w:val="0"/>
                    <w:jc w:val="center"/>
                    <w:rPr>
                      <w:rFonts w:hint="default"/>
                      <w:color w:val="auto"/>
                      <w:vertAlign w:val="baseline"/>
                      <w:lang w:val="en-US" w:eastAsia="zh-CN"/>
                    </w:rPr>
                  </w:pPr>
                  <w:r>
                    <w:rPr>
                      <w:rFonts w:hint="eastAsia"/>
                      <w:color w:val="auto"/>
                      <w:vertAlign w:val="baseline"/>
                      <w:lang w:val="en-US" w:eastAsia="zh-CN"/>
                    </w:rPr>
                    <w:t>单位</w:t>
                  </w:r>
                </w:p>
              </w:tc>
              <w:tc>
                <w:tcPr>
                  <w:tcW w:w="683" w:type="dxa"/>
                  <w:vAlign w:val="center"/>
                </w:tcPr>
                <w:p w14:paraId="274A0A5E">
                  <w:pPr>
                    <w:pStyle w:val="24"/>
                    <w:bidi w:val="0"/>
                    <w:jc w:val="center"/>
                    <w:rPr>
                      <w:rFonts w:hint="default"/>
                      <w:color w:val="auto"/>
                      <w:vertAlign w:val="baseline"/>
                      <w:lang w:val="en-US" w:eastAsia="zh-CN"/>
                    </w:rPr>
                  </w:pPr>
                  <w:r>
                    <w:rPr>
                      <w:rFonts w:hint="eastAsia"/>
                      <w:color w:val="auto"/>
                      <w:vertAlign w:val="baseline"/>
                      <w:lang w:val="en-US" w:eastAsia="zh-CN"/>
                    </w:rPr>
                    <w:t>用量</w:t>
                  </w:r>
                </w:p>
              </w:tc>
              <w:tc>
                <w:tcPr>
                  <w:tcW w:w="1389" w:type="dxa"/>
                  <w:vAlign w:val="center"/>
                </w:tcPr>
                <w:p w14:paraId="2AC0EB4F">
                  <w:pPr>
                    <w:pStyle w:val="24"/>
                    <w:bidi w:val="0"/>
                    <w:jc w:val="center"/>
                    <w:rPr>
                      <w:rFonts w:hint="default"/>
                      <w:color w:val="auto"/>
                      <w:vertAlign w:val="baseline"/>
                      <w:lang w:val="en-US" w:eastAsia="zh-CN"/>
                    </w:rPr>
                  </w:pPr>
                  <w:r>
                    <w:rPr>
                      <w:rFonts w:hint="eastAsia"/>
                      <w:color w:val="auto"/>
                      <w:vertAlign w:val="baseline"/>
                      <w:lang w:val="en-US" w:eastAsia="zh-CN"/>
                    </w:rPr>
                    <w:t>来源</w:t>
                  </w:r>
                </w:p>
              </w:tc>
              <w:tc>
                <w:tcPr>
                  <w:tcW w:w="1725" w:type="dxa"/>
                  <w:vAlign w:val="center"/>
                </w:tcPr>
                <w:p w14:paraId="60A2424E">
                  <w:pPr>
                    <w:pStyle w:val="24"/>
                    <w:bidi w:val="0"/>
                    <w:jc w:val="center"/>
                    <w:rPr>
                      <w:rFonts w:hint="default"/>
                      <w:color w:val="auto"/>
                      <w:vertAlign w:val="baseline"/>
                      <w:lang w:val="en-US" w:eastAsia="zh-CN"/>
                    </w:rPr>
                  </w:pPr>
                  <w:r>
                    <w:rPr>
                      <w:rFonts w:hint="eastAsia"/>
                      <w:color w:val="auto"/>
                      <w:vertAlign w:val="baseline"/>
                      <w:lang w:val="en-US" w:eastAsia="zh-CN"/>
                    </w:rPr>
                    <w:t>备注</w:t>
                  </w:r>
                </w:p>
              </w:tc>
            </w:tr>
            <w:tr w14:paraId="15CF9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center"/>
                </w:tcPr>
                <w:p w14:paraId="3846C0C2">
                  <w:pPr>
                    <w:pStyle w:val="24"/>
                    <w:bidi w:val="0"/>
                    <w:jc w:val="center"/>
                    <w:rPr>
                      <w:rFonts w:hint="default"/>
                      <w:color w:val="auto"/>
                      <w:vertAlign w:val="baseline"/>
                      <w:lang w:val="en-US" w:eastAsia="zh-CN"/>
                    </w:rPr>
                  </w:pPr>
                  <w:r>
                    <w:rPr>
                      <w:rFonts w:hint="eastAsia"/>
                      <w:color w:val="auto"/>
                      <w:vertAlign w:val="baseline"/>
                      <w:lang w:val="en-US" w:eastAsia="zh-CN"/>
                    </w:rPr>
                    <w:t>1</w:t>
                  </w:r>
                </w:p>
              </w:tc>
              <w:tc>
                <w:tcPr>
                  <w:tcW w:w="1560" w:type="dxa"/>
                  <w:vAlign w:val="center"/>
                </w:tcPr>
                <w:p w14:paraId="6364F547">
                  <w:pPr>
                    <w:pStyle w:val="24"/>
                    <w:bidi w:val="0"/>
                    <w:jc w:val="center"/>
                    <w:rPr>
                      <w:rFonts w:hint="default"/>
                      <w:color w:val="auto"/>
                      <w:vertAlign w:val="baseline"/>
                      <w:lang w:val="en-US" w:eastAsia="zh-CN"/>
                    </w:rPr>
                  </w:pPr>
                  <w:r>
                    <w:rPr>
                      <w:rFonts w:hint="eastAsia"/>
                      <w:color w:val="auto"/>
                      <w:vertAlign w:val="baseline"/>
                      <w:lang w:val="en-US" w:eastAsia="zh-CN"/>
                    </w:rPr>
                    <w:t>电</w:t>
                  </w:r>
                </w:p>
              </w:tc>
              <w:tc>
                <w:tcPr>
                  <w:tcW w:w="1363" w:type="dxa"/>
                  <w:vAlign w:val="center"/>
                </w:tcPr>
                <w:p w14:paraId="70875B9C">
                  <w:pPr>
                    <w:pStyle w:val="24"/>
                    <w:bidi w:val="0"/>
                    <w:jc w:val="center"/>
                    <w:rPr>
                      <w:rFonts w:hint="default"/>
                      <w:color w:val="auto"/>
                      <w:vertAlign w:val="baseline"/>
                      <w:lang w:val="en-US" w:eastAsia="zh-CN"/>
                    </w:rPr>
                  </w:pPr>
                  <w:r>
                    <w:rPr>
                      <w:rFonts w:hint="eastAsia"/>
                      <w:color w:val="auto"/>
                      <w:vertAlign w:val="baseline"/>
                      <w:lang w:val="en-US" w:eastAsia="zh-CN"/>
                    </w:rPr>
                    <w:t>万kWh/a</w:t>
                  </w:r>
                </w:p>
              </w:tc>
              <w:tc>
                <w:tcPr>
                  <w:tcW w:w="683" w:type="dxa"/>
                  <w:vAlign w:val="center"/>
                </w:tcPr>
                <w:p w14:paraId="0DA4F98F">
                  <w:pPr>
                    <w:pStyle w:val="24"/>
                    <w:bidi w:val="0"/>
                    <w:jc w:val="center"/>
                    <w:rPr>
                      <w:rFonts w:hint="default"/>
                      <w:color w:val="auto"/>
                      <w:vertAlign w:val="baseline"/>
                      <w:lang w:val="en-US" w:eastAsia="zh-CN"/>
                    </w:rPr>
                  </w:pPr>
                  <w:r>
                    <w:rPr>
                      <w:rFonts w:hint="eastAsia"/>
                      <w:color w:val="auto"/>
                      <w:vertAlign w:val="baseline"/>
                      <w:lang w:val="en-US" w:eastAsia="zh-CN"/>
                    </w:rPr>
                    <w:t>55</w:t>
                  </w:r>
                </w:p>
              </w:tc>
              <w:tc>
                <w:tcPr>
                  <w:tcW w:w="1389" w:type="dxa"/>
                  <w:vAlign w:val="center"/>
                </w:tcPr>
                <w:p w14:paraId="18C5E938">
                  <w:pPr>
                    <w:pStyle w:val="24"/>
                    <w:bidi w:val="0"/>
                    <w:jc w:val="center"/>
                    <w:rPr>
                      <w:rFonts w:hint="default"/>
                      <w:color w:val="auto"/>
                      <w:vertAlign w:val="baseline"/>
                      <w:lang w:val="en-US" w:eastAsia="zh-CN"/>
                    </w:rPr>
                  </w:pPr>
                  <w:r>
                    <w:rPr>
                      <w:rFonts w:hint="eastAsia"/>
                      <w:color w:val="auto"/>
                      <w:vertAlign w:val="baseline"/>
                      <w:lang w:val="en-US" w:eastAsia="zh-CN"/>
                    </w:rPr>
                    <w:t>当地电网</w:t>
                  </w:r>
                </w:p>
              </w:tc>
              <w:tc>
                <w:tcPr>
                  <w:tcW w:w="1725" w:type="dxa"/>
                  <w:vAlign w:val="center"/>
                </w:tcPr>
                <w:p w14:paraId="24F90EF9">
                  <w:pPr>
                    <w:pStyle w:val="24"/>
                    <w:bidi w:val="0"/>
                    <w:jc w:val="center"/>
                    <w:rPr>
                      <w:rFonts w:hint="default"/>
                      <w:color w:val="auto"/>
                      <w:vertAlign w:val="baseline"/>
                      <w:lang w:val="en-US" w:eastAsia="zh-CN"/>
                    </w:rPr>
                  </w:pPr>
                  <w:r>
                    <w:rPr>
                      <w:rFonts w:hint="eastAsia"/>
                      <w:color w:val="auto"/>
                      <w:vertAlign w:val="baseline"/>
                      <w:lang w:val="en-US" w:eastAsia="zh-CN"/>
                    </w:rPr>
                    <w:t>/</w:t>
                  </w:r>
                </w:p>
              </w:tc>
            </w:tr>
            <w:tr w14:paraId="40CB4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center"/>
                </w:tcPr>
                <w:p w14:paraId="6A0F7D7A">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2</w:t>
                  </w:r>
                </w:p>
              </w:tc>
              <w:tc>
                <w:tcPr>
                  <w:tcW w:w="1560" w:type="dxa"/>
                  <w:vAlign w:val="center"/>
                </w:tcPr>
                <w:p w14:paraId="4F539C8C">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水</w:t>
                  </w:r>
                </w:p>
              </w:tc>
              <w:tc>
                <w:tcPr>
                  <w:tcW w:w="1363" w:type="dxa"/>
                  <w:vAlign w:val="center"/>
                </w:tcPr>
                <w:p w14:paraId="250A77FC">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t/a</w:t>
                  </w:r>
                </w:p>
              </w:tc>
              <w:tc>
                <w:tcPr>
                  <w:tcW w:w="683" w:type="dxa"/>
                  <w:vAlign w:val="center"/>
                </w:tcPr>
                <w:p w14:paraId="6931831F">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1880</w:t>
                  </w:r>
                </w:p>
              </w:tc>
              <w:tc>
                <w:tcPr>
                  <w:tcW w:w="1389" w:type="dxa"/>
                  <w:vAlign w:val="center"/>
                </w:tcPr>
                <w:p w14:paraId="7685301A">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自来水</w:t>
                  </w:r>
                </w:p>
              </w:tc>
              <w:tc>
                <w:tcPr>
                  <w:tcW w:w="1725" w:type="dxa"/>
                  <w:vAlign w:val="center"/>
                </w:tcPr>
                <w:p w14:paraId="5D92C8E8">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w:t>
                  </w:r>
                </w:p>
              </w:tc>
            </w:tr>
            <w:tr w14:paraId="1CCAA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8" w:type="dxa"/>
                  <w:vAlign w:val="center"/>
                </w:tcPr>
                <w:p w14:paraId="718B7F81">
                  <w:pPr>
                    <w:pStyle w:val="24"/>
                    <w:bidi w:val="0"/>
                    <w:jc w:val="center"/>
                    <w:rPr>
                      <w:rFonts w:hint="eastAsia"/>
                      <w:color w:val="auto"/>
                      <w:vertAlign w:val="baseline"/>
                      <w:lang w:val="en-US" w:eastAsia="zh-CN"/>
                    </w:rPr>
                  </w:pPr>
                  <w:r>
                    <w:rPr>
                      <w:rFonts w:hint="eastAsia"/>
                      <w:color w:val="auto"/>
                      <w:vertAlign w:val="baseline"/>
                      <w:lang w:val="en-US" w:eastAsia="zh-CN"/>
                    </w:rPr>
                    <w:t>3</w:t>
                  </w:r>
                </w:p>
              </w:tc>
              <w:tc>
                <w:tcPr>
                  <w:tcW w:w="1560" w:type="dxa"/>
                  <w:vAlign w:val="center"/>
                </w:tcPr>
                <w:p w14:paraId="054C17F3">
                  <w:pPr>
                    <w:pStyle w:val="24"/>
                    <w:bidi w:val="0"/>
                    <w:jc w:val="center"/>
                    <w:rPr>
                      <w:rFonts w:hint="default"/>
                      <w:color w:val="auto"/>
                      <w:vertAlign w:val="baseline"/>
                      <w:lang w:val="en-US" w:eastAsia="zh-CN"/>
                    </w:rPr>
                  </w:pPr>
                  <w:r>
                    <w:rPr>
                      <w:rFonts w:hint="eastAsia"/>
                      <w:color w:val="auto"/>
                      <w:vertAlign w:val="baseline"/>
                      <w:lang w:val="en-US" w:eastAsia="zh-CN"/>
                    </w:rPr>
                    <w:t>轻质柴油（0#）</w:t>
                  </w:r>
                </w:p>
              </w:tc>
              <w:tc>
                <w:tcPr>
                  <w:tcW w:w="1363" w:type="dxa"/>
                  <w:vAlign w:val="center"/>
                </w:tcPr>
                <w:p w14:paraId="50527CDE">
                  <w:pPr>
                    <w:pStyle w:val="24"/>
                    <w:bidi w:val="0"/>
                    <w:jc w:val="center"/>
                    <w:rPr>
                      <w:rFonts w:hint="default"/>
                      <w:color w:val="auto"/>
                      <w:vertAlign w:val="baseline"/>
                      <w:lang w:val="en-US" w:eastAsia="zh-CN"/>
                    </w:rPr>
                  </w:pPr>
                  <w:r>
                    <w:rPr>
                      <w:rFonts w:hint="eastAsia"/>
                      <w:color w:val="auto"/>
                      <w:vertAlign w:val="baseline"/>
                      <w:lang w:val="en-US" w:eastAsia="zh-CN"/>
                    </w:rPr>
                    <w:t>t/a</w:t>
                  </w:r>
                </w:p>
              </w:tc>
              <w:tc>
                <w:tcPr>
                  <w:tcW w:w="683" w:type="dxa"/>
                  <w:vAlign w:val="center"/>
                </w:tcPr>
                <w:p w14:paraId="6C240307">
                  <w:pPr>
                    <w:pStyle w:val="24"/>
                    <w:bidi w:val="0"/>
                    <w:jc w:val="center"/>
                    <w:rPr>
                      <w:rFonts w:hint="default"/>
                      <w:color w:val="auto"/>
                      <w:vertAlign w:val="baseline"/>
                      <w:lang w:val="en-US" w:eastAsia="zh-CN"/>
                    </w:rPr>
                  </w:pPr>
                  <w:r>
                    <w:rPr>
                      <w:rFonts w:hint="eastAsia"/>
                      <w:color w:val="auto"/>
                      <w:vertAlign w:val="baseline"/>
                      <w:lang w:val="en-US" w:eastAsia="zh-CN"/>
                    </w:rPr>
                    <w:t>181</w:t>
                  </w:r>
                </w:p>
              </w:tc>
              <w:tc>
                <w:tcPr>
                  <w:tcW w:w="1389" w:type="dxa"/>
                  <w:vAlign w:val="center"/>
                </w:tcPr>
                <w:p w14:paraId="0B1D198B">
                  <w:pPr>
                    <w:pStyle w:val="24"/>
                    <w:bidi w:val="0"/>
                    <w:jc w:val="center"/>
                    <w:rPr>
                      <w:rFonts w:hint="default"/>
                      <w:color w:val="auto"/>
                      <w:vertAlign w:val="baseline"/>
                      <w:lang w:val="en-US" w:eastAsia="zh-CN"/>
                    </w:rPr>
                  </w:pPr>
                  <w:r>
                    <w:rPr>
                      <w:rFonts w:hint="eastAsia"/>
                      <w:color w:val="auto"/>
                      <w:vertAlign w:val="baseline"/>
                      <w:lang w:val="en-US" w:eastAsia="zh-CN"/>
                    </w:rPr>
                    <w:t>外购</w:t>
                  </w:r>
                </w:p>
              </w:tc>
              <w:tc>
                <w:tcPr>
                  <w:tcW w:w="1725" w:type="dxa"/>
                  <w:vAlign w:val="center"/>
                </w:tcPr>
                <w:p w14:paraId="2226A035">
                  <w:pPr>
                    <w:pStyle w:val="24"/>
                    <w:bidi w:val="0"/>
                    <w:jc w:val="center"/>
                    <w:rPr>
                      <w:rFonts w:hint="default"/>
                      <w:color w:val="auto"/>
                      <w:vertAlign w:val="baseline"/>
                      <w:lang w:val="en-US" w:eastAsia="zh-CN"/>
                    </w:rPr>
                  </w:pPr>
                  <w:r>
                    <w:rPr>
                      <w:rFonts w:hint="eastAsia"/>
                      <w:color w:val="auto"/>
                      <w:vertAlign w:val="baseline"/>
                      <w:lang w:val="en-US" w:eastAsia="zh-CN"/>
                    </w:rPr>
                    <w:t>热风炉燃料</w:t>
                  </w:r>
                </w:p>
              </w:tc>
            </w:tr>
          </w:tbl>
          <w:p w14:paraId="1566791C">
            <w:pPr>
              <w:pStyle w:val="21"/>
              <w:bidi w:val="0"/>
              <w:ind w:left="0" w:leftChars="0" w:firstLine="480" w:firstLineChars="200"/>
              <w:rPr>
                <w:rFonts w:hint="eastAsia"/>
                <w:color w:val="4874CB" w:themeColor="accent1"/>
                <w:u w:val="single"/>
                <w:lang w:val="en-US" w:eastAsia="zh-CN"/>
                <w14:textFill>
                  <w14:solidFill>
                    <w14:schemeClr w14:val="accent1"/>
                  </w14:solidFill>
                </w14:textFill>
              </w:rPr>
            </w:pPr>
            <w:r>
              <w:rPr>
                <w:rFonts w:hint="eastAsia" w:cs="Times New Roman"/>
                <w:b w:val="0"/>
                <w:color w:val="auto"/>
                <w:kern w:val="2"/>
                <w:sz w:val="24"/>
                <w:szCs w:val="24"/>
                <w:u w:val="single"/>
                <w:lang w:val="en-US" w:eastAsia="zh-CN" w:bidi="ar-SA"/>
              </w:rPr>
              <w:t>本项目所需有机肥料全部外购成品，自身不发酵；造粒方式</w:t>
            </w:r>
            <w:r>
              <w:rPr>
                <w:rFonts w:ascii="Times New Roman" w:hAnsi="Times New Roman" w:eastAsia="宋体" w:cs="Times New Roman"/>
                <w:b w:val="0"/>
                <w:color w:val="auto"/>
                <w:kern w:val="2"/>
                <w:sz w:val="24"/>
                <w:szCs w:val="24"/>
                <w:u w:val="single"/>
                <w:lang w:val="en-US" w:eastAsia="zh-CN" w:bidi="ar-SA"/>
              </w:rPr>
              <w:t>采用</w:t>
            </w:r>
            <w:r>
              <w:rPr>
                <w:rFonts w:hint="eastAsia" w:cs="Times New Roman"/>
                <w:b w:val="0"/>
                <w:color w:val="auto"/>
                <w:kern w:val="2"/>
                <w:sz w:val="24"/>
                <w:szCs w:val="24"/>
                <w:u w:val="single"/>
                <w:lang w:val="en-US" w:eastAsia="zh-CN" w:bidi="ar-SA"/>
              </w:rPr>
              <w:t>挤压</w:t>
            </w:r>
            <w:r>
              <w:rPr>
                <w:rFonts w:ascii="Times New Roman" w:hAnsi="Times New Roman" w:eastAsia="宋体" w:cs="Times New Roman"/>
                <w:b w:val="0"/>
                <w:color w:val="auto"/>
                <w:kern w:val="2"/>
                <w:sz w:val="24"/>
                <w:szCs w:val="24"/>
                <w:u w:val="single"/>
                <w:lang w:val="en-US" w:eastAsia="zh-CN" w:bidi="ar-SA"/>
              </w:rPr>
              <w:t>造粒</w:t>
            </w:r>
            <w:r>
              <w:rPr>
                <w:rFonts w:hint="eastAsia" w:cs="Times New Roman"/>
                <w:b w:val="0"/>
                <w:color w:val="auto"/>
                <w:kern w:val="2"/>
                <w:sz w:val="24"/>
                <w:szCs w:val="24"/>
                <w:u w:val="single"/>
                <w:lang w:val="en-US" w:eastAsia="zh-CN" w:bidi="ar-SA"/>
              </w:rPr>
              <w:t>，造粒、烘干等工序依靠湖南金力泰新材料科技有限公司的余热供热，供热不稳定时启用备用热风炉供热（燃料为轻质柴油），物料在烘干滚筒中通过与热风直接接触来进行烘干（加热温度70~100摄氏度），</w:t>
            </w:r>
            <w:r>
              <w:rPr>
                <w:rFonts w:ascii="Times New Roman" w:hAnsi="Times New Roman" w:eastAsia="宋体" w:cs="Times New Roman"/>
                <w:b w:val="0"/>
                <w:color w:val="auto"/>
                <w:kern w:val="2"/>
                <w:sz w:val="24"/>
                <w:szCs w:val="24"/>
                <w:u w:val="single"/>
                <w:lang w:val="en-US" w:eastAsia="zh-CN" w:bidi="ar-SA"/>
              </w:rPr>
              <w:t>根据业主提供的资料，</w:t>
            </w:r>
            <w:r>
              <w:rPr>
                <w:rFonts w:hint="eastAsia" w:ascii="Times New Roman" w:hAnsi="Times New Roman" w:eastAsia="宋体" w:cs="Times New Roman"/>
                <w:b w:val="0"/>
                <w:color w:val="auto"/>
                <w:kern w:val="2"/>
                <w:sz w:val="24"/>
                <w:szCs w:val="24"/>
                <w:u w:val="single"/>
                <w:lang w:val="en-US" w:eastAsia="zh-CN" w:bidi="ar-SA"/>
              </w:rPr>
              <w:t>轻质柴油</w:t>
            </w:r>
            <w:r>
              <w:rPr>
                <w:rFonts w:ascii="Times New Roman" w:hAnsi="Times New Roman" w:eastAsia="宋体" w:cs="Times New Roman"/>
                <w:b w:val="0"/>
                <w:color w:val="auto"/>
                <w:kern w:val="2"/>
                <w:sz w:val="24"/>
                <w:szCs w:val="24"/>
                <w:u w:val="single"/>
                <w:lang w:val="en-US" w:eastAsia="zh-CN" w:bidi="ar-SA"/>
              </w:rPr>
              <w:t>的年</w:t>
            </w:r>
            <w:r>
              <w:rPr>
                <w:rFonts w:hint="eastAsia" w:cs="Times New Roman"/>
                <w:b w:val="0"/>
                <w:color w:val="auto"/>
                <w:kern w:val="2"/>
                <w:sz w:val="24"/>
                <w:szCs w:val="24"/>
                <w:u w:val="single"/>
                <w:lang w:val="en-US" w:eastAsia="zh-CN" w:bidi="ar-SA"/>
              </w:rPr>
              <w:t>最大</w:t>
            </w:r>
            <w:r>
              <w:rPr>
                <w:rFonts w:ascii="Times New Roman" w:hAnsi="Times New Roman" w:eastAsia="宋体" w:cs="Times New Roman"/>
                <w:b w:val="0"/>
                <w:color w:val="auto"/>
                <w:kern w:val="2"/>
                <w:sz w:val="24"/>
                <w:szCs w:val="24"/>
                <w:u w:val="single"/>
                <w:lang w:val="en-US" w:eastAsia="zh-CN" w:bidi="ar-SA"/>
              </w:rPr>
              <w:t>使用量为</w:t>
            </w:r>
            <w:r>
              <w:rPr>
                <w:rFonts w:hint="eastAsia" w:cs="Times New Roman"/>
                <w:b w:val="0"/>
                <w:color w:val="auto"/>
                <w:kern w:val="2"/>
                <w:sz w:val="24"/>
                <w:szCs w:val="24"/>
                <w:u w:val="single"/>
                <w:lang w:val="en-US" w:eastAsia="zh-CN" w:bidi="ar-SA"/>
              </w:rPr>
              <w:t>181</w:t>
            </w:r>
            <w:r>
              <w:rPr>
                <w:rFonts w:ascii="Times New Roman" w:hAnsi="Times New Roman" w:eastAsia="宋体" w:cs="Times New Roman"/>
                <w:b w:val="0"/>
                <w:color w:val="auto"/>
                <w:kern w:val="2"/>
                <w:sz w:val="24"/>
                <w:szCs w:val="24"/>
                <w:u w:val="single"/>
                <w:lang w:val="en-US" w:eastAsia="zh-CN" w:bidi="ar-SA"/>
              </w:rPr>
              <w:t>t。</w:t>
            </w:r>
          </w:p>
          <w:p w14:paraId="3AABFF97">
            <w:pPr>
              <w:pStyle w:val="21"/>
              <w:bidi w:val="0"/>
              <w:ind w:left="0" w:leftChars="0" w:firstLine="482" w:firstLineChars="200"/>
              <w:rPr>
                <w:rFonts w:hint="eastAsia"/>
                <w:color w:val="auto"/>
                <w:lang w:val="en-US" w:eastAsia="zh-CN"/>
              </w:rPr>
            </w:pPr>
            <w:r>
              <w:rPr>
                <w:rFonts w:hint="eastAsia"/>
                <w:color w:val="auto"/>
                <w:lang w:val="en-US" w:eastAsia="zh-CN"/>
              </w:rPr>
              <w:t>6、主要生产设备</w:t>
            </w:r>
          </w:p>
          <w:p w14:paraId="599BEED0">
            <w:pPr>
              <w:pStyle w:val="22"/>
              <w:bidi w:val="0"/>
              <w:rPr>
                <w:rFonts w:hint="eastAsia"/>
                <w:color w:val="auto"/>
                <w:lang w:val="en-US" w:eastAsia="zh-CN"/>
              </w:rPr>
            </w:pPr>
            <w:r>
              <w:rPr>
                <w:rFonts w:hint="eastAsia"/>
                <w:color w:val="auto"/>
                <w:lang w:val="en-US" w:eastAsia="zh-CN"/>
              </w:rPr>
              <w:t>根据企业提供的资料，主要生产设备详见下表。</w:t>
            </w:r>
          </w:p>
          <w:p w14:paraId="0D29D56E">
            <w:pPr>
              <w:pStyle w:val="23"/>
              <w:bidi w:val="0"/>
              <w:rPr>
                <w:rFonts w:hint="default"/>
                <w:color w:val="4874CB" w:themeColor="accent1"/>
                <w:lang w:val="en-US" w:eastAsia="zh-CN"/>
                <w14:textFill>
                  <w14:solidFill>
                    <w14:schemeClr w14:val="accent1"/>
                  </w14:solidFill>
                </w14:textFill>
              </w:rPr>
            </w:pPr>
            <w:r>
              <w:rPr>
                <w:rFonts w:hint="eastAsia"/>
                <w:color w:val="auto"/>
                <w:lang w:val="en-US" w:eastAsia="zh-CN"/>
              </w:rPr>
              <w:t>表2-7</w:t>
            </w:r>
            <w:r>
              <w:rPr>
                <w:rFonts w:hint="eastAsia"/>
                <w:color w:val="4874CB" w:themeColor="accent1"/>
                <w:lang w:val="en-US" w:eastAsia="zh-CN"/>
                <w14:textFill>
                  <w14:solidFill>
                    <w14:schemeClr w14:val="accent1"/>
                  </w14:solidFill>
                </w14:textFill>
              </w:rPr>
              <w:t xml:space="preserve">  </w:t>
            </w:r>
            <w:r>
              <w:rPr>
                <w:rFonts w:hint="eastAsia"/>
                <w:color w:val="auto"/>
                <w:lang w:val="en-US" w:eastAsia="zh-CN"/>
              </w:rPr>
              <w:t>主要生产设备一览表</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2310"/>
              <w:gridCol w:w="1575"/>
              <w:gridCol w:w="1320"/>
              <w:gridCol w:w="1950"/>
            </w:tblGrid>
            <w:tr w14:paraId="01E11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03CF00CE">
                  <w:pPr>
                    <w:pStyle w:val="24"/>
                    <w:bidi w:val="0"/>
                    <w:jc w:val="center"/>
                    <w:rPr>
                      <w:rFonts w:hint="default"/>
                      <w:color w:val="auto"/>
                      <w:vertAlign w:val="baseline"/>
                      <w:lang w:val="en-US" w:eastAsia="zh-CN"/>
                    </w:rPr>
                  </w:pPr>
                  <w:r>
                    <w:rPr>
                      <w:rFonts w:hint="eastAsia"/>
                      <w:color w:val="auto"/>
                      <w:vertAlign w:val="baseline"/>
                      <w:lang w:val="en-US" w:eastAsia="zh-CN"/>
                    </w:rPr>
                    <w:t>序号</w:t>
                  </w:r>
                </w:p>
              </w:tc>
              <w:tc>
                <w:tcPr>
                  <w:tcW w:w="2310" w:type="dxa"/>
                  <w:vAlign w:val="center"/>
                </w:tcPr>
                <w:p w14:paraId="120BC39A">
                  <w:pPr>
                    <w:pStyle w:val="24"/>
                    <w:bidi w:val="0"/>
                    <w:jc w:val="center"/>
                    <w:rPr>
                      <w:rFonts w:hint="default"/>
                      <w:color w:val="auto"/>
                      <w:vertAlign w:val="baseline"/>
                      <w:lang w:val="en-US" w:eastAsia="zh-CN"/>
                    </w:rPr>
                  </w:pPr>
                  <w:r>
                    <w:rPr>
                      <w:rFonts w:hint="eastAsia"/>
                      <w:color w:val="auto"/>
                      <w:vertAlign w:val="baseline"/>
                      <w:lang w:val="en-US" w:eastAsia="zh-CN"/>
                    </w:rPr>
                    <w:t>设备名称</w:t>
                  </w:r>
                </w:p>
              </w:tc>
              <w:tc>
                <w:tcPr>
                  <w:tcW w:w="1575" w:type="dxa"/>
                  <w:vAlign w:val="center"/>
                </w:tcPr>
                <w:p w14:paraId="6DD8F358">
                  <w:pPr>
                    <w:pStyle w:val="24"/>
                    <w:bidi w:val="0"/>
                    <w:jc w:val="center"/>
                    <w:rPr>
                      <w:rFonts w:hint="default"/>
                      <w:color w:val="auto"/>
                      <w:vertAlign w:val="baseline"/>
                      <w:lang w:val="en-US" w:eastAsia="zh-CN"/>
                    </w:rPr>
                  </w:pPr>
                  <w:r>
                    <w:rPr>
                      <w:rFonts w:hint="eastAsia"/>
                      <w:color w:val="auto"/>
                      <w:vertAlign w:val="baseline"/>
                      <w:lang w:val="en-US" w:eastAsia="zh-CN"/>
                    </w:rPr>
                    <w:t>型号</w:t>
                  </w:r>
                </w:p>
              </w:tc>
              <w:tc>
                <w:tcPr>
                  <w:tcW w:w="1320" w:type="dxa"/>
                  <w:vAlign w:val="center"/>
                </w:tcPr>
                <w:p w14:paraId="04575DAA">
                  <w:pPr>
                    <w:pStyle w:val="24"/>
                    <w:bidi w:val="0"/>
                    <w:jc w:val="center"/>
                    <w:rPr>
                      <w:rFonts w:hint="default"/>
                      <w:color w:val="auto"/>
                      <w:vertAlign w:val="baseline"/>
                      <w:lang w:val="en-US" w:eastAsia="zh-CN"/>
                    </w:rPr>
                  </w:pPr>
                  <w:r>
                    <w:rPr>
                      <w:rFonts w:hint="eastAsia"/>
                      <w:color w:val="auto"/>
                      <w:vertAlign w:val="baseline"/>
                      <w:lang w:val="en-US" w:eastAsia="zh-CN"/>
                    </w:rPr>
                    <w:t>台（件）数</w:t>
                  </w:r>
                </w:p>
              </w:tc>
              <w:tc>
                <w:tcPr>
                  <w:tcW w:w="1950" w:type="dxa"/>
                  <w:vAlign w:val="center"/>
                </w:tcPr>
                <w:p w14:paraId="4124348F">
                  <w:pPr>
                    <w:pStyle w:val="24"/>
                    <w:bidi w:val="0"/>
                    <w:jc w:val="center"/>
                    <w:rPr>
                      <w:rFonts w:hint="default"/>
                      <w:color w:val="auto"/>
                      <w:vertAlign w:val="baseline"/>
                      <w:lang w:val="en-US" w:eastAsia="zh-CN"/>
                    </w:rPr>
                  </w:pPr>
                  <w:r>
                    <w:rPr>
                      <w:rFonts w:hint="eastAsia"/>
                      <w:color w:val="auto"/>
                      <w:vertAlign w:val="baseline"/>
                      <w:lang w:val="en-US" w:eastAsia="zh-CN"/>
                    </w:rPr>
                    <w:t>功率</w:t>
                  </w:r>
                </w:p>
              </w:tc>
            </w:tr>
            <w:tr w14:paraId="4B9C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2C9D6DA6">
                  <w:pPr>
                    <w:pStyle w:val="24"/>
                    <w:bidi w:val="0"/>
                    <w:jc w:val="center"/>
                    <w:rPr>
                      <w:rFonts w:hint="default"/>
                      <w:color w:val="auto"/>
                      <w:vertAlign w:val="baseline"/>
                      <w:lang w:val="en-US" w:eastAsia="zh-CN"/>
                    </w:rPr>
                  </w:pPr>
                  <w:r>
                    <w:rPr>
                      <w:rFonts w:hint="eastAsia"/>
                      <w:color w:val="auto"/>
                      <w:vertAlign w:val="baseline"/>
                      <w:lang w:val="en-US" w:eastAsia="zh-CN"/>
                    </w:rPr>
                    <w:t>1</w:t>
                  </w:r>
                </w:p>
              </w:tc>
              <w:tc>
                <w:tcPr>
                  <w:tcW w:w="2310" w:type="dxa"/>
                  <w:vAlign w:val="center"/>
                </w:tcPr>
                <w:p w14:paraId="32A7B903">
                  <w:pPr>
                    <w:pStyle w:val="24"/>
                    <w:bidi w:val="0"/>
                    <w:jc w:val="center"/>
                    <w:rPr>
                      <w:rFonts w:hint="default"/>
                      <w:color w:val="auto"/>
                      <w:vertAlign w:val="baseline"/>
                      <w:lang w:val="en-US" w:eastAsia="zh-CN"/>
                    </w:rPr>
                  </w:pPr>
                  <w:r>
                    <w:rPr>
                      <w:rFonts w:hint="eastAsia"/>
                      <w:color w:val="auto"/>
                      <w:vertAlign w:val="baseline"/>
                      <w:lang w:val="en-US" w:eastAsia="zh-CN"/>
                    </w:rPr>
                    <w:t>搅拌机</w:t>
                  </w:r>
                </w:p>
              </w:tc>
              <w:tc>
                <w:tcPr>
                  <w:tcW w:w="1575" w:type="dxa"/>
                  <w:vAlign w:val="center"/>
                </w:tcPr>
                <w:p w14:paraId="18B6FCEA">
                  <w:pPr>
                    <w:pStyle w:val="24"/>
                    <w:bidi w:val="0"/>
                    <w:jc w:val="center"/>
                    <w:rPr>
                      <w:rFonts w:hint="default"/>
                      <w:color w:val="auto"/>
                      <w:vertAlign w:val="baseline"/>
                      <w:lang w:val="en-US" w:eastAsia="zh-CN"/>
                    </w:rPr>
                  </w:pPr>
                  <w:r>
                    <w:rPr>
                      <w:rFonts w:hint="eastAsia"/>
                      <w:color w:val="auto"/>
                      <w:vertAlign w:val="baseline"/>
                      <w:lang w:val="en-US" w:eastAsia="zh-CN"/>
                    </w:rPr>
                    <w:t>Φ1600</w:t>
                  </w:r>
                </w:p>
              </w:tc>
              <w:tc>
                <w:tcPr>
                  <w:tcW w:w="1320" w:type="dxa"/>
                  <w:vAlign w:val="center"/>
                </w:tcPr>
                <w:p w14:paraId="306A6E09">
                  <w:pPr>
                    <w:pStyle w:val="24"/>
                    <w:bidi w:val="0"/>
                    <w:jc w:val="center"/>
                    <w:rPr>
                      <w:rFonts w:hint="default"/>
                      <w:color w:val="auto"/>
                      <w:vertAlign w:val="baseline"/>
                      <w:lang w:val="en-US" w:eastAsia="zh-CN"/>
                    </w:rPr>
                  </w:pPr>
                  <w:r>
                    <w:rPr>
                      <w:rFonts w:hint="eastAsia"/>
                      <w:color w:val="auto"/>
                      <w:vertAlign w:val="baseline"/>
                      <w:lang w:val="en-US" w:eastAsia="zh-CN"/>
                    </w:rPr>
                    <w:t>1</w:t>
                  </w:r>
                </w:p>
              </w:tc>
              <w:tc>
                <w:tcPr>
                  <w:tcW w:w="1950" w:type="dxa"/>
                  <w:vAlign w:val="center"/>
                </w:tcPr>
                <w:p w14:paraId="029BAA17">
                  <w:pPr>
                    <w:pStyle w:val="24"/>
                    <w:bidi w:val="0"/>
                    <w:jc w:val="center"/>
                    <w:rPr>
                      <w:rFonts w:hint="default"/>
                      <w:color w:val="auto"/>
                      <w:vertAlign w:val="baseline"/>
                      <w:lang w:val="en-US" w:eastAsia="zh-CN"/>
                    </w:rPr>
                  </w:pPr>
                  <w:r>
                    <w:rPr>
                      <w:rFonts w:hint="eastAsia"/>
                      <w:color w:val="auto"/>
                      <w:vertAlign w:val="baseline"/>
                      <w:lang w:val="en-US" w:eastAsia="zh-CN"/>
                    </w:rPr>
                    <w:t>15kw</w:t>
                  </w:r>
                </w:p>
              </w:tc>
            </w:tr>
            <w:tr w14:paraId="3093F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17AC0CBD">
                  <w:pPr>
                    <w:pStyle w:val="24"/>
                    <w:bidi w:val="0"/>
                    <w:jc w:val="center"/>
                    <w:rPr>
                      <w:rFonts w:hint="default"/>
                      <w:color w:val="auto"/>
                      <w:vertAlign w:val="baseline"/>
                      <w:lang w:val="en-US" w:eastAsia="zh-CN"/>
                    </w:rPr>
                  </w:pPr>
                  <w:r>
                    <w:rPr>
                      <w:rFonts w:hint="eastAsia"/>
                      <w:color w:val="auto"/>
                      <w:vertAlign w:val="baseline"/>
                      <w:lang w:val="en-US" w:eastAsia="zh-CN"/>
                    </w:rPr>
                    <w:t>2</w:t>
                  </w:r>
                </w:p>
              </w:tc>
              <w:tc>
                <w:tcPr>
                  <w:tcW w:w="2310" w:type="dxa"/>
                  <w:vAlign w:val="center"/>
                </w:tcPr>
                <w:p w14:paraId="6A6DFEC6">
                  <w:pPr>
                    <w:pStyle w:val="24"/>
                    <w:bidi w:val="0"/>
                    <w:jc w:val="center"/>
                    <w:rPr>
                      <w:rFonts w:hint="eastAsia"/>
                      <w:color w:val="auto"/>
                      <w:vertAlign w:val="baseline"/>
                      <w:lang w:val="en-US" w:eastAsia="zh-CN"/>
                    </w:rPr>
                  </w:pPr>
                  <w:r>
                    <w:rPr>
                      <w:rFonts w:hint="eastAsia"/>
                      <w:color w:val="auto"/>
                      <w:vertAlign w:val="baseline"/>
                      <w:lang w:val="en-US" w:eastAsia="zh-CN"/>
                    </w:rPr>
                    <w:t>挤压造粒机</w:t>
                  </w:r>
                </w:p>
              </w:tc>
              <w:tc>
                <w:tcPr>
                  <w:tcW w:w="1575" w:type="dxa"/>
                  <w:vAlign w:val="center"/>
                </w:tcPr>
                <w:p w14:paraId="328C9687">
                  <w:pPr>
                    <w:pStyle w:val="24"/>
                    <w:bidi w:val="0"/>
                    <w:jc w:val="center"/>
                    <w:rPr>
                      <w:rFonts w:hint="default"/>
                      <w:color w:val="auto"/>
                      <w:vertAlign w:val="baseline"/>
                      <w:lang w:val="en-US" w:eastAsia="zh-CN"/>
                    </w:rPr>
                  </w:pPr>
                  <w:r>
                    <w:rPr>
                      <w:rFonts w:hint="eastAsia"/>
                      <w:color w:val="auto"/>
                      <w:vertAlign w:val="baseline"/>
                      <w:lang w:val="en-US" w:eastAsia="zh-CN"/>
                    </w:rPr>
                    <w:t>0.5t/h</w:t>
                  </w:r>
                </w:p>
              </w:tc>
              <w:tc>
                <w:tcPr>
                  <w:tcW w:w="1320" w:type="dxa"/>
                  <w:vAlign w:val="center"/>
                </w:tcPr>
                <w:p w14:paraId="5B2487FB">
                  <w:pPr>
                    <w:pStyle w:val="24"/>
                    <w:bidi w:val="0"/>
                    <w:jc w:val="center"/>
                    <w:rPr>
                      <w:rFonts w:hint="default"/>
                      <w:color w:val="auto"/>
                      <w:vertAlign w:val="baseline"/>
                      <w:lang w:val="en-US" w:eastAsia="zh-CN"/>
                    </w:rPr>
                  </w:pPr>
                  <w:r>
                    <w:rPr>
                      <w:rFonts w:hint="eastAsia"/>
                      <w:color w:val="auto"/>
                      <w:vertAlign w:val="baseline"/>
                      <w:lang w:val="en-US" w:eastAsia="zh-CN"/>
                    </w:rPr>
                    <w:t>16</w:t>
                  </w:r>
                </w:p>
              </w:tc>
              <w:tc>
                <w:tcPr>
                  <w:tcW w:w="1950" w:type="dxa"/>
                  <w:vAlign w:val="center"/>
                </w:tcPr>
                <w:p w14:paraId="4445E309">
                  <w:pPr>
                    <w:pStyle w:val="24"/>
                    <w:bidi w:val="0"/>
                    <w:jc w:val="center"/>
                    <w:rPr>
                      <w:rFonts w:hint="eastAsia"/>
                      <w:color w:val="auto"/>
                      <w:vertAlign w:val="baseline"/>
                      <w:lang w:val="en-US" w:eastAsia="zh-CN"/>
                    </w:rPr>
                  </w:pPr>
                  <w:r>
                    <w:rPr>
                      <w:rFonts w:hint="eastAsia"/>
                      <w:color w:val="auto"/>
                      <w:vertAlign w:val="baseline"/>
                      <w:lang w:val="en-US" w:eastAsia="zh-CN"/>
                    </w:rPr>
                    <w:t>22.5kw</w:t>
                  </w:r>
                </w:p>
              </w:tc>
            </w:tr>
            <w:tr w14:paraId="7462A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48D44884">
                  <w:pPr>
                    <w:pStyle w:val="24"/>
                    <w:bidi w:val="0"/>
                    <w:jc w:val="center"/>
                    <w:rPr>
                      <w:rFonts w:hint="default"/>
                      <w:color w:val="auto"/>
                      <w:vertAlign w:val="baseline"/>
                      <w:lang w:val="en-US" w:eastAsia="zh-CN"/>
                    </w:rPr>
                  </w:pPr>
                  <w:r>
                    <w:rPr>
                      <w:rFonts w:hint="eastAsia"/>
                      <w:color w:val="auto"/>
                      <w:vertAlign w:val="baseline"/>
                      <w:lang w:val="en-US" w:eastAsia="zh-CN"/>
                    </w:rPr>
                    <w:t>3</w:t>
                  </w:r>
                </w:p>
              </w:tc>
              <w:tc>
                <w:tcPr>
                  <w:tcW w:w="2310" w:type="dxa"/>
                  <w:vAlign w:val="center"/>
                </w:tcPr>
                <w:p w14:paraId="57241D35">
                  <w:pPr>
                    <w:pStyle w:val="24"/>
                    <w:bidi w:val="0"/>
                    <w:jc w:val="center"/>
                    <w:rPr>
                      <w:rFonts w:hint="default"/>
                      <w:color w:val="auto"/>
                      <w:vertAlign w:val="baseline"/>
                      <w:lang w:val="en-US" w:eastAsia="zh-CN"/>
                    </w:rPr>
                  </w:pPr>
                  <w:r>
                    <w:rPr>
                      <w:rFonts w:hint="eastAsia"/>
                      <w:color w:val="auto"/>
                      <w:vertAlign w:val="baseline"/>
                      <w:lang w:val="en-US" w:eastAsia="zh-CN"/>
                    </w:rPr>
                    <w:t>筛分机1</w:t>
                  </w:r>
                </w:p>
              </w:tc>
              <w:tc>
                <w:tcPr>
                  <w:tcW w:w="1575" w:type="dxa"/>
                  <w:vAlign w:val="center"/>
                </w:tcPr>
                <w:p w14:paraId="0117CBFD">
                  <w:pPr>
                    <w:pStyle w:val="24"/>
                    <w:bidi w:val="0"/>
                    <w:jc w:val="center"/>
                    <w:rPr>
                      <w:rFonts w:hint="default"/>
                      <w:color w:val="auto"/>
                      <w:vertAlign w:val="baseline"/>
                      <w:lang w:val="en-US" w:eastAsia="zh-CN"/>
                    </w:rPr>
                  </w:pPr>
                  <w:r>
                    <w:rPr>
                      <w:rFonts w:hint="eastAsia"/>
                      <w:color w:val="auto"/>
                      <w:vertAlign w:val="baseline"/>
                      <w:lang w:val="en-US" w:eastAsia="zh-CN"/>
                    </w:rPr>
                    <w:t>Φ1.8×7米</w:t>
                  </w:r>
                </w:p>
              </w:tc>
              <w:tc>
                <w:tcPr>
                  <w:tcW w:w="1320" w:type="dxa"/>
                  <w:vAlign w:val="center"/>
                </w:tcPr>
                <w:p w14:paraId="3AC31FDC">
                  <w:pPr>
                    <w:pStyle w:val="24"/>
                    <w:bidi w:val="0"/>
                    <w:jc w:val="center"/>
                    <w:rPr>
                      <w:rFonts w:hint="default"/>
                      <w:color w:val="auto"/>
                      <w:vertAlign w:val="baseline"/>
                      <w:lang w:val="en-US" w:eastAsia="zh-CN"/>
                    </w:rPr>
                  </w:pPr>
                  <w:r>
                    <w:rPr>
                      <w:rFonts w:hint="eastAsia"/>
                      <w:color w:val="auto"/>
                      <w:vertAlign w:val="baseline"/>
                      <w:lang w:val="en-US" w:eastAsia="zh-CN"/>
                    </w:rPr>
                    <w:t>1</w:t>
                  </w:r>
                </w:p>
              </w:tc>
              <w:tc>
                <w:tcPr>
                  <w:tcW w:w="1950" w:type="dxa"/>
                  <w:vAlign w:val="center"/>
                </w:tcPr>
                <w:p w14:paraId="74530AB8">
                  <w:pPr>
                    <w:pStyle w:val="24"/>
                    <w:bidi w:val="0"/>
                    <w:jc w:val="center"/>
                    <w:rPr>
                      <w:rFonts w:hint="eastAsia"/>
                      <w:color w:val="auto"/>
                      <w:vertAlign w:val="baseline"/>
                      <w:lang w:val="en-US" w:eastAsia="zh-CN"/>
                    </w:rPr>
                  </w:pPr>
                  <w:r>
                    <w:rPr>
                      <w:rFonts w:hint="eastAsia"/>
                      <w:color w:val="auto"/>
                      <w:vertAlign w:val="baseline"/>
                      <w:lang w:val="en-US" w:eastAsia="zh-CN"/>
                    </w:rPr>
                    <w:t>7.5kw</w:t>
                  </w:r>
                </w:p>
              </w:tc>
            </w:tr>
            <w:tr w14:paraId="222E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47AA2DFB">
                  <w:pPr>
                    <w:pStyle w:val="24"/>
                    <w:bidi w:val="0"/>
                    <w:jc w:val="center"/>
                    <w:rPr>
                      <w:rFonts w:hint="default"/>
                      <w:color w:val="auto"/>
                      <w:vertAlign w:val="baseline"/>
                      <w:lang w:val="en-US" w:eastAsia="zh-CN"/>
                    </w:rPr>
                  </w:pPr>
                  <w:r>
                    <w:rPr>
                      <w:rFonts w:hint="eastAsia"/>
                      <w:color w:val="auto"/>
                      <w:vertAlign w:val="baseline"/>
                      <w:lang w:val="en-US" w:eastAsia="zh-CN"/>
                    </w:rPr>
                    <w:t>4</w:t>
                  </w:r>
                </w:p>
              </w:tc>
              <w:tc>
                <w:tcPr>
                  <w:tcW w:w="2310" w:type="dxa"/>
                  <w:vAlign w:val="center"/>
                </w:tcPr>
                <w:p w14:paraId="62DA5EEF">
                  <w:pPr>
                    <w:pStyle w:val="24"/>
                    <w:bidi w:val="0"/>
                    <w:jc w:val="center"/>
                    <w:rPr>
                      <w:rFonts w:hint="default"/>
                      <w:color w:val="auto"/>
                      <w:vertAlign w:val="baseline"/>
                      <w:lang w:val="en-US" w:eastAsia="zh-CN"/>
                    </w:rPr>
                  </w:pPr>
                  <w:r>
                    <w:rPr>
                      <w:rFonts w:hint="eastAsia"/>
                      <w:color w:val="auto"/>
                      <w:vertAlign w:val="baseline"/>
                      <w:lang w:val="en-US" w:eastAsia="zh-CN"/>
                    </w:rPr>
                    <w:t>筛分机2</w:t>
                  </w:r>
                </w:p>
              </w:tc>
              <w:tc>
                <w:tcPr>
                  <w:tcW w:w="1575" w:type="dxa"/>
                  <w:vAlign w:val="center"/>
                </w:tcPr>
                <w:p w14:paraId="479D4308">
                  <w:pPr>
                    <w:pStyle w:val="24"/>
                    <w:bidi w:val="0"/>
                    <w:jc w:val="center"/>
                    <w:rPr>
                      <w:rFonts w:hint="eastAsia"/>
                      <w:color w:val="auto"/>
                      <w:vertAlign w:val="baseline"/>
                      <w:lang w:val="en-US" w:eastAsia="zh-CN"/>
                    </w:rPr>
                  </w:pPr>
                  <w:r>
                    <w:rPr>
                      <w:rFonts w:hint="eastAsia"/>
                      <w:color w:val="auto"/>
                      <w:vertAlign w:val="baseline"/>
                      <w:lang w:val="en-US" w:eastAsia="zh-CN"/>
                    </w:rPr>
                    <w:t>Φ1.6×7米</w:t>
                  </w:r>
                </w:p>
              </w:tc>
              <w:tc>
                <w:tcPr>
                  <w:tcW w:w="1320" w:type="dxa"/>
                  <w:vAlign w:val="center"/>
                </w:tcPr>
                <w:p w14:paraId="2852A532">
                  <w:pPr>
                    <w:pStyle w:val="24"/>
                    <w:bidi w:val="0"/>
                    <w:jc w:val="center"/>
                    <w:rPr>
                      <w:rFonts w:hint="default"/>
                      <w:color w:val="auto"/>
                      <w:vertAlign w:val="baseline"/>
                      <w:lang w:val="en-US" w:eastAsia="zh-CN"/>
                    </w:rPr>
                  </w:pPr>
                  <w:r>
                    <w:rPr>
                      <w:rFonts w:hint="eastAsia"/>
                      <w:color w:val="auto"/>
                      <w:vertAlign w:val="baseline"/>
                      <w:lang w:val="en-US" w:eastAsia="zh-CN"/>
                    </w:rPr>
                    <w:t>1</w:t>
                  </w:r>
                </w:p>
              </w:tc>
              <w:tc>
                <w:tcPr>
                  <w:tcW w:w="1950" w:type="dxa"/>
                  <w:vAlign w:val="center"/>
                </w:tcPr>
                <w:p w14:paraId="24C6DDE2">
                  <w:pPr>
                    <w:pStyle w:val="24"/>
                    <w:bidi w:val="0"/>
                    <w:jc w:val="center"/>
                    <w:rPr>
                      <w:rFonts w:hint="eastAsia"/>
                      <w:color w:val="auto"/>
                      <w:vertAlign w:val="baseline"/>
                      <w:lang w:val="en-US" w:eastAsia="zh-CN"/>
                    </w:rPr>
                  </w:pPr>
                  <w:r>
                    <w:rPr>
                      <w:rFonts w:hint="eastAsia"/>
                      <w:color w:val="auto"/>
                      <w:vertAlign w:val="baseline"/>
                      <w:lang w:val="en-US" w:eastAsia="zh-CN"/>
                    </w:rPr>
                    <w:t>7.5kw</w:t>
                  </w:r>
                </w:p>
              </w:tc>
            </w:tr>
            <w:tr w14:paraId="6B7B2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38668C31">
                  <w:pPr>
                    <w:pStyle w:val="24"/>
                    <w:bidi w:val="0"/>
                    <w:jc w:val="center"/>
                    <w:rPr>
                      <w:rFonts w:hint="default"/>
                      <w:color w:val="auto"/>
                      <w:vertAlign w:val="baseline"/>
                      <w:lang w:val="en-US" w:eastAsia="zh-CN"/>
                    </w:rPr>
                  </w:pPr>
                  <w:r>
                    <w:rPr>
                      <w:rFonts w:hint="eastAsia"/>
                      <w:color w:val="auto"/>
                      <w:vertAlign w:val="baseline"/>
                      <w:lang w:val="en-US" w:eastAsia="zh-CN"/>
                    </w:rPr>
                    <w:t>5</w:t>
                  </w:r>
                </w:p>
              </w:tc>
              <w:tc>
                <w:tcPr>
                  <w:tcW w:w="2310" w:type="dxa"/>
                  <w:vAlign w:val="center"/>
                </w:tcPr>
                <w:p w14:paraId="14B735D6">
                  <w:pPr>
                    <w:pStyle w:val="24"/>
                    <w:bidi w:val="0"/>
                    <w:jc w:val="center"/>
                    <w:rPr>
                      <w:rFonts w:hint="default"/>
                      <w:color w:val="auto"/>
                      <w:vertAlign w:val="baseline"/>
                      <w:lang w:val="en-US" w:eastAsia="zh-CN"/>
                    </w:rPr>
                  </w:pPr>
                  <w:r>
                    <w:rPr>
                      <w:rFonts w:hint="eastAsia"/>
                      <w:color w:val="auto"/>
                      <w:vertAlign w:val="baseline"/>
                      <w:lang w:val="en-US" w:eastAsia="zh-CN"/>
                    </w:rPr>
                    <w:t>破碎机</w:t>
                  </w:r>
                </w:p>
              </w:tc>
              <w:tc>
                <w:tcPr>
                  <w:tcW w:w="1575" w:type="dxa"/>
                  <w:vAlign w:val="center"/>
                </w:tcPr>
                <w:p w14:paraId="6EB6666E">
                  <w:pPr>
                    <w:pStyle w:val="24"/>
                    <w:bidi w:val="0"/>
                    <w:jc w:val="center"/>
                    <w:rPr>
                      <w:rFonts w:hint="eastAsia"/>
                      <w:color w:val="auto"/>
                      <w:vertAlign w:val="baseline"/>
                      <w:lang w:val="en-US" w:eastAsia="zh-CN"/>
                    </w:rPr>
                  </w:pPr>
                  <w:r>
                    <w:rPr>
                      <w:rFonts w:hint="eastAsia"/>
                      <w:color w:val="auto"/>
                      <w:vertAlign w:val="baseline"/>
                      <w:lang w:val="en-US" w:eastAsia="zh-CN"/>
                    </w:rPr>
                    <w:t>Φ800</w:t>
                  </w:r>
                </w:p>
              </w:tc>
              <w:tc>
                <w:tcPr>
                  <w:tcW w:w="1320" w:type="dxa"/>
                  <w:vAlign w:val="center"/>
                </w:tcPr>
                <w:p w14:paraId="678751E7">
                  <w:pPr>
                    <w:pStyle w:val="24"/>
                    <w:bidi w:val="0"/>
                    <w:jc w:val="center"/>
                    <w:rPr>
                      <w:rFonts w:hint="default"/>
                      <w:color w:val="auto"/>
                      <w:vertAlign w:val="baseline"/>
                      <w:lang w:val="en-US" w:eastAsia="zh-CN"/>
                    </w:rPr>
                  </w:pPr>
                  <w:r>
                    <w:rPr>
                      <w:rFonts w:hint="eastAsia"/>
                      <w:color w:val="auto"/>
                      <w:vertAlign w:val="baseline"/>
                      <w:lang w:val="en-US" w:eastAsia="zh-CN"/>
                    </w:rPr>
                    <w:t>2</w:t>
                  </w:r>
                </w:p>
              </w:tc>
              <w:tc>
                <w:tcPr>
                  <w:tcW w:w="1950" w:type="dxa"/>
                  <w:vAlign w:val="center"/>
                </w:tcPr>
                <w:p w14:paraId="475FA5B2">
                  <w:pPr>
                    <w:pStyle w:val="24"/>
                    <w:bidi w:val="0"/>
                    <w:jc w:val="center"/>
                    <w:rPr>
                      <w:rFonts w:hint="eastAsia"/>
                      <w:color w:val="auto"/>
                      <w:vertAlign w:val="baseline"/>
                      <w:lang w:val="en-US" w:eastAsia="zh-CN"/>
                    </w:rPr>
                  </w:pPr>
                  <w:r>
                    <w:rPr>
                      <w:rFonts w:hint="eastAsia"/>
                      <w:color w:val="auto"/>
                      <w:vertAlign w:val="baseline"/>
                      <w:lang w:val="en-US" w:eastAsia="zh-CN"/>
                    </w:rPr>
                    <w:t>22kw</w:t>
                  </w:r>
                </w:p>
              </w:tc>
            </w:tr>
            <w:tr w14:paraId="775A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0FB9E3FF">
                  <w:pPr>
                    <w:pStyle w:val="24"/>
                    <w:bidi w:val="0"/>
                    <w:jc w:val="center"/>
                    <w:rPr>
                      <w:rFonts w:hint="default"/>
                      <w:color w:val="auto"/>
                      <w:vertAlign w:val="baseline"/>
                      <w:lang w:val="en-US" w:eastAsia="zh-CN"/>
                    </w:rPr>
                  </w:pPr>
                  <w:r>
                    <w:rPr>
                      <w:rFonts w:hint="eastAsia"/>
                      <w:color w:val="auto"/>
                      <w:vertAlign w:val="baseline"/>
                      <w:lang w:val="en-US" w:eastAsia="zh-CN"/>
                    </w:rPr>
                    <w:t>6</w:t>
                  </w:r>
                </w:p>
              </w:tc>
              <w:tc>
                <w:tcPr>
                  <w:tcW w:w="2310" w:type="dxa"/>
                  <w:vAlign w:val="center"/>
                </w:tcPr>
                <w:p w14:paraId="68AD3891">
                  <w:pPr>
                    <w:pStyle w:val="24"/>
                    <w:bidi w:val="0"/>
                    <w:jc w:val="center"/>
                    <w:rPr>
                      <w:rFonts w:hint="default"/>
                      <w:color w:val="auto"/>
                      <w:vertAlign w:val="baseline"/>
                      <w:lang w:val="en-US" w:eastAsia="zh-CN"/>
                    </w:rPr>
                  </w:pPr>
                  <w:r>
                    <w:rPr>
                      <w:rFonts w:hint="eastAsia"/>
                      <w:color w:val="auto"/>
                      <w:vertAlign w:val="baseline"/>
                      <w:lang w:val="en-US" w:eastAsia="zh-CN"/>
                    </w:rPr>
                    <w:t>朵堆机</w:t>
                  </w:r>
                </w:p>
              </w:tc>
              <w:tc>
                <w:tcPr>
                  <w:tcW w:w="1575" w:type="dxa"/>
                  <w:vAlign w:val="center"/>
                </w:tcPr>
                <w:p w14:paraId="4A0D48EF">
                  <w:pPr>
                    <w:pStyle w:val="24"/>
                    <w:bidi w:val="0"/>
                    <w:jc w:val="center"/>
                    <w:rPr>
                      <w:rFonts w:hint="eastAsia"/>
                      <w:color w:val="auto"/>
                      <w:vertAlign w:val="baseline"/>
                      <w:lang w:val="en-US" w:eastAsia="zh-CN"/>
                    </w:rPr>
                  </w:pPr>
                  <w:r>
                    <w:rPr>
                      <w:rFonts w:hint="eastAsia"/>
                      <w:color w:val="auto"/>
                      <w:vertAlign w:val="baseline"/>
                      <w:lang w:val="en-US" w:eastAsia="zh-CN"/>
                    </w:rPr>
                    <w:t>/</w:t>
                  </w:r>
                </w:p>
              </w:tc>
              <w:tc>
                <w:tcPr>
                  <w:tcW w:w="1320" w:type="dxa"/>
                  <w:vAlign w:val="center"/>
                </w:tcPr>
                <w:p w14:paraId="7F4648E2">
                  <w:pPr>
                    <w:pStyle w:val="24"/>
                    <w:bidi w:val="0"/>
                    <w:jc w:val="center"/>
                    <w:rPr>
                      <w:rFonts w:hint="default"/>
                      <w:color w:val="auto"/>
                      <w:vertAlign w:val="baseline"/>
                      <w:lang w:val="en-US" w:eastAsia="zh-CN"/>
                    </w:rPr>
                  </w:pPr>
                  <w:r>
                    <w:rPr>
                      <w:rFonts w:hint="eastAsia"/>
                      <w:color w:val="auto"/>
                      <w:vertAlign w:val="baseline"/>
                      <w:lang w:val="en-US" w:eastAsia="zh-CN"/>
                    </w:rPr>
                    <w:t>1</w:t>
                  </w:r>
                </w:p>
              </w:tc>
              <w:tc>
                <w:tcPr>
                  <w:tcW w:w="1950" w:type="dxa"/>
                  <w:vAlign w:val="center"/>
                </w:tcPr>
                <w:p w14:paraId="6D2EC599">
                  <w:pPr>
                    <w:pStyle w:val="24"/>
                    <w:bidi w:val="0"/>
                    <w:jc w:val="center"/>
                    <w:rPr>
                      <w:rFonts w:hint="eastAsia"/>
                      <w:color w:val="auto"/>
                      <w:vertAlign w:val="baseline"/>
                      <w:lang w:val="en-US" w:eastAsia="zh-CN"/>
                    </w:rPr>
                  </w:pPr>
                  <w:r>
                    <w:rPr>
                      <w:rFonts w:hint="eastAsia"/>
                      <w:color w:val="auto"/>
                      <w:vertAlign w:val="baseline"/>
                      <w:lang w:val="en-US" w:eastAsia="zh-CN"/>
                    </w:rPr>
                    <w:t>/</w:t>
                  </w:r>
                </w:p>
              </w:tc>
            </w:tr>
            <w:tr w14:paraId="5F0DD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2C125D61">
                  <w:pPr>
                    <w:pStyle w:val="24"/>
                    <w:bidi w:val="0"/>
                    <w:jc w:val="center"/>
                    <w:rPr>
                      <w:rFonts w:hint="default"/>
                      <w:color w:val="auto"/>
                      <w:vertAlign w:val="baseline"/>
                      <w:lang w:val="en-US" w:eastAsia="zh-CN"/>
                    </w:rPr>
                  </w:pPr>
                  <w:r>
                    <w:rPr>
                      <w:rFonts w:hint="eastAsia"/>
                      <w:color w:val="auto"/>
                      <w:vertAlign w:val="baseline"/>
                      <w:lang w:val="en-US" w:eastAsia="zh-CN"/>
                    </w:rPr>
                    <w:t>7</w:t>
                  </w:r>
                </w:p>
              </w:tc>
              <w:tc>
                <w:tcPr>
                  <w:tcW w:w="2310" w:type="dxa"/>
                  <w:vAlign w:val="center"/>
                </w:tcPr>
                <w:p w14:paraId="5A197085">
                  <w:pPr>
                    <w:pStyle w:val="24"/>
                    <w:bidi w:val="0"/>
                    <w:jc w:val="center"/>
                    <w:rPr>
                      <w:rFonts w:hint="eastAsia"/>
                      <w:color w:val="auto"/>
                      <w:vertAlign w:val="baseline"/>
                      <w:lang w:val="en-US" w:eastAsia="zh-CN"/>
                    </w:rPr>
                  </w:pPr>
                  <w:r>
                    <w:rPr>
                      <w:rFonts w:hint="eastAsia"/>
                      <w:color w:val="auto"/>
                      <w:vertAlign w:val="baseline"/>
                      <w:lang w:val="en-US" w:eastAsia="zh-CN"/>
                    </w:rPr>
                    <w:t>包膜机</w:t>
                  </w:r>
                </w:p>
              </w:tc>
              <w:tc>
                <w:tcPr>
                  <w:tcW w:w="1575" w:type="dxa"/>
                  <w:vAlign w:val="center"/>
                </w:tcPr>
                <w:p w14:paraId="6AFB22BF">
                  <w:pPr>
                    <w:pStyle w:val="24"/>
                    <w:bidi w:val="0"/>
                    <w:jc w:val="center"/>
                    <w:rPr>
                      <w:rFonts w:hint="default"/>
                      <w:color w:val="auto"/>
                      <w:vertAlign w:val="baseline"/>
                      <w:lang w:val="en-US" w:eastAsia="zh-CN"/>
                    </w:rPr>
                  </w:pPr>
                  <w:r>
                    <w:rPr>
                      <w:rFonts w:hint="eastAsia"/>
                      <w:color w:val="auto"/>
                      <w:vertAlign w:val="baseline"/>
                      <w:lang w:val="en-US" w:eastAsia="zh-CN"/>
                    </w:rPr>
                    <w:t>Φ1500×6000</w:t>
                  </w:r>
                </w:p>
              </w:tc>
              <w:tc>
                <w:tcPr>
                  <w:tcW w:w="1320" w:type="dxa"/>
                  <w:vAlign w:val="center"/>
                </w:tcPr>
                <w:p w14:paraId="77801806">
                  <w:pPr>
                    <w:pStyle w:val="24"/>
                    <w:bidi w:val="0"/>
                    <w:jc w:val="center"/>
                    <w:rPr>
                      <w:rFonts w:hint="default"/>
                      <w:color w:val="auto"/>
                      <w:vertAlign w:val="baseline"/>
                      <w:lang w:val="en-US" w:eastAsia="zh-CN"/>
                    </w:rPr>
                  </w:pPr>
                  <w:r>
                    <w:rPr>
                      <w:rFonts w:hint="eastAsia"/>
                      <w:color w:val="auto"/>
                      <w:vertAlign w:val="baseline"/>
                      <w:lang w:val="en-US" w:eastAsia="zh-CN"/>
                    </w:rPr>
                    <w:t>1</w:t>
                  </w:r>
                </w:p>
              </w:tc>
              <w:tc>
                <w:tcPr>
                  <w:tcW w:w="1950" w:type="dxa"/>
                  <w:vAlign w:val="center"/>
                </w:tcPr>
                <w:p w14:paraId="0ED8FA83">
                  <w:pPr>
                    <w:pStyle w:val="24"/>
                    <w:bidi w:val="0"/>
                    <w:jc w:val="center"/>
                    <w:rPr>
                      <w:rFonts w:hint="eastAsia"/>
                      <w:color w:val="auto"/>
                      <w:vertAlign w:val="baseline"/>
                      <w:lang w:val="en-US" w:eastAsia="zh-CN"/>
                    </w:rPr>
                  </w:pPr>
                  <w:r>
                    <w:rPr>
                      <w:rFonts w:hint="eastAsia"/>
                      <w:color w:val="auto"/>
                      <w:vertAlign w:val="baseline"/>
                      <w:lang w:val="en-US" w:eastAsia="zh-CN"/>
                    </w:rPr>
                    <w:t>11kw</w:t>
                  </w:r>
                </w:p>
              </w:tc>
            </w:tr>
            <w:tr w14:paraId="55E5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2A4D43A4">
                  <w:pPr>
                    <w:pStyle w:val="24"/>
                    <w:bidi w:val="0"/>
                    <w:jc w:val="center"/>
                    <w:rPr>
                      <w:rFonts w:hint="eastAsia"/>
                      <w:color w:val="auto"/>
                      <w:vertAlign w:val="baseline"/>
                      <w:lang w:val="en-US" w:eastAsia="zh-CN"/>
                    </w:rPr>
                  </w:pPr>
                  <w:r>
                    <w:rPr>
                      <w:rFonts w:hint="eastAsia"/>
                      <w:color w:val="auto"/>
                      <w:vertAlign w:val="baseline"/>
                      <w:lang w:val="en-US" w:eastAsia="zh-CN"/>
                    </w:rPr>
                    <w:t>8</w:t>
                  </w:r>
                </w:p>
              </w:tc>
              <w:tc>
                <w:tcPr>
                  <w:tcW w:w="2310" w:type="dxa"/>
                  <w:vAlign w:val="center"/>
                </w:tcPr>
                <w:p w14:paraId="5AC955A7">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旋风除尘器</w:t>
                  </w:r>
                </w:p>
              </w:tc>
              <w:tc>
                <w:tcPr>
                  <w:tcW w:w="1575" w:type="dxa"/>
                  <w:vAlign w:val="center"/>
                </w:tcPr>
                <w:p w14:paraId="0160CC64">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Φ1200</w:t>
                  </w:r>
                </w:p>
              </w:tc>
              <w:tc>
                <w:tcPr>
                  <w:tcW w:w="1320" w:type="dxa"/>
                  <w:vAlign w:val="center"/>
                </w:tcPr>
                <w:p w14:paraId="732B10E8">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1</w:t>
                  </w:r>
                </w:p>
              </w:tc>
              <w:tc>
                <w:tcPr>
                  <w:tcW w:w="1950" w:type="dxa"/>
                  <w:vAlign w:val="center"/>
                </w:tcPr>
                <w:p w14:paraId="6CFAFB37">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w:t>
                  </w:r>
                </w:p>
              </w:tc>
            </w:tr>
            <w:tr w14:paraId="5D224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15803295">
                  <w:pPr>
                    <w:pStyle w:val="24"/>
                    <w:bidi w:val="0"/>
                    <w:jc w:val="center"/>
                    <w:rPr>
                      <w:rFonts w:hint="default"/>
                      <w:color w:val="auto"/>
                      <w:vertAlign w:val="baseline"/>
                      <w:lang w:val="en-US" w:eastAsia="zh-CN"/>
                    </w:rPr>
                  </w:pPr>
                  <w:r>
                    <w:rPr>
                      <w:rFonts w:hint="eastAsia"/>
                      <w:color w:val="auto"/>
                      <w:vertAlign w:val="baseline"/>
                      <w:lang w:val="en-US" w:eastAsia="zh-CN"/>
                    </w:rPr>
                    <w:t>9</w:t>
                  </w:r>
                </w:p>
              </w:tc>
              <w:tc>
                <w:tcPr>
                  <w:tcW w:w="2310" w:type="dxa"/>
                  <w:vAlign w:val="center"/>
                </w:tcPr>
                <w:p w14:paraId="560FB724">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布袋除尘器</w:t>
                  </w:r>
                </w:p>
              </w:tc>
              <w:tc>
                <w:tcPr>
                  <w:tcW w:w="1575" w:type="dxa"/>
                  <w:vAlign w:val="center"/>
                </w:tcPr>
                <w:p w14:paraId="36DF0CF4">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Φ1200</w:t>
                  </w:r>
                </w:p>
              </w:tc>
              <w:tc>
                <w:tcPr>
                  <w:tcW w:w="1320" w:type="dxa"/>
                  <w:vAlign w:val="center"/>
                </w:tcPr>
                <w:p w14:paraId="6DE251B8">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1</w:t>
                  </w:r>
                </w:p>
              </w:tc>
              <w:tc>
                <w:tcPr>
                  <w:tcW w:w="1950" w:type="dxa"/>
                  <w:vAlign w:val="center"/>
                </w:tcPr>
                <w:p w14:paraId="5F3B18E2">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w:t>
                  </w:r>
                </w:p>
              </w:tc>
            </w:tr>
            <w:tr w14:paraId="147D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407FEA7A">
                  <w:pPr>
                    <w:pStyle w:val="24"/>
                    <w:bidi w:val="0"/>
                    <w:jc w:val="center"/>
                    <w:rPr>
                      <w:rFonts w:hint="default"/>
                      <w:color w:val="auto"/>
                      <w:vertAlign w:val="baseline"/>
                      <w:lang w:val="en-US" w:eastAsia="zh-CN"/>
                    </w:rPr>
                  </w:pPr>
                  <w:r>
                    <w:rPr>
                      <w:rFonts w:hint="eastAsia"/>
                      <w:color w:val="auto"/>
                      <w:vertAlign w:val="baseline"/>
                      <w:lang w:val="en-US" w:eastAsia="zh-CN"/>
                    </w:rPr>
                    <w:t>10</w:t>
                  </w:r>
                </w:p>
              </w:tc>
              <w:tc>
                <w:tcPr>
                  <w:tcW w:w="2310" w:type="dxa"/>
                  <w:vAlign w:val="center"/>
                </w:tcPr>
                <w:p w14:paraId="24B0F9EE">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冷却滚筒</w:t>
                  </w:r>
                </w:p>
              </w:tc>
              <w:tc>
                <w:tcPr>
                  <w:tcW w:w="1575" w:type="dxa"/>
                  <w:vAlign w:val="center"/>
                </w:tcPr>
                <w:p w14:paraId="045EEA0D">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Φ2.2×22米</w:t>
                  </w:r>
                </w:p>
              </w:tc>
              <w:tc>
                <w:tcPr>
                  <w:tcW w:w="1320" w:type="dxa"/>
                  <w:vAlign w:val="center"/>
                </w:tcPr>
                <w:p w14:paraId="71954AC4">
                  <w:pPr>
                    <w:pStyle w:val="24"/>
                    <w:bidi w:val="0"/>
                    <w:jc w:val="center"/>
                    <w:rPr>
                      <w:rFonts w:hint="default"/>
                      <w:color w:val="auto"/>
                      <w:vertAlign w:val="baseline"/>
                      <w:lang w:val="en-US" w:eastAsia="zh-CN"/>
                    </w:rPr>
                  </w:pPr>
                  <w:r>
                    <w:rPr>
                      <w:rFonts w:hint="eastAsia"/>
                      <w:color w:val="auto"/>
                      <w:vertAlign w:val="baseline"/>
                      <w:lang w:val="en-US" w:eastAsia="zh-CN"/>
                    </w:rPr>
                    <w:t>1</w:t>
                  </w:r>
                </w:p>
              </w:tc>
              <w:tc>
                <w:tcPr>
                  <w:tcW w:w="1950" w:type="dxa"/>
                  <w:vAlign w:val="center"/>
                </w:tcPr>
                <w:p w14:paraId="4B4BCDE3">
                  <w:pPr>
                    <w:pStyle w:val="24"/>
                    <w:bidi w:val="0"/>
                    <w:jc w:val="center"/>
                    <w:rPr>
                      <w:rFonts w:hint="eastAsia"/>
                      <w:color w:val="auto"/>
                      <w:vertAlign w:val="baseline"/>
                      <w:lang w:val="en-US" w:eastAsia="zh-CN"/>
                    </w:rPr>
                  </w:pPr>
                  <w:r>
                    <w:rPr>
                      <w:rFonts w:hint="eastAsia"/>
                      <w:color w:val="auto"/>
                      <w:vertAlign w:val="baseline"/>
                      <w:lang w:val="en-US" w:eastAsia="zh-CN"/>
                    </w:rPr>
                    <w:t>/</w:t>
                  </w:r>
                </w:p>
              </w:tc>
            </w:tr>
            <w:tr w14:paraId="759DB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5D411BC4">
                  <w:pPr>
                    <w:pStyle w:val="24"/>
                    <w:bidi w:val="0"/>
                    <w:jc w:val="center"/>
                    <w:rPr>
                      <w:rFonts w:hint="default"/>
                      <w:color w:val="auto"/>
                      <w:vertAlign w:val="baseline"/>
                      <w:lang w:val="en-US" w:eastAsia="zh-CN"/>
                    </w:rPr>
                  </w:pPr>
                  <w:r>
                    <w:rPr>
                      <w:rFonts w:hint="eastAsia"/>
                      <w:color w:val="auto"/>
                      <w:vertAlign w:val="baseline"/>
                      <w:lang w:val="en-US" w:eastAsia="zh-CN"/>
                    </w:rPr>
                    <w:t>12</w:t>
                  </w:r>
                </w:p>
              </w:tc>
              <w:tc>
                <w:tcPr>
                  <w:tcW w:w="2310" w:type="dxa"/>
                  <w:vAlign w:val="center"/>
                </w:tcPr>
                <w:p w14:paraId="7D28F255">
                  <w:pPr>
                    <w:pStyle w:val="24"/>
                    <w:bidi w:val="0"/>
                    <w:jc w:val="center"/>
                    <w:rPr>
                      <w:rFonts w:hint="eastAsia"/>
                      <w:color w:val="auto"/>
                      <w:vertAlign w:val="baseline"/>
                      <w:lang w:val="en-US" w:eastAsia="zh-CN"/>
                    </w:rPr>
                  </w:pPr>
                  <w:r>
                    <w:rPr>
                      <w:rFonts w:hint="eastAsia"/>
                      <w:color w:val="auto"/>
                      <w:vertAlign w:val="baseline"/>
                      <w:lang w:val="en-US" w:eastAsia="zh-CN"/>
                    </w:rPr>
                    <w:t>皮带传输机</w:t>
                  </w:r>
                </w:p>
              </w:tc>
              <w:tc>
                <w:tcPr>
                  <w:tcW w:w="1575" w:type="dxa"/>
                  <w:vAlign w:val="center"/>
                </w:tcPr>
                <w:p w14:paraId="168AB517">
                  <w:pPr>
                    <w:pStyle w:val="24"/>
                    <w:bidi w:val="0"/>
                    <w:jc w:val="center"/>
                    <w:rPr>
                      <w:rFonts w:hint="default"/>
                      <w:color w:val="auto"/>
                      <w:vertAlign w:val="baseline"/>
                      <w:lang w:val="en-US" w:eastAsia="zh-CN"/>
                    </w:rPr>
                  </w:pPr>
                  <w:r>
                    <w:rPr>
                      <w:rFonts w:hint="eastAsia"/>
                      <w:color w:val="auto"/>
                      <w:vertAlign w:val="baseline"/>
                      <w:lang w:val="en-US" w:eastAsia="zh-CN"/>
                    </w:rPr>
                    <w:t>B-650</w:t>
                  </w:r>
                </w:p>
              </w:tc>
              <w:tc>
                <w:tcPr>
                  <w:tcW w:w="1320" w:type="dxa"/>
                  <w:vAlign w:val="center"/>
                </w:tcPr>
                <w:p w14:paraId="7C1B2873">
                  <w:pPr>
                    <w:pStyle w:val="24"/>
                    <w:bidi w:val="0"/>
                    <w:jc w:val="center"/>
                    <w:rPr>
                      <w:rFonts w:hint="default"/>
                      <w:color w:val="auto"/>
                      <w:vertAlign w:val="baseline"/>
                      <w:lang w:val="en-US" w:eastAsia="zh-CN"/>
                    </w:rPr>
                  </w:pPr>
                  <w:r>
                    <w:rPr>
                      <w:rFonts w:hint="eastAsia"/>
                      <w:color w:val="auto"/>
                      <w:vertAlign w:val="baseline"/>
                      <w:lang w:val="en-US" w:eastAsia="zh-CN"/>
                    </w:rPr>
                    <w:t>18</w:t>
                  </w:r>
                </w:p>
              </w:tc>
              <w:tc>
                <w:tcPr>
                  <w:tcW w:w="1950" w:type="dxa"/>
                  <w:vAlign w:val="center"/>
                </w:tcPr>
                <w:p w14:paraId="7C810410">
                  <w:pPr>
                    <w:pStyle w:val="24"/>
                    <w:bidi w:val="0"/>
                    <w:jc w:val="center"/>
                    <w:rPr>
                      <w:rFonts w:hint="eastAsia"/>
                      <w:color w:val="auto"/>
                      <w:vertAlign w:val="baseline"/>
                      <w:lang w:val="en-US" w:eastAsia="zh-CN"/>
                    </w:rPr>
                  </w:pPr>
                  <w:r>
                    <w:rPr>
                      <w:rFonts w:hint="eastAsia"/>
                      <w:color w:val="auto"/>
                      <w:vertAlign w:val="baseline"/>
                      <w:lang w:val="en-US" w:eastAsia="zh-CN"/>
                    </w:rPr>
                    <w:t>3kw</w:t>
                  </w:r>
                </w:p>
              </w:tc>
            </w:tr>
            <w:tr w14:paraId="467F7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1FF25665">
                  <w:pPr>
                    <w:pStyle w:val="24"/>
                    <w:bidi w:val="0"/>
                    <w:jc w:val="center"/>
                    <w:rPr>
                      <w:rFonts w:hint="default"/>
                      <w:color w:val="auto"/>
                      <w:vertAlign w:val="baseline"/>
                      <w:lang w:val="en-US" w:eastAsia="zh-CN"/>
                    </w:rPr>
                  </w:pPr>
                  <w:r>
                    <w:rPr>
                      <w:rFonts w:hint="eastAsia"/>
                      <w:color w:val="auto"/>
                      <w:vertAlign w:val="baseline"/>
                      <w:lang w:val="en-US" w:eastAsia="zh-CN"/>
                    </w:rPr>
                    <w:t>13</w:t>
                  </w:r>
                </w:p>
              </w:tc>
              <w:tc>
                <w:tcPr>
                  <w:tcW w:w="2310" w:type="dxa"/>
                  <w:vAlign w:val="center"/>
                </w:tcPr>
                <w:p w14:paraId="3518D4C6">
                  <w:pPr>
                    <w:pStyle w:val="24"/>
                    <w:bidi w:val="0"/>
                    <w:jc w:val="center"/>
                    <w:rPr>
                      <w:rFonts w:hint="default"/>
                      <w:color w:val="auto"/>
                      <w:vertAlign w:val="baseline"/>
                      <w:lang w:val="en-US" w:eastAsia="zh-CN"/>
                    </w:rPr>
                  </w:pPr>
                  <w:r>
                    <w:rPr>
                      <w:rFonts w:hint="eastAsia"/>
                      <w:color w:val="auto"/>
                      <w:u w:val="single"/>
                      <w:vertAlign w:val="baseline"/>
                      <w:lang w:val="en-US" w:eastAsia="zh-CN"/>
                    </w:rPr>
                    <w:t>轻质柴油（0#）热风炉</w:t>
                  </w:r>
                </w:p>
              </w:tc>
              <w:tc>
                <w:tcPr>
                  <w:tcW w:w="1575" w:type="dxa"/>
                  <w:vAlign w:val="center"/>
                </w:tcPr>
                <w:p w14:paraId="35C72962">
                  <w:pPr>
                    <w:pStyle w:val="24"/>
                    <w:bidi w:val="0"/>
                    <w:jc w:val="center"/>
                    <w:rPr>
                      <w:rFonts w:hint="default"/>
                      <w:color w:val="auto"/>
                      <w:vertAlign w:val="baseline"/>
                      <w:lang w:val="en-US" w:eastAsia="zh-CN"/>
                    </w:rPr>
                  </w:pPr>
                  <w:r>
                    <w:rPr>
                      <w:rFonts w:hint="eastAsia"/>
                      <w:color w:val="auto"/>
                      <w:vertAlign w:val="baseline"/>
                      <w:lang w:val="en-US" w:eastAsia="zh-CN"/>
                    </w:rPr>
                    <w:t>/</w:t>
                  </w:r>
                </w:p>
              </w:tc>
              <w:tc>
                <w:tcPr>
                  <w:tcW w:w="1320" w:type="dxa"/>
                  <w:vAlign w:val="center"/>
                </w:tcPr>
                <w:p w14:paraId="5E0E2288">
                  <w:pPr>
                    <w:pStyle w:val="24"/>
                    <w:bidi w:val="0"/>
                    <w:jc w:val="center"/>
                    <w:rPr>
                      <w:rFonts w:hint="default"/>
                      <w:color w:val="auto"/>
                      <w:vertAlign w:val="baseline"/>
                      <w:lang w:val="en-US" w:eastAsia="zh-CN"/>
                    </w:rPr>
                  </w:pPr>
                  <w:r>
                    <w:rPr>
                      <w:rFonts w:hint="eastAsia"/>
                      <w:color w:val="auto"/>
                      <w:vertAlign w:val="baseline"/>
                      <w:lang w:val="en-US" w:eastAsia="zh-CN"/>
                    </w:rPr>
                    <w:t>1</w:t>
                  </w:r>
                </w:p>
              </w:tc>
              <w:tc>
                <w:tcPr>
                  <w:tcW w:w="1950" w:type="dxa"/>
                  <w:vAlign w:val="center"/>
                </w:tcPr>
                <w:p w14:paraId="2F7FC056">
                  <w:pPr>
                    <w:pStyle w:val="24"/>
                    <w:bidi w:val="0"/>
                    <w:jc w:val="center"/>
                    <w:rPr>
                      <w:rFonts w:hint="eastAsia"/>
                      <w:color w:val="auto"/>
                      <w:vertAlign w:val="baseline"/>
                      <w:lang w:val="en-US" w:eastAsia="zh-CN"/>
                    </w:rPr>
                  </w:pPr>
                  <w:r>
                    <w:rPr>
                      <w:rFonts w:hint="eastAsia"/>
                      <w:color w:val="auto"/>
                      <w:vertAlign w:val="baseline"/>
                      <w:lang w:val="en-US" w:eastAsia="zh-CN"/>
                    </w:rPr>
                    <w:t>90万大卡</w:t>
                  </w:r>
                </w:p>
              </w:tc>
            </w:tr>
            <w:tr w14:paraId="7D720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55082B0C">
                  <w:pPr>
                    <w:pStyle w:val="24"/>
                    <w:bidi w:val="0"/>
                    <w:jc w:val="center"/>
                    <w:rPr>
                      <w:rFonts w:hint="default"/>
                      <w:color w:val="auto"/>
                      <w:vertAlign w:val="baseline"/>
                      <w:lang w:val="en-US" w:eastAsia="zh-CN"/>
                    </w:rPr>
                  </w:pPr>
                  <w:r>
                    <w:rPr>
                      <w:rFonts w:hint="eastAsia"/>
                      <w:color w:val="auto"/>
                      <w:vertAlign w:val="baseline"/>
                      <w:lang w:val="en-US" w:eastAsia="zh-CN"/>
                    </w:rPr>
                    <w:t>14</w:t>
                  </w:r>
                </w:p>
              </w:tc>
              <w:tc>
                <w:tcPr>
                  <w:tcW w:w="2310" w:type="dxa"/>
                  <w:vAlign w:val="center"/>
                </w:tcPr>
                <w:p w14:paraId="449B7FD8">
                  <w:pPr>
                    <w:pStyle w:val="24"/>
                    <w:bidi w:val="0"/>
                    <w:jc w:val="center"/>
                    <w:rPr>
                      <w:rFonts w:hint="default"/>
                      <w:color w:val="auto"/>
                      <w:vertAlign w:val="baseline"/>
                      <w:lang w:val="en-US" w:eastAsia="zh-CN"/>
                    </w:rPr>
                  </w:pPr>
                  <w:r>
                    <w:rPr>
                      <w:rFonts w:hint="eastAsia"/>
                      <w:color w:val="auto"/>
                      <w:u w:val="single"/>
                      <w:vertAlign w:val="baseline"/>
                      <w:lang w:val="en-US" w:eastAsia="zh-CN"/>
                    </w:rPr>
                    <w:t>烘干滚筒</w:t>
                  </w:r>
                </w:p>
              </w:tc>
              <w:tc>
                <w:tcPr>
                  <w:tcW w:w="1575" w:type="dxa"/>
                  <w:vAlign w:val="center"/>
                </w:tcPr>
                <w:p w14:paraId="7B25751D">
                  <w:pPr>
                    <w:pStyle w:val="24"/>
                    <w:bidi w:val="0"/>
                    <w:jc w:val="center"/>
                    <w:rPr>
                      <w:rFonts w:hint="default"/>
                      <w:color w:val="auto"/>
                      <w:vertAlign w:val="baseline"/>
                      <w:lang w:val="en-US" w:eastAsia="zh-CN"/>
                    </w:rPr>
                  </w:pPr>
                  <w:r>
                    <w:rPr>
                      <w:rFonts w:hint="eastAsia"/>
                      <w:color w:val="auto"/>
                      <w:vertAlign w:val="baseline"/>
                      <w:lang w:val="en-US" w:eastAsia="zh-CN"/>
                    </w:rPr>
                    <w:t>Φ2.0×20米</w:t>
                  </w:r>
                </w:p>
              </w:tc>
              <w:tc>
                <w:tcPr>
                  <w:tcW w:w="1320" w:type="dxa"/>
                  <w:vAlign w:val="center"/>
                </w:tcPr>
                <w:p w14:paraId="73FDE1E6">
                  <w:pPr>
                    <w:pStyle w:val="24"/>
                    <w:bidi w:val="0"/>
                    <w:jc w:val="center"/>
                    <w:rPr>
                      <w:rFonts w:hint="default"/>
                      <w:color w:val="auto"/>
                      <w:vertAlign w:val="baseline"/>
                      <w:lang w:val="en-US" w:eastAsia="zh-CN"/>
                    </w:rPr>
                  </w:pPr>
                  <w:r>
                    <w:rPr>
                      <w:rFonts w:hint="eastAsia"/>
                      <w:color w:val="auto"/>
                      <w:vertAlign w:val="baseline"/>
                      <w:lang w:val="en-US" w:eastAsia="zh-CN"/>
                    </w:rPr>
                    <w:t>1</w:t>
                  </w:r>
                </w:p>
              </w:tc>
              <w:tc>
                <w:tcPr>
                  <w:tcW w:w="1950" w:type="dxa"/>
                  <w:vAlign w:val="center"/>
                </w:tcPr>
                <w:p w14:paraId="2BE9D9ED">
                  <w:pPr>
                    <w:pStyle w:val="24"/>
                    <w:bidi w:val="0"/>
                    <w:jc w:val="center"/>
                    <w:rPr>
                      <w:rFonts w:hint="eastAsia"/>
                      <w:color w:val="auto"/>
                      <w:vertAlign w:val="baseline"/>
                      <w:lang w:val="en-US" w:eastAsia="zh-CN"/>
                    </w:rPr>
                  </w:pPr>
                  <w:r>
                    <w:rPr>
                      <w:rFonts w:hint="eastAsia"/>
                      <w:color w:val="auto"/>
                      <w:vertAlign w:val="baseline"/>
                      <w:lang w:val="en-US" w:eastAsia="zh-CN"/>
                    </w:rPr>
                    <w:t>15kw</w:t>
                  </w:r>
                </w:p>
              </w:tc>
            </w:tr>
            <w:tr w14:paraId="06AB5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1E5E7617">
                  <w:pPr>
                    <w:pStyle w:val="24"/>
                    <w:bidi w:val="0"/>
                    <w:jc w:val="center"/>
                    <w:rPr>
                      <w:rFonts w:hint="default"/>
                      <w:color w:val="auto"/>
                      <w:vertAlign w:val="baseline"/>
                      <w:lang w:val="en-US" w:eastAsia="zh-CN"/>
                    </w:rPr>
                  </w:pPr>
                  <w:r>
                    <w:rPr>
                      <w:rFonts w:hint="eastAsia"/>
                      <w:color w:val="auto"/>
                      <w:vertAlign w:val="baseline"/>
                      <w:lang w:val="en-US" w:eastAsia="zh-CN"/>
                    </w:rPr>
                    <w:t>15</w:t>
                  </w:r>
                </w:p>
              </w:tc>
              <w:tc>
                <w:tcPr>
                  <w:tcW w:w="2310" w:type="dxa"/>
                  <w:vAlign w:val="center"/>
                </w:tcPr>
                <w:p w14:paraId="73CA254F">
                  <w:pPr>
                    <w:pStyle w:val="24"/>
                    <w:bidi w:val="0"/>
                    <w:jc w:val="center"/>
                    <w:rPr>
                      <w:rFonts w:hint="default"/>
                      <w:color w:val="auto"/>
                      <w:vertAlign w:val="baseline"/>
                      <w:lang w:val="en-US" w:eastAsia="zh-CN"/>
                    </w:rPr>
                  </w:pPr>
                  <w:r>
                    <w:rPr>
                      <w:rFonts w:hint="eastAsia"/>
                      <w:color w:val="auto"/>
                      <w:vertAlign w:val="baseline"/>
                      <w:lang w:val="en-US" w:eastAsia="zh-CN"/>
                    </w:rPr>
                    <w:t>电子秤</w:t>
                  </w:r>
                </w:p>
              </w:tc>
              <w:tc>
                <w:tcPr>
                  <w:tcW w:w="1575" w:type="dxa"/>
                  <w:vAlign w:val="center"/>
                </w:tcPr>
                <w:p w14:paraId="6057FAA7">
                  <w:pPr>
                    <w:pStyle w:val="24"/>
                    <w:bidi w:val="0"/>
                    <w:jc w:val="center"/>
                    <w:rPr>
                      <w:rFonts w:hint="default"/>
                      <w:color w:val="auto"/>
                      <w:vertAlign w:val="baseline"/>
                      <w:lang w:val="en-US" w:eastAsia="zh-CN"/>
                    </w:rPr>
                  </w:pPr>
                  <w:r>
                    <w:rPr>
                      <w:rFonts w:hint="eastAsia"/>
                      <w:color w:val="auto"/>
                      <w:vertAlign w:val="baseline"/>
                      <w:lang w:val="en-US" w:eastAsia="zh-CN"/>
                    </w:rPr>
                    <w:t>8个配料口</w:t>
                  </w:r>
                </w:p>
              </w:tc>
              <w:tc>
                <w:tcPr>
                  <w:tcW w:w="1320" w:type="dxa"/>
                  <w:vAlign w:val="center"/>
                </w:tcPr>
                <w:p w14:paraId="7C41A20A">
                  <w:pPr>
                    <w:pStyle w:val="24"/>
                    <w:bidi w:val="0"/>
                    <w:jc w:val="center"/>
                    <w:rPr>
                      <w:rFonts w:hint="default"/>
                      <w:color w:val="auto"/>
                      <w:vertAlign w:val="baseline"/>
                      <w:lang w:val="en-US" w:eastAsia="zh-CN"/>
                    </w:rPr>
                  </w:pPr>
                  <w:r>
                    <w:rPr>
                      <w:rFonts w:hint="eastAsia"/>
                      <w:color w:val="auto"/>
                      <w:vertAlign w:val="baseline"/>
                      <w:lang w:val="en-US" w:eastAsia="zh-CN"/>
                    </w:rPr>
                    <w:t>1</w:t>
                  </w:r>
                </w:p>
              </w:tc>
              <w:tc>
                <w:tcPr>
                  <w:tcW w:w="1950" w:type="dxa"/>
                  <w:vAlign w:val="center"/>
                </w:tcPr>
                <w:p w14:paraId="5B4AF3F9">
                  <w:pPr>
                    <w:pStyle w:val="24"/>
                    <w:bidi w:val="0"/>
                    <w:jc w:val="center"/>
                    <w:rPr>
                      <w:rFonts w:hint="eastAsia"/>
                      <w:color w:val="auto"/>
                      <w:vertAlign w:val="baseline"/>
                      <w:lang w:val="en-US" w:eastAsia="zh-CN"/>
                    </w:rPr>
                  </w:pPr>
                  <w:r>
                    <w:rPr>
                      <w:rFonts w:hint="eastAsia"/>
                      <w:color w:val="auto"/>
                      <w:vertAlign w:val="baseline"/>
                      <w:lang w:val="en-US" w:eastAsia="zh-CN"/>
                    </w:rPr>
                    <w:t>/</w:t>
                  </w:r>
                </w:p>
              </w:tc>
            </w:tr>
            <w:tr w14:paraId="3E10E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3" w:type="dxa"/>
                  <w:vAlign w:val="center"/>
                </w:tcPr>
                <w:p w14:paraId="6C22AD68">
                  <w:pPr>
                    <w:pStyle w:val="24"/>
                    <w:bidi w:val="0"/>
                    <w:jc w:val="center"/>
                    <w:rPr>
                      <w:rFonts w:hint="default"/>
                      <w:color w:val="auto"/>
                      <w:vertAlign w:val="baseline"/>
                      <w:lang w:val="en-US" w:eastAsia="zh-CN"/>
                    </w:rPr>
                  </w:pPr>
                  <w:r>
                    <w:rPr>
                      <w:rFonts w:hint="eastAsia"/>
                      <w:color w:val="auto"/>
                      <w:vertAlign w:val="baseline"/>
                      <w:lang w:val="en-US" w:eastAsia="zh-CN"/>
                    </w:rPr>
                    <w:t>16</w:t>
                  </w:r>
                </w:p>
              </w:tc>
              <w:tc>
                <w:tcPr>
                  <w:tcW w:w="2310" w:type="dxa"/>
                  <w:vAlign w:val="center"/>
                </w:tcPr>
                <w:p w14:paraId="6A269AFE">
                  <w:pPr>
                    <w:pStyle w:val="24"/>
                    <w:bidi w:val="0"/>
                    <w:jc w:val="center"/>
                    <w:rPr>
                      <w:rFonts w:hint="default"/>
                      <w:color w:val="auto"/>
                      <w:vertAlign w:val="baseline"/>
                      <w:lang w:val="en-US" w:eastAsia="zh-CN"/>
                    </w:rPr>
                  </w:pPr>
                  <w:r>
                    <w:rPr>
                      <w:rFonts w:hint="eastAsia"/>
                      <w:color w:val="auto"/>
                      <w:vertAlign w:val="baseline"/>
                      <w:lang w:val="en-US" w:eastAsia="zh-CN"/>
                    </w:rPr>
                    <w:t>沉降室</w:t>
                  </w:r>
                </w:p>
              </w:tc>
              <w:tc>
                <w:tcPr>
                  <w:tcW w:w="1575" w:type="dxa"/>
                  <w:vAlign w:val="center"/>
                </w:tcPr>
                <w:p w14:paraId="68C0F99B">
                  <w:pPr>
                    <w:pStyle w:val="24"/>
                    <w:bidi w:val="0"/>
                    <w:jc w:val="center"/>
                    <w:rPr>
                      <w:rFonts w:hint="default"/>
                      <w:color w:val="auto"/>
                      <w:vertAlign w:val="baseline"/>
                      <w:lang w:val="en-US" w:eastAsia="zh-CN"/>
                    </w:rPr>
                  </w:pPr>
                  <w:r>
                    <w:rPr>
                      <w:rFonts w:hint="eastAsia"/>
                      <w:color w:val="auto"/>
                      <w:vertAlign w:val="baseline"/>
                      <w:lang w:val="en-US" w:eastAsia="zh-CN"/>
                    </w:rPr>
                    <w:t>20m</w:t>
                  </w:r>
                  <w:r>
                    <w:rPr>
                      <w:rFonts w:hint="eastAsia"/>
                      <w:color w:val="auto"/>
                      <w:vertAlign w:val="superscript"/>
                      <w:lang w:val="en-US" w:eastAsia="zh-CN"/>
                    </w:rPr>
                    <w:t>2</w:t>
                  </w:r>
                </w:p>
              </w:tc>
              <w:tc>
                <w:tcPr>
                  <w:tcW w:w="1320" w:type="dxa"/>
                  <w:vAlign w:val="center"/>
                </w:tcPr>
                <w:p w14:paraId="7BACD255">
                  <w:pPr>
                    <w:pStyle w:val="24"/>
                    <w:bidi w:val="0"/>
                    <w:jc w:val="center"/>
                    <w:rPr>
                      <w:rFonts w:hint="default"/>
                      <w:color w:val="auto"/>
                      <w:vertAlign w:val="baseline"/>
                      <w:lang w:val="en-US" w:eastAsia="zh-CN"/>
                    </w:rPr>
                  </w:pPr>
                  <w:r>
                    <w:rPr>
                      <w:rFonts w:hint="eastAsia"/>
                      <w:color w:val="auto"/>
                      <w:vertAlign w:val="baseline"/>
                      <w:lang w:val="en-US" w:eastAsia="zh-CN"/>
                    </w:rPr>
                    <w:t>1</w:t>
                  </w:r>
                </w:p>
              </w:tc>
              <w:tc>
                <w:tcPr>
                  <w:tcW w:w="1950" w:type="dxa"/>
                  <w:vAlign w:val="center"/>
                </w:tcPr>
                <w:p w14:paraId="6BC49507">
                  <w:pPr>
                    <w:pStyle w:val="24"/>
                    <w:bidi w:val="0"/>
                    <w:jc w:val="center"/>
                    <w:rPr>
                      <w:rFonts w:hint="eastAsia"/>
                      <w:color w:val="auto"/>
                      <w:vertAlign w:val="baseline"/>
                      <w:lang w:val="en-US" w:eastAsia="zh-CN"/>
                    </w:rPr>
                  </w:pPr>
                  <w:r>
                    <w:rPr>
                      <w:rFonts w:hint="eastAsia"/>
                      <w:color w:val="auto"/>
                      <w:vertAlign w:val="baseline"/>
                      <w:lang w:val="en-US" w:eastAsia="zh-CN"/>
                    </w:rPr>
                    <w:t>/</w:t>
                  </w:r>
                </w:p>
              </w:tc>
            </w:tr>
          </w:tbl>
          <w:p w14:paraId="5719ACDC">
            <w:pPr>
              <w:bidi w:val="0"/>
              <w:ind w:left="0" w:leftChars="0" w:firstLine="0" w:firstLineChars="0"/>
              <w:rPr>
                <w:rFonts w:hint="default"/>
                <w:b/>
                <w:bCs/>
                <w:color w:val="auto"/>
                <w:lang w:val="en-US" w:eastAsia="zh-CN"/>
              </w:rPr>
            </w:pPr>
          </w:p>
          <w:p w14:paraId="3866E4C5">
            <w:pPr>
              <w:bidi w:val="0"/>
              <w:ind w:left="0" w:leftChars="0" w:firstLine="482" w:firstLineChars="200"/>
              <w:rPr>
                <w:rFonts w:hint="default"/>
                <w:b/>
                <w:bCs/>
                <w:color w:val="auto"/>
                <w:lang w:val="en-US" w:eastAsia="zh-CN"/>
              </w:rPr>
            </w:pPr>
            <w:r>
              <w:rPr>
                <w:rFonts w:hint="default"/>
                <w:b/>
                <w:bCs/>
                <w:color w:val="auto"/>
                <w:lang w:val="en-US" w:eastAsia="zh-CN"/>
              </w:rPr>
              <w:t>产能匹配性分析：</w:t>
            </w:r>
          </w:p>
          <w:p w14:paraId="6552BA00">
            <w:pPr>
              <w:bidi w:val="0"/>
              <w:rPr>
                <w:rFonts w:hint="eastAsia"/>
                <w:color w:val="auto"/>
                <w:lang w:val="en-US" w:eastAsia="zh-CN"/>
              </w:rPr>
            </w:pPr>
            <w:r>
              <w:rPr>
                <w:rFonts w:hint="default"/>
                <w:color w:val="auto"/>
                <w:lang w:val="en-US" w:eastAsia="zh-CN"/>
              </w:rPr>
              <w:t>本项目实行</w:t>
            </w:r>
            <w:r>
              <w:rPr>
                <w:rFonts w:hint="eastAsia"/>
                <w:color w:val="auto"/>
                <w:lang w:val="en-US" w:eastAsia="zh-CN"/>
              </w:rPr>
              <w:t>1班8</w:t>
            </w:r>
            <w:r>
              <w:rPr>
                <w:rFonts w:hint="default"/>
                <w:color w:val="auto"/>
                <w:lang w:val="en-US" w:eastAsia="zh-CN"/>
              </w:rPr>
              <w:t>小时工作制，年工作日</w:t>
            </w:r>
            <w:r>
              <w:rPr>
                <w:rFonts w:hint="eastAsia"/>
                <w:color w:val="auto"/>
                <w:lang w:val="en-US" w:eastAsia="zh-CN"/>
              </w:rPr>
              <w:t>320</w:t>
            </w:r>
            <w:r>
              <w:rPr>
                <w:rFonts w:hint="default"/>
                <w:color w:val="auto"/>
                <w:lang w:val="en-US" w:eastAsia="zh-CN"/>
              </w:rPr>
              <w:t>天，</w:t>
            </w:r>
            <w:r>
              <w:rPr>
                <w:rFonts w:hint="default"/>
                <w:lang w:val="en-US" w:eastAsia="zh-CN"/>
              </w:rPr>
              <w:t>根据企业配套的主要生产设备的单机产能及生产时间，核算产能匹配性，本项目主要设备产能具体见下表。</w:t>
            </w:r>
            <w:r>
              <w:rPr>
                <w:rFonts w:hint="default"/>
                <w:color w:val="auto"/>
                <w:lang w:val="en-US" w:eastAsia="zh-CN"/>
              </w:rPr>
              <w:t>本项目主要设备产能具体见下表。</w:t>
            </w:r>
          </w:p>
          <w:p w14:paraId="6597F3DF">
            <w:pPr>
              <w:pStyle w:val="23"/>
              <w:bidi w:val="0"/>
              <w:rPr>
                <w:rFonts w:hint="eastAsia"/>
                <w:color w:val="auto"/>
                <w:lang w:val="en-US" w:eastAsia="zh-CN"/>
              </w:rPr>
            </w:pPr>
            <w:r>
              <w:rPr>
                <w:rFonts w:hint="eastAsia"/>
                <w:color w:val="auto"/>
                <w:lang w:val="en-US" w:eastAsia="zh-CN"/>
              </w:rPr>
              <w:t>表2-8  主要设备产能分析表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1965"/>
              <w:gridCol w:w="1425"/>
              <w:gridCol w:w="1785"/>
              <w:gridCol w:w="2014"/>
            </w:tblGrid>
            <w:tr w14:paraId="301B4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14:paraId="76CCE623">
                  <w:pPr>
                    <w:pStyle w:val="24"/>
                    <w:bidi w:val="0"/>
                    <w:rPr>
                      <w:rFonts w:hint="default"/>
                      <w:color w:val="auto"/>
                      <w:lang w:val="en-US" w:eastAsia="zh-CN"/>
                    </w:rPr>
                  </w:pPr>
                  <w:r>
                    <w:rPr>
                      <w:rFonts w:hint="eastAsia"/>
                      <w:color w:val="auto"/>
                      <w:lang w:val="en-US" w:eastAsia="zh-CN"/>
                    </w:rPr>
                    <w:t>序号</w:t>
                  </w:r>
                </w:p>
              </w:tc>
              <w:tc>
                <w:tcPr>
                  <w:tcW w:w="1965" w:type="dxa"/>
                </w:tcPr>
                <w:p w14:paraId="149FA276">
                  <w:pPr>
                    <w:pStyle w:val="24"/>
                    <w:bidi w:val="0"/>
                    <w:rPr>
                      <w:rFonts w:hint="default"/>
                      <w:color w:val="auto"/>
                      <w:lang w:val="en-US" w:eastAsia="zh-CN"/>
                    </w:rPr>
                  </w:pPr>
                  <w:r>
                    <w:rPr>
                      <w:rFonts w:hint="eastAsia"/>
                      <w:color w:val="auto"/>
                      <w:lang w:val="en-US" w:eastAsia="zh-CN"/>
                    </w:rPr>
                    <w:t>设备名称</w:t>
                  </w:r>
                </w:p>
              </w:tc>
              <w:tc>
                <w:tcPr>
                  <w:tcW w:w="1425" w:type="dxa"/>
                </w:tcPr>
                <w:p w14:paraId="2627816D">
                  <w:pPr>
                    <w:pStyle w:val="24"/>
                    <w:bidi w:val="0"/>
                    <w:rPr>
                      <w:rFonts w:hint="default"/>
                      <w:color w:val="auto"/>
                      <w:lang w:val="en-US" w:eastAsia="zh-CN"/>
                    </w:rPr>
                  </w:pPr>
                  <w:r>
                    <w:rPr>
                      <w:rFonts w:hint="eastAsia"/>
                      <w:color w:val="auto"/>
                      <w:lang w:val="en-US" w:eastAsia="zh-CN"/>
                    </w:rPr>
                    <w:t>单机产能</w:t>
                  </w:r>
                </w:p>
              </w:tc>
              <w:tc>
                <w:tcPr>
                  <w:tcW w:w="1785" w:type="dxa"/>
                </w:tcPr>
                <w:p w14:paraId="52E672A8">
                  <w:pPr>
                    <w:pStyle w:val="24"/>
                    <w:bidi w:val="0"/>
                    <w:rPr>
                      <w:rFonts w:hint="default"/>
                      <w:color w:val="auto"/>
                      <w:lang w:val="en-US" w:eastAsia="zh-CN"/>
                    </w:rPr>
                  </w:pPr>
                  <w:r>
                    <w:rPr>
                      <w:rFonts w:hint="eastAsia"/>
                      <w:color w:val="auto"/>
                      <w:lang w:val="en-US" w:eastAsia="zh-CN"/>
                    </w:rPr>
                    <w:t>数量（台）</w:t>
                  </w:r>
                </w:p>
              </w:tc>
              <w:tc>
                <w:tcPr>
                  <w:tcW w:w="2014" w:type="dxa"/>
                </w:tcPr>
                <w:p w14:paraId="72572A3A">
                  <w:pPr>
                    <w:pStyle w:val="24"/>
                    <w:bidi w:val="0"/>
                    <w:rPr>
                      <w:rFonts w:hint="default"/>
                      <w:color w:val="auto"/>
                      <w:lang w:val="en-US" w:eastAsia="zh-CN"/>
                    </w:rPr>
                  </w:pPr>
                  <w:r>
                    <w:rPr>
                      <w:rFonts w:hint="eastAsia"/>
                      <w:color w:val="auto"/>
                      <w:lang w:val="en-US" w:eastAsia="zh-CN"/>
                    </w:rPr>
                    <w:t>总产能（吨/年）</w:t>
                  </w:r>
                </w:p>
              </w:tc>
            </w:tr>
            <w:tr w14:paraId="7B7FB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14:paraId="117BD101">
                  <w:pPr>
                    <w:pStyle w:val="24"/>
                    <w:bidi w:val="0"/>
                    <w:rPr>
                      <w:rFonts w:hint="default"/>
                      <w:color w:val="auto"/>
                      <w:lang w:val="en-US" w:eastAsia="zh-CN"/>
                    </w:rPr>
                  </w:pPr>
                  <w:r>
                    <w:rPr>
                      <w:rFonts w:hint="eastAsia"/>
                      <w:color w:val="auto"/>
                      <w:lang w:val="en-US" w:eastAsia="zh-CN"/>
                    </w:rPr>
                    <w:t>1</w:t>
                  </w:r>
                </w:p>
              </w:tc>
              <w:tc>
                <w:tcPr>
                  <w:tcW w:w="1965" w:type="dxa"/>
                  <w:vAlign w:val="center"/>
                </w:tcPr>
                <w:p w14:paraId="32F7D403">
                  <w:pPr>
                    <w:pStyle w:val="24"/>
                    <w:bidi w:val="0"/>
                    <w:ind w:firstLine="0" w:firstLineChars="0"/>
                    <w:rPr>
                      <w:rFonts w:hint="default"/>
                      <w:color w:val="auto"/>
                      <w:lang w:val="en-US" w:eastAsia="zh-CN"/>
                    </w:rPr>
                  </w:pPr>
                  <w:r>
                    <w:rPr>
                      <w:rFonts w:hint="eastAsia"/>
                      <w:color w:val="auto"/>
                      <w:vertAlign w:val="baseline"/>
                      <w:lang w:val="en-US" w:eastAsia="zh-CN"/>
                    </w:rPr>
                    <w:t>挤压造粒机</w:t>
                  </w:r>
                </w:p>
              </w:tc>
              <w:tc>
                <w:tcPr>
                  <w:tcW w:w="1425" w:type="dxa"/>
                </w:tcPr>
                <w:p w14:paraId="32017E12">
                  <w:pPr>
                    <w:pStyle w:val="24"/>
                    <w:bidi w:val="0"/>
                    <w:rPr>
                      <w:rFonts w:hint="default"/>
                      <w:color w:val="auto"/>
                      <w:lang w:val="en-US" w:eastAsia="zh-CN"/>
                    </w:rPr>
                  </w:pPr>
                  <w:r>
                    <w:rPr>
                      <w:rFonts w:hint="eastAsia"/>
                      <w:color w:val="auto"/>
                      <w:lang w:val="en-US" w:eastAsia="zh-CN"/>
                    </w:rPr>
                    <w:t>0.5t/h</w:t>
                  </w:r>
                </w:p>
              </w:tc>
              <w:tc>
                <w:tcPr>
                  <w:tcW w:w="1785" w:type="dxa"/>
                </w:tcPr>
                <w:p w14:paraId="26246D13">
                  <w:pPr>
                    <w:pStyle w:val="24"/>
                    <w:bidi w:val="0"/>
                    <w:rPr>
                      <w:rFonts w:hint="default"/>
                      <w:color w:val="auto"/>
                      <w:lang w:val="en-US" w:eastAsia="zh-CN"/>
                    </w:rPr>
                  </w:pPr>
                  <w:r>
                    <w:rPr>
                      <w:rFonts w:hint="eastAsia"/>
                      <w:color w:val="auto"/>
                      <w:lang w:val="en-US" w:eastAsia="zh-CN"/>
                    </w:rPr>
                    <w:t>16</w:t>
                  </w:r>
                </w:p>
              </w:tc>
              <w:tc>
                <w:tcPr>
                  <w:tcW w:w="2014" w:type="dxa"/>
                </w:tcPr>
                <w:p w14:paraId="246FB1AC">
                  <w:pPr>
                    <w:pStyle w:val="24"/>
                    <w:bidi w:val="0"/>
                    <w:rPr>
                      <w:rFonts w:hint="default"/>
                      <w:color w:val="auto"/>
                      <w:lang w:val="en-US" w:eastAsia="zh-CN"/>
                    </w:rPr>
                  </w:pPr>
                  <w:r>
                    <w:rPr>
                      <w:rFonts w:hint="eastAsia"/>
                      <w:color w:val="auto"/>
                      <w:lang w:val="en-US" w:eastAsia="zh-CN"/>
                    </w:rPr>
                    <w:t>20480</w:t>
                  </w:r>
                </w:p>
              </w:tc>
            </w:tr>
            <w:tr w14:paraId="14CDF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3" w:type="dxa"/>
                </w:tcPr>
                <w:p w14:paraId="776A04D3">
                  <w:pPr>
                    <w:pStyle w:val="24"/>
                    <w:bidi w:val="0"/>
                    <w:rPr>
                      <w:rFonts w:hint="default"/>
                      <w:color w:val="auto"/>
                      <w:lang w:val="en-US" w:eastAsia="zh-CN"/>
                    </w:rPr>
                  </w:pPr>
                  <w:r>
                    <w:rPr>
                      <w:rFonts w:hint="eastAsia"/>
                      <w:color w:val="auto"/>
                      <w:lang w:val="en-US" w:eastAsia="zh-CN"/>
                    </w:rPr>
                    <w:t>2</w:t>
                  </w:r>
                </w:p>
              </w:tc>
              <w:tc>
                <w:tcPr>
                  <w:tcW w:w="1965" w:type="dxa"/>
                  <w:vAlign w:val="center"/>
                </w:tcPr>
                <w:p w14:paraId="687449B1">
                  <w:pPr>
                    <w:pStyle w:val="24"/>
                    <w:bidi w:val="0"/>
                    <w:ind w:firstLine="0" w:firstLineChars="0"/>
                    <w:rPr>
                      <w:rFonts w:hint="default"/>
                      <w:color w:val="auto"/>
                      <w:vertAlign w:val="baseline"/>
                      <w:lang w:val="en-US" w:eastAsia="zh-CN"/>
                    </w:rPr>
                  </w:pPr>
                  <w:r>
                    <w:rPr>
                      <w:rFonts w:hint="eastAsia"/>
                      <w:color w:val="auto"/>
                      <w:vertAlign w:val="baseline"/>
                      <w:lang w:val="en-US" w:eastAsia="zh-CN"/>
                    </w:rPr>
                    <w:t>搅拌机</w:t>
                  </w:r>
                </w:p>
              </w:tc>
              <w:tc>
                <w:tcPr>
                  <w:tcW w:w="1425" w:type="dxa"/>
                </w:tcPr>
                <w:p w14:paraId="693C3DFA">
                  <w:pPr>
                    <w:pStyle w:val="24"/>
                    <w:bidi w:val="0"/>
                    <w:rPr>
                      <w:rFonts w:hint="default"/>
                      <w:color w:val="auto"/>
                      <w:lang w:val="en-US" w:eastAsia="zh-CN"/>
                    </w:rPr>
                  </w:pPr>
                  <w:r>
                    <w:rPr>
                      <w:rFonts w:hint="eastAsia"/>
                      <w:color w:val="auto"/>
                      <w:lang w:val="en-US" w:eastAsia="zh-CN"/>
                    </w:rPr>
                    <w:t>20t/h</w:t>
                  </w:r>
                </w:p>
              </w:tc>
              <w:tc>
                <w:tcPr>
                  <w:tcW w:w="1785" w:type="dxa"/>
                </w:tcPr>
                <w:p w14:paraId="761E5C70">
                  <w:pPr>
                    <w:pStyle w:val="24"/>
                    <w:bidi w:val="0"/>
                    <w:rPr>
                      <w:rFonts w:hint="default"/>
                      <w:color w:val="auto"/>
                      <w:lang w:val="en-US" w:eastAsia="zh-CN"/>
                    </w:rPr>
                  </w:pPr>
                  <w:r>
                    <w:rPr>
                      <w:rFonts w:hint="eastAsia"/>
                      <w:color w:val="auto"/>
                      <w:lang w:val="en-US" w:eastAsia="zh-CN"/>
                    </w:rPr>
                    <w:t>1</w:t>
                  </w:r>
                </w:p>
              </w:tc>
              <w:tc>
                <w:tcPr>
                  <w:tcW w:w="2014" w:type="dxa"/>
                </w:tcPr>
                <w:p w14:paraId="4CCF64FA">
                  <w:pPr>
                    <w:pStyle w:val="24"/>
                    <w:bidi w:val="0"/>
                    <w:rPr>
                      <w:rFonts w:hint="default"/>
                      <w:color w:val="auto"/>
                      <w:lang w:val="en-US" w:eastAsia="zh-CN"/>
                    </w:rPr>
                  </w:pPr>
                  <w:r>
                    <w:rPr>
                      <w:rFonts w:hint="eastAsia"/>
                      <w:color w:val="auto"/>
                      <w:lang w:val="en-US" w:eastAsia="zh-CN"/>
                    </w:rPr>
                    <w:t>51200</w:t>
                  </w:r>
                </w:p>
              </w:tc>
            </w:tr>
          </w:tbl>
          <w:p w14:paraId="18E39830">
            <w:pPr>
              <w:bidi w:val="0"/>
              <w:rPr>
                <w:rFonts w:hint="default"/>
                <w:color w:val="auto"/>
                <w:lang w:val="en-US" w:eastAsia="zh-CN"/>
              </w:rPr>
            </w:pPr>
            <w:r>
              <w:rPr>
                <w:rFonts w:hint="eastAsia"/>
                <w:color w:val="auto"/>
                <w:lang w:val="en-US" w:eastAsia="zh-CN"/>
              </w:rPr>
              <w:t>根据企业提供单机产能估算，本项目新增设备能满足年产复合肥料2万吨、掺混肥料3万吨的生产需求。</w:t>
            </w:r>
          </w:p>
          <w:p w14:paraId="74356978">
            <w:pPr>
              <w:pStyle w:val="21"/>
              <w:bidi w:val="0"/>
              <w:rPr>
                <w:rFonts w:hint="eastAsia"/>
                <w:color w:val="auto"/>
                <w:lang w:val="en-US" w:eastAsia="zh-CN"/>
              </w:rPr>
            </w:pPr>
            <w:r>
              <w:rPr>
                <w:rFonts w:hint="eastAsia"/>
                <w:color w:val="auto"/>
                <w:lang w:val="en-US" w:eastAsia="zh-CN"/>
              </w:rPr>
              <w:t>7、劳动定员及工作制度</w:t>
            </w:r>
          </w:p>
          <w:p w14:paraId="5CB13AB5">
            <w:pPr>
              <w:bidi w:val="0"/>
              <w:rPr>
                <w:rFonts w:hint="eastAsia"/>
                <w:color w:val="auto"/>
                <w:lang w:val="en-US" w:eastAsia="zh-CN"/>
              </w:rPr>
            </w:pPr>
            <w:r>
              <w:rPr>
                <w:rFonts w:hint="eastAsia"/>
                <w:color w:val="auto"/>
                <w:lang w:val="en-US" w:eastAsia="zh-CN"/>
              </w:rPr>
              <w:t>工作制度：本项目劳动定员20人，年工作时间320天，每天8小时。项目拟聘用当地员工。</w:t>
            </w:r>
          </w:p>
          <w:p w14:paraId="525FBF25">
            <w:pPr>
              <w:pStyle w:val="21"/>
              <w:numPr>
                <w:ilvl w:val="0"/>
                <w:numId w:val="0"/>
              </w:numPr>
              <w:bidi w:val="0"/>
              <w:ind w:firstLine="482" w:firstLineChars="200"/>
              <w:rPr>
                <w:rFonts w:hint="eastAsia"/>
                <w:color w:val="auto"/>
                <w:lang w:val="en-US" w:eastAsia="zh-CN"/>
              </w:rPr>
            </w:pPr>
            <w:r>
              <w:rPr>
                <w:rFonts w:hint="eastAsia" w:cs="Times New Roman"/>
                <w:b/>
                <w:color w:val="auto"/>
                <w:kern w:val="2"/>
                <w:sz w:val="24"/>
                <w:szCs w:val="24"/>
                <w:u w:color="auto"/>
                <w:lang w:val="en-US" w:eastAsia="zh-CN" w:bidi="ar-SA"/>
              </w:rPr>
              <w:t>8</w:t>
            </w:r>
            <w:r>
              <w:rPr>
                <w:rFonts w:hint="eastAsia" w:ascii="Times New Roman" w:hAnsi="Times New Roman" w:eastAsia="宋体" w:cs="Times New Roman"/>
                <w:b/>
                <w:color w:val="auto"/>
                <w:kern w:val="2"/>
                <w:sz w:val="24"/>
                <w:szCs w:val="24"/>
                <w:u w:color="auto"/>
                <w:lang w:val="en-US" w:eastAsia="zh-CN" w:bidi="ar-SA"/>
              </w:rPr>
              <w:t>、</w:t>
            </w:r>
            <w:r>
              <w:rPr>
                <w:rFonts w:hint="eastAsia"/>
                <w:color w:val="auto"/>
                <w:lang w:val="en-US" w:eastAsia="zh-CN"/>
              </w:rPr>
              <w:t>公用工程</w:t>
            </w:r>
          </w:p>
          <w:p w14:paraId="55CDEFCF">
            <w:pPr>
              <w:pStyle w:val="22"/>
              <w:bidi w:val="0"/>
              <w:rPr>
                <w:rFonts w:hint="default"/>
                <w:color w:val="auto"/>
                <w:lang w:val="en-US" w:eastAsia="zh-CN"/>
              </w:rPr>
            </w:pPr>
            <w:r>
              <w:rPr>
                <w:rFonts w:hint="eastAsia"/>
                <w:color w:val="auto"/>
                <w:lang w:val="en-US" w:eastAsia="zh-CN"/>
              </w:rPr>
              <w:t>（1）给水</w:t>
            </w:r>
          </w:p>
          <w:p w14:paraId="67A1B171">
            <w:pPr>
              <w:spacing w:line="360" w:lineRule="auto"/>
              <w:ind w:firstLine="480" w:firstLineChars="200"/>
              <w:jc w:val="left"/>
              <w:rPr>
                <w:rFonts w:hint="default" w:eastAsia="宋体"/>
                <w:sz w:val="24"/>
                <w:szCs w:val="24"/>
                <w:u w:val="single"/>
                <w:lang w:val="en-US" w:eastAsia="zh-CN"/>
              </w:rPr>
            </w:pPr>
            <w:r>
              <w:rPr>
                <w:sz w:val="24"/>
                <w:szCs w:val="24"/>
                <w:u w:val="single"/>
              </w:rPr>
              <w:t>本项目用水采用自来水，</w:t>
            </w:r>
            <w:r>
              <w:rPr>
                <w:rFonts w:hint="eastAsia"/>
                <w:sz w:val="24"/>
                <w:szCs w:val="24"/>
                <w:u w:val="single"/>
                <w:lang w:val="en-US" w:eastAsia="zh-CN"/>
              </w:rPr>
              <w:t>主要为员工生活用水、复合肥生产造粒用水、废气系统喷淋吸收用水。</w:t>
            </w:r>
          </w:p>
          <w:p w14:paraId="3672A054">
            <w:pPr>
              <w:spacing w:line="360" w:lineRule="auto"/>
              <w:ind w:firstLine="480" w:firstLineChars="200"/>
              <w:jc w:val="left"/>
              <w:rPr>
                <w:rFonts w:hint="eastAsia"/>
                <w:color w:val="auto"/>
                <w:u w:val="single"/>
                <w:lang w:val="en-US" w:eastAsia="zh-CN"/>
              </w:rPr>
            </w:pPr>
            <w:r>
              <w:rPr>
                <w:rFonts w:hint="eastAsia" w:ascii="Times New Roman" w:hAnsi="Times New Roman"/>
                <w:bCs/>
                <w:sz w:val="24"/>
              </w:rPr>
              <w:t>①</w:t>
            </w:r>
            <w:r>
              <w:rPr>
                <w:rFonts w:hint="eastAsia"/>
                <w:sz w:val="24"/>
                <w:szCs w:val="24"/>
                <w:u w:val="single"/>
                <w:lang w:val="en-US" w:eastAsia="zh-CN"/>
              </w:rPr>
              <w:t>员工生活用水：项目</w:t>
            </w:r>
            <w:r>
              <w:rPr>
                <w:rFonts w:hint="eastAsia"/>
                <w:color w:val="auto"/>
                <w:u w:val="single"/>
                <w:lang w:val="en-US" w:eastAsia="zh-CN"/>
              </w:rPr>
              <w:t>劳动定员20人，不在厂区住宿，根据《用水定额 第3部分：生活、服务业及建筑业》（DB 43/T 388.3—2025）中相关标准，不在厂区住宿人员生活用水平均按50L/人·天计，则本项目生活用水量为320m</w:t>
            </w:r>
            <w:r>
              <w:rPr>
                <w:rFonts w:hint="eastAsia"/>
                <w:color w:val="auto"/>
                <w:u w:val="single"/>
                <w:vertAlign w:val="superscript"/>
                <w:lang w:val="en-US" w:eastAsia="zh-CN"/>
              </w:rPr>
              <w:t>3</w:t>
            </w:r>
            <w:r>
              <w:rPr>
                <w:rFonts w:hint="eastAsia"/>
                <w:color w:val="auto"/>
                <w:u w:val="single"/>
                <w:lang w:val="en-US" w:eastAsia="zh-CN"/>
              </w:rPr>
              <w:t>/a（1m</w:t>
            </w:r>
            <w:r>
              <w:rPr>
                <w:rFonts w:hint="eastAsia"/>
                <w:color w:val="auto"/>
                <w:u w:val="single"/>
                <w:vertAlign w:val="superscript"/>
                <w:lang w:val="en-US" w:eastAsia="zh-CN"/>
              </w:rPr>
              <w:t>3</w:t>
            </w:r>
            <w:r>
              <w:rPr>
                <w:rFonts w:hint="eastAsia"/>
                <w:color w:val="auto"/>
                <w:u w:val="single"/>
                <w:lang w:val="en-US" w:eastAsia="zh-CN"/>
              </w:rPr>
              <w:t>/d），以排污系数的80%计，则生活污水产生量为256m</w:t>
            </w:r>
            <w:r>
              <w:rPr>
                <w:rFonts w:hint="eastAsia"/>
                <w:color w:val="auto"/>
                <w:u w:val="single"/>
                <w:vertAlign w:val="superscript"/>
                <w:lang w:val="en-US" w:eastAsia="zh-CN"/>
              </w:rPr>
              <w:t>3</w:t>
            </w:r>
            <w:r>
              <w:rPr>
                <w:rFonts w:hint="eastAsia"/>
                <w:color w:val="auto"/>
                <w:u w:val="single"/>
                <w:lang w:val="en-US" w:eastAsia="zh-CN"/>
              </w:rPr>
              <w:t>/a（0.8m</w:t>
            </w:r>
            <w:r>
              <w:rPr>
                <w:rFonts w:hint="eastAsia"/>
                <w:color w:val="auto"/>
                <w:u w:val="single"/>
                <w:vertAlign w:val="superscript"/>
                <w:lang w:val="en-US" w:eastAsia="zh-CN"/>
              </w:rPr>
              <w:t>3</w:t>
            </w:r>
            <w:r>
              <w:rPr>
                <w:rFonts w:hint="eastAsia"/>
                <w:color w:val="auto"/>
                <w:u w:val="single"/>
                <w:lang w:val="en-US" w:eastAsia="zh-CN"/>
              </w:rPr>
              <w:t>/d）。</w:t>
            </w:r>
          </w:p>
          <w:p w14:paraId="070D3C7D">
            <w:pPr>
              <w:pStyle w:val="7"/>
              <w:snapToGrid/>
              <w:spacing w:before="0" w:after="0" w:line="360" w:lineRule="auto"/>
              <w:ind w:right="0" w:firstLine="480" w:firstLineChars="200"/>
              <w:contextualSpacing/>
              <w:jc w:val="left"/>
              <w:rPr>
                <w:rFonts w:hint="eastAsia" w:ascii="Times New Roman" w:hAnsi="Times New Roman"/>
                <w:bCs/>
                <w:sz w:val="24"/>
                <w:u w:val="single"/>
              </w:rPr>
            </w:pPr>
            <w:r>
              <w:rPr>
                <w:rFonts w:hint="eastAsia" w:ascii="Times New Roman" w:hAnsi="Times New Roman"/>
                <w:bCs/>
                <w:sz w:val="24"/>
                <w:u w:val="single"/>
              </w:rPr>
              <w:t>②复</w:t>
            </w:r>
            <w:r>
              <w:rPr>
                <w:rFonts w:hint="eastAsia" w:ascii="Times New Roman" w:hAnsi="Times New Roman"/>
                <w:bCs/>
                <w:sz w:val="24"/>
                <w:u w:val="single"/>
                <w:lang w:val="en-US" w:eastAsia="zh-CN"/>
              </w:rPr>
              <w:t>合</w:t>
            </w:r>
            <w:r>
              <w:rPr>
                <w:rFonts w:hint="eastAsia" w:ascii="Times New Roman" w:hAnsi="Times New Roman"/>
                <w:bCs/>
                <w:sz w:val="24"/>
                <w:u w:val="single"/>
              </w:rPr>
              <w:t>肥生产造粒用水：为满足工艺上造粒需求，复</w:t>
            </w:r>
            <w:r>
              <w:rPr>
                <w:rFonts w:hint="eastAsia"/>
                <w:bCs/>
                <w:sz w:val="24"/>
                <w:u w:val="single"/>
                <w:lang w:val="en-US" w:eastAsia="zh-CN"/>
              </w:rPr>
              <w:t>合</w:t>
            </w:r>
            <w:r>
              <w:rPr>
                <w:rFonts w:hint="eastAsia" w:ascii="Times New Roman" w:hAnsi="Times New Roman"/>
                <w:bCs/>
                <w:sz w:val="24"/>
                <w:u w:val="single"/>
              </w:rPr>
              <w:t>肥生产造粒过程需将保持进造粒机混合原料含水率在2~3%。根据拟定的原料使用方案，</w:t>
            </w:r>
            <w:r>
              <w:rPr>
                <w:rFonts w:hint="eastAsia"/>
                <w:bCs/>
                <w:sz w:val="24"/>
                <w:u w:val="single"/>
                <w:lang w:val="en-US" w:eastAsia="zh-CN"/>
              </w:rPr>
              <w:t>2</w:t>
            </w:r>
            <w:r>
              <w:rPr>
                <w:rFonts w:hint="eastAsia" w:ascii="Times New Roman" w:hAnsi="Times New Roman"/>
                <w:bCs/>
                <w:sz w:val="24"/>
                <w:u w:val="single"/>
                <w:lang w:val="en-US" w:eastAsia="zh-CN"/>
              </w:rPr>
              <w:t>万吨复合肥</w:t>
            </w:r>
            <w:r>
              <w:rPr>
                <w:rFonts w:hint="eastAsia" w:ascii="Times New Roman" w:hAnsi="Times New Roman"/>
                <w:bCs/>
                <w:sz w:val="24"/>
                <w:u w:val="single"/>
              </w:rPr>
              <w:t>造粒过程需用水为</w:t>
            </w:r>
            <w:r>
              <w:rPr>
                <w:rFonts w:hint="eastAsia"/>
                <w:bCs/>
                <w:sz w:val="24"/>
                <w:u w:val="single"/>
                <w:lang w:val="en-US" w:eastAsia="zh-CN"/>
              </w:rPr>
              <w:t>600</w:t>
            </w:r>
            <w:r>
              <w:rPr>
                <w:rFonts w:hint="eastAsia" w:ascii="Times New Roman" w:hAnsi="Times New Roman"/>
                <w:bCs/>
                <w:sz w:val="24"/>
                <w:u w:val="single"/>
              </w:rPr>
              <w:t>t/a（</w:t>
            </w:r>
            <w:r>
              <w:rPr>
                <w:rFonts w:hint="eastAsia"/>
                <w:bCs/>
                <w:sz w:val="24"/>
                <w:u w:val="single"/>
                <w:lang w:val="en-US" w:eastAsia="zh-CN"/>
              </w:rPr>
              <w:t>1.88</w:t>
            </w:r>
            <w:r>
              <w:rPr>
                <w:rFonts w:hint="eastAsia" w:ascii="Times New Roman" w:hAnsi="Times New Roman"/>
                <w:bCs/>
                <w:sz w:val="24"/>
                <w:u w:val="single"/>
              </w:rPr>
              <w:t>m</w:t>
            </w:r>
            <w:r>
              <w:rPr>
                <w:rFonts w:hint="eastAsia" w:ascii="Times New Roman" w:hAnsi="Times New Roman"/>
                <w:bCs/>
                <w:sz w:val="24"/>
                <w:u w:val="single"/>
                <w:vertAlign w:val="superscript"/>
              </w:rPr>
              <w:t>3</w:t>
            </w:r>
            <w:r>
              <w:rPr>
                <w:rFonts w:hint="eastAsia" w:ascii="Times New Roman" w:hAnsi="Times New Roman"/>
                <w:bCs/>
                <w:sz w:val="24"/>
                <w:u w:val="single"/>
              </w:rPr>
              <w:t>/d），全部进入混合物料中，经造粒后进行烘干冷却，烘干冷却过程将大部分水分蒸发出来，少量进入产品。</w:t>
            </w:r>
          </w:p>
          <w:p w14:paraId="41655BD9">
            <w:pPr>
              <w:pStyle w:val="7"/>
              <w:snapToGrid/>
              <w:spacing w:before="0" w:after="0" w:line="360" w:lineRule="auto"/>
              <w:ind w:right="0" w:firstLine="480" w:firstLineChars="200"/>
              <w:contextualSpacing/>
              <w:jc w:val="left"/>
              <w:rPr>
                <w:rFonts w:hint="eastAsia" w:ascii="Times New Roman" w:hAnsi="Times New Roman"/>
                <w:bCs/>
                <w:sz w:val="24"/>
                <w:u w:val="single"/>
              </w:rPr>
            </w:pPr>
            <w:r>
              <w:rPr>
                <w:rFonts w:hint="eastAsia"/>
                <w:sz w:val="24"/>
                <w:u w:val="single"/>
                <w:lang w:val="en-US" w:eastAsia="zh-CN"/>
              </w:rPr>
              <w:t>③废气系统喷淋</w:t>
            </w:r>
            <w:r>
              <w:rPr>
                <w:sz w:val="24"/>
                <w:szCs w:val="24"/>
                <w:u w:val="single"/>
              </w:rPr>
              <w:t>用水</w:t>
            </w:r>
            <w:r>
              <w:rPr>
                <w:rFonts w:hint="eastAsia"/>
                <w:sz w:val="24"/>
                <w:szCs w:val="24"/>
                <w:u w:val="single"/>
                <w:lang w:eastAsia="zh-CN"/>
              </w:rPr>
              <w:t>：</w:t>
            </w:r>
            <w:r>
              <w:rPr>
                <w:rFonts w:hint="eastAsia"/>
                <w:sz w:val="24"/>
                <w:szCs w:val="24"/>
                <w:u w:val="single"/>
                <w:lang w:val="en-US" w:eastAsia="zh-CN"/>
              </w:rPr>
              <w:t>引用同类型项目《福丰肥业有限公司</w:t>
            </w:r>
            <w:r>
              <w:rPr>
                <w:rFonts w:hint="eastAsia"/>
                <w:kern w:val="0"/>
                <w:sz w:val="24"/>
                <w:u w:val="single"/>
              </w:rPr>
              <w:t>年产5万吨有机肥、3万吨有机无机复混肥及2万吨缓释肥技术改造项目竣工环境保护验收监测报告</w:t>
            </w:r>
            <w:r>
              <w:rPr>
                <w:rFonts w:hint="eastAsia"/>
                <w:sz w:val="24"/>
                <w:szCs w:val="24"/>
                <w:u w:val="single"/>
                <w:lang w:val="en-US" w:eastAsia="zh-CN"/>
              </w:rPr>
              <w:t>》，废气处理同样采用喷淋措施。</w:t>
            </w:r>
            <w:r>
              <w:rPr>
                <w:rFonts w:hint="eastAsia" w:ascii="Times New Roman" w:hAnsi="Times New Roman"/>
                <w:bCs/>
                <w:sz w:val="24"/>
                <w:u w:val="single"/>
              </w:rPr>
              <w:t>根据生产</w:t>
            </w:r>
            <w:r>
              <w:rPr>
                <w:rFonts w:hint="eastAsia" w:ascii="Times New Roman" w:hAnsi="Times New Roman"/>
                <w:bCs/>
                <w:sz w:val="24"/>
                <w:u w:val="single"/>
                <w:lang w:val="en-US" w:eastAsia="zh-CN"/>
              </w:rPr>
              <w:t>规模类比</w:t>
            </w:r>
            <w:r>
              <w:rPr>
                <w:rFonts w:hint="eastAsia" w:ascii="Times New Roman" w:hAnsi="Times New Roman"/>
                <w:bCs/>
                <w:sz w:val="24"/>
                <w:u w:val="single"/>
              </w:rPr>
              <w:t>，</w:t>
            </w:r>
            <w:r>
              <w:rPr>
                <w:rFonts w:hint="eastAsia" w:ascii="Times New Roman" w:hAnsi="Times New Roman"/>
                <w:bCs/>
                <w:sz w:val="24"/>
                <w:u w:val="single"/>
                <w:lang w:val="en-US" w:eastAsia="zh-CN"/>
              </w:rPr>
              <w:t>本项目</w:t>
            </w:r>
            <w:r>
              <w:rPr>
                <w:rFonts w:hint="eastAsia" w:ascii="Times New Roman" w:hAnsi="Times New Roman"/>
                <w:bCs/>
                <w:sz w:val="24"/>
                <w:u w:val="single"/>
              </w:rPr>
              <w:t>喷淋系统补充用水量为</w:t>
            </w:r>
            <w:r>
              <w:rPr>
                <w:rFonts w:hint="eastAsia"/>
                <w:bCs/>
                <w:sz w:val="24"/>
                <w:u w:val="single"/>
                <w:lang w:val="en-US" w:eastAsia="zh-CN"/>
              </w:rPr>
              <w:t>460</w:t>
            </w:r>
            <w:r>
              <w:rPr>
                <w:rFonts w:hint="eastAsia" w:ascii="Times New Roman" w:hAnsi="Times New Roman"/>
                <w:bCs/>
                <w:sz w:val="24"/>
                <w:u w:val="single"/>
              </w:rPr>
              <w:t>t/a（</w:t>
            </w:r>
            <w:r>
              <w:rPr>
                <w:rFonts w:hint="eastAsia"/>
                <w:bCs/>
                <w:sz w:val="24"/>
                <w:u w:val="single"/>
                <w:lang w:val="en-US" w:eastAsia="zh-CN"/>
              </w:rPr>
              <w:t>1.4</w:t>
            </w:r>
            <w:r>
              <w:rPr>
                <w:rFonts w:hint="eastAsia" w:ascii="Times New Roman" w:hAnsi="Times New Roman"/>
                <w:bCs/>
                <w:sz w:val="24"/>
                <w:u w:val="single"/>
              </w:rPr>
              <w:t>m</w:t>
            </w:r>
            <w:r>
              <w:rPr>
                <w:rFonts w:hint="eastAsia" w:ascii="Times New Roman" w:hAnsi="Times New Roman"/>
                <w:bCs/>
                <w:sz w:val="24"/>
                <w:u w:val="single"/>
                <w:vertAlign w:val="superscript"/>
              </w:rPr>
              <w:t>3</w:t>
            </w:r>
            <w:r>
              <w:rPr>
                <w:rFonts w:hint="eastAsia" w:ascii="Times New Roman" w:hAnsi="Times New Roman"/>
                <w:bCs/>
                <w:sz w:val="24"/>
                <w:u w:val="single"/>
              </w:rPr>
              <w:t>/d），经喷淋处理后，</w:t>
            </w:r>
            <w:r>
              <w:rPr>
                <w:rFonts w:hint="eastAsia"/>
                <w:u w:val="single"/>
                <w:lang w:val="en-US" w:eastAsia="zh-CN"/>
              </w:rPr>
              <w:t>少</w:t>
            </w:r>
            <w:r>
              <w:rPr>
                <w:rFonts w:hint="eastAsia" w:ascii="Times New Roman" w:hAnsi="Times New Roman"/>
                <w:bCs/>
                <w:sz w:val="24"/>
                <w:u w:val="single"/>
              </w:rPr>
              <w:t>部分水分随废气排放，</w:t>
            </w:r>
            <w:r>
              <w:rPr>
                <w:rFonts w:hint="eastAsia"/>
                <w:bCs/>
                <w:sz w:val="24"/>
                <w:u w:val="single"/>
                <w:lang w:val="en-US" w:eastAsia="zh-CN"/>
              </w:rPr>
              <w:t>喷淋后</w:t>
            </w:r>
            <w:r>
              <w:rPr>
                <w:rFonts w:hint="eastAsia" w:ascii="Times New Roman" w:hAnsi="Times New Roman"/>
                <w:bCs/>
                <w:sz w:val="24"/>
                <w:u w:val="single"/>
              </w:rPr>
              <w:t>雾状水形成吸收废水进入沉淀池，经沉淀后沉淀池废水</w:t>
            </w:r>
            <w:r>
              <w:rPr>
                <w:rFonts w:hint="eastAsia" w:ascii="Times New Roman" w:hAnsi="Times New Roman"/>
                <w:bCs/>
                <w:sz w:val="24"/>
                <w:u w:val="single"/>
                <w:lang w:val="en-US" w:eastAsia="zh-CN"/>
              </w:rPr>
              <w:t>产生</w:t>
            </w:r>
            <w:r>
              <w:rPr>
                <w:rFonts w:hint="eastAsia" w:ascii="Times New Roman" w:hAnsi="Times New Roman"/>
                <w:bCs/>
                <w:sz w:val="24"/>
                <w:u w:val="single"/>
              </w:rPr>
              <w:t>量为</w:t>
            </w:r>
            <w:r>
              <w:rPr>
                <w:rFonts w:hint="eastAsia"/>
                <w:bCs/>
                <w:sz w:val="24"/>
                <w:u w:val="single"/>
                <w:lang w:val="en-US" w:eastAsia="zh-CN"/>
              </w:rPr>
              <w:t>350</w:t>
            </w:r>
            <w:r>
              <w:rPr>
                <w:rFonts w:hint="eastAsia" w:ascii="Times New Roman" w:hAnsi="Times New Roman"/>
                <w:bCs/>
                <w:sz w:val="24"/>
                <w:u w:val="single"/>
              </w:rPr>
              <w:t>t/a（</w:t>
            </w:r>
            <w:r>
              <w:rPr>
                <w:rFonts w:hint="eastAsia"/>
                <w:bCs/>
                <w:sz w:val="24"/>
                <w:u w:val="single"/>
                <w:lang w:val="en-US" w:eastAsia="zh-CN"/>
              </w:rPr>
              <w:t>1.1</w:t>
            </w:r>
            <w:r>
              <w:rPr>
                <w:rFonts w:hint="eastAsia" w:ascii="Times New Roman" w:hAnsi="Times New Roman"/>
                <w:bCs/>
                <w:sz w:val="24"/>
                <w:u w:val="single"/>
              </w:rPr>
              <w:t>m</w:t>
            </w:r>
            <w:r>
              <w:rPr>
                <w:rFonts w:hint="eastAsia" w:ascii="Times New Roman" w:hAnsi="Times New Roman"/>
                <w:bCs/>
                <w:sz w:val="24"/>
                <w:u w:val="single"/>
                <w:vertAlign w:val="superscript"/>
              </w:rPr>
              <w:t>3</w:t>
            </w:r>
            <w:r>
              <w:rPr>
                <w:rFonts w:hint="eastAsia" w:ascii="Times New Roman" w:hAnsi="Times New Roman"/>
                <w:bCs/>
                <w:sz w:val="24"/>
                <w:u w:val="single"/>
              </w:rPr>
              <w:t>/d），</w:t>
            </w:r>
            <w:r>
              <w:rPr>
                <w:rFonts w:hint="eastAsia"/>
                <w:bCs/>
                <w:sz w:val="24"/>
                <w:u w:val="single"/>
                <w:lang w:val="en-US" w:eastAsia="zh-CN"/>
              </w:rPr>
              <w:t>沉渣产生量为80</w:t>
            </w:r>
            <w:r>
              <w:rPr>
                <w:rFonts w:hint="eastAsia" w:ascii="Times New Roman" w:hAnsi="Times New Roman"/>
                <w:bCs/>
                <w:sz w:val="24"/>
                <w:u w:val="single"/>
              </w:rPr>
              <w:t>t/a</w:t>
            </w:r>
            <w:r>
              <w:rPr>
                <w:rFonts w:hint="eastAsia" w:ascii="Times New Roman" w:hAnsi="Times New Roman"/>
                <w:bCs/>
                <w:sz w:val="24"/>
                <w:u w:val="single"/>
                <w:lang w:eastAsia="zh-CN"/>
              </w:rPr>
              <w:t>，</w:t>
            </w:r>
            <w:r>
              <w:rPr>
                <w:rFonts w:hint="eastAsia" w:ascii="Times New Roman" w:hAnsi="Times New Roman"/>
                <w:bCs/>
                <w:sz w:val="24"/>
                <w:u w:val="single"/>
              </w:rPr>
              <w:t>废水中主要溶质为复</w:t>
            </w:r>
            <w:r>
              <w:rPr>
                <w:rFonts w:hint="eastAsia" w:ascii="Times New Roman" w:hAnsi="Times New Roman"/>
                <w:bCs/>
                <w:sz w:val="24"/>
                <w:u w:val="single"/>
                <w:lang w:val="en-US" w:eastAsia="zh-CN"/>
              </w:rPr>
              <w:t>合</w:t>
            </w:r>
            <w:r>
              <w:rPr>
                <w:rFonts w:hint="eastAsia" w:ascii="Times New Roman" w:hAnsi="Times New Roman"/>
                <w:bCs/>
                <w:sz w:val="24"/>
                <w:u w:val="single"/>
              </w:rPr>
              <w:t>肥生产过程中原料成分，可回用于复</w:t>
            </w:r>
            <w:r>
              <w:rPr>
                <w:rFonts w:hint="eastAsia"/>
                <w:bCs/>
                <w:sz w:val="24"/>
                <w:u w:val="single"/>
                <w:lang w:val="en-US" w:eastAsia="zh-CN"/>
              </w:rPr>
              <w:t>合肥</w:t>
            </w:r>
            <w:r>
              <w:rPr>
                <w:rFonts w:hint="eastAsia" w:ascii="Times New Roman" w:hAnsi="Times New Roman"/>
                <w:bCs/>
                <w:sz w:val="24"/>
                <w:u w:val="single"/>
              </w:rPr>
              <w:t>生产造粒用水，不外排。</w:t>
            </w:r>
          </w:p>
          <w:p w14:paraId="70F147BC">
            <w:pPr>
              <w:pStyle w:val="22"/>
              <w:bidi w:val="0"/>
              <w:ind w:left="0" w:leftChars="0" w:firstLine="480" w:firstLineChars="200"/>
              <w:rPr>
                <w:rFonts w:hint="eastAsia"/>
                <w:color w:val="auto"/>
                <w:lang w:val="en-US" w:eastAsia="zh-CN"/>
              </w:rPr>
            </w:pPr>
            <w:r>
              <w:rPr>
                <w:rFonts w:hint="eastAsia"/>
                <w:color w:val="auto"/>
                <w:lang w:val="en-US" w:eastAsia="zh-CN"/>
              </w:rPr>
              <w:t>（2）排水工程</w:t>
            </w:r>
          </w:p>
          <w:p w14:paraId="43E0BF55">
            <w:pPr>
              <w:pStyle w:val="7"/>
              <w:snapToGrid/>
              <w:spacing w:before="0" w:after="0" w:line="360" w:lineRule="auto"/>
              <w:ind w:right="0" w:firstLine="480" w:firstLineChars="200"/>
              <w:contextualSpacing/>
              <w:jc w:val="left"/>
              <w:rPr>
                <w:rFonts w:hint="eastAsia" w:eastAsia="宋体"/>
                <w:color w:val="auto"/>
                <w:sz w:val="24"/>
                <w:szCs w:val="24"/>
                <w:u w:val="single"/>
                <w:lang w:eastAsia="zh-CN"/>
              </w:rPr>
            </w:pPr>
            <w:r>
              <w:rPr>
                <w:color w:val="auto"/>
                <w:sz w:val="24"/>
                <w:szCs w:val="24"/>
                <w:u w:val="single"/>
              </w:rPr>
              <w:t>本项目生产过程中，</w:t>
            </w:r>
            <w:r>
              <w:rPr>
                <w:rFonts w:hint="eastAsia"/>
                <w:color w:val="auto"/>
                <w:sz w:val="24"/>
                <w:szCs w:val="24"/>
                <w:u w:val="single"/>
                <w:lang w:val="en-US" w:eastAsia="zh-CN"/>
              </w:rPr>
              <w:t>复合肥生产造粒用水在</w:t>
            </w:r>
            <w:r>
              <w:rPr>
                <w:rFonts w:hint="eastAsia" w:ascii="Times New Roman" w:hAnsi="Times New Roman"/>
                <w:bCs/>
                <w:color w:val="auto"/>
                <w:sz w:val="24"/>
                <w:u w:val="single"/>
              </w:rPr>
              <w:t>烘干冷却过程</w:t>
            </w:r>
            <w:r>
              <w:rPr>
                <w:rFonts w:hint="eastAsia"/>
                <w:bCs/>
                <w:color w:val="auto"/>
                <w:sz w:val="24"/>
                <w:u w:val="single"/>
                <w:lang w:val="en-US" w:eastAsia="zh-CN"/>
              </w:rPr>
              <w:t>中</w:t>
            </w:r>
            <w:r>
              <w:rPr>
                <w:rFonts w:hint="eastAsia" w:ascii="Times New Roman" w:hAnsi="Times New Roman"/>
                <w:bCs/>
                <w:color w:val="auto"/>
                <w:sz w:val="24"/>
                <w:u w:val="single"/>
              </w:rPr>
              <w:t>大部分蒸发，少量进入产品</w:t>
            </w:r>
            <w:r>
              <w:rPr>
                <w:rFonts w:hint="eastAsia"/>
                <w:bCs/>
                <w:color w:val="auto"/>
                <w:sz w:val="24"/>
                <w:u w:val="single"/>
                <w:lang w:eastAsia="zh-CN"/>
              </w:rPr>
              <w:t>；</w:t>
            </w:r>
            <w:r>
              <w:rPr>
                <w:rFonts w:hint="eastAsia"/>
                <w:color w:val="auto"/>
                <w:sz w:val="24"/>
                <w:szCs w:val="24"/>
                <w:u w:val="single"/>
                <w:lang w:val="en-US" w:eastAsia="zh-CN"/>
              </w:rPr>
              <w:t>喷淋</w:t>
            </w:r>
            <w:r>
              <w:rPr>
                <w:rFonts w:hint="eastAsia"/>
                <w:color w:val="auto"/>
                <w:sz w:val="24"/>
                <w:szCs w:val="24"/>
                <w:u w:val="single"/>
              </w:rPr>
              <w:t>除尘产生的废水经沉淀后</w:t>
            </w:r>
            <w:r>
              <w:rPr>
                <w:rFonts w:hint="eastAsia" w:ascii="Times New Roman" w:hAnsi="Times New Roman"/>
                <w:bCs/>
                <w:color w:val="auto"/>
                <w:sz w:val="24"/>
                <w:u w:val="single"/>
              </w:rPr>
              <w:t>回用于复</w:t>
            </w:r>
            <w:r>
              <w:rPr>
                <w:rFonts w:hint="eastAsia"/>
                <w:bCs/>
                <w:color w:val="auto"/>
                <w:sz w:val="24"/>
                <w:u w:val="single"/>
                <w:lang w:val="en-US" w:eastAsia="zh-CN"/>
              </w:rPr>
              <w:t>合肥</w:t>
            </w:r>
            <w:r>
              <w:rPr>
                <w:rFonts w:hint="eastAsia" w:ascii="Times New Roman" w:hAnsi="Times New Roman"/>
                <w:bCs/>
                <w:color w:val="auto"/>
                <w:sz w:val="24"/>
                <w:u w:val="single"/>
              </w:rPr>
              <w:t>生产造粒用水，不外排</w:t>
            </w:r>
            <w:r>
              <w:rPr>
                <w:rFonts w:hint="eastAsia"/>
                <w:color w:val="auto"/>
                <w:sz w:val="24"/>
                <w:szCs w:val="24"/>
                <w:u w:val="single"/>
              </w:rPr>
              <w:t>。</w:t>
            </w:r>
            <w:r>
              <w:rPr>
                <w:color w:val="auto"/>
                <w:sz w:val="24"/>
                <w:szCs w:val="24"/>
                <w:u w:val="single"/>
              </w:rPr>
              <w:t>因而没有生产废水</w:t>
            </w:r>
            <w:r>
              <w:rPr>
                <w:rFonts w:hint="eastAsia"/>
                <w:color w:val="auto"/>
                <w:sz w:val="24"/>
                <w:szCs w:val="24"/>
                <w:u w:val="single"/>
              </w:rPr>
              <w:t>排放</w:t>
            </w:r>
            <w:r>
              <w:rPr>
                <w:color w:val="auto"/>
                <w:sz w:val="24"/>
                <w:szCs w:val="24"/>
                <w:u w:val="single"/>
              </w:rPr>
              <w:t>。</w:t>
            </w:r>
            <w:r>
              <w:rPr>
                <w:rFonts w:hint="eastAsia"/>
                <w:color w:val="auto"/>
                <w:sz w:val="24"/>
                <w:szCs w:val="24"/>
                <w:u w:val="single"/>
              </w:rPr>
              <w:t>雨水经雨水管网收集排入</w:t>
            </w:r>
            <w:r>
              <w:rPr>
                <w:rFonts w:hint="eastAsia"/>
                <w:color w:val="auto"/>
                <w:sz w:val="24"/>
                <w:szCs w:val="24"/>
                <w:u w:val="single"/>
                <w:lang w:val="en-US" w:eastAsia="zh-CN"/>
              </w:rPr>
              <w:t>园区</w:t>
            </w:r>
            <w:r>
              <w:rPr>
                <w:rFonts w:hint="eastAsia"/>
                <w:color w:val="auto"/>
                <w:sz w:val="24"/>
                <w:szCs w:val="24"/>
                <w:u w:val="single"/>
              </w:rPr>
              <w:t>雨水管网</w:t>
            </w:r>
            <w:r>
              <w:rPr>
                <w:rFonts w:hint="eastAsia"/>
                <w:color w:val="auto"/>
                <w:sz w:val="24"/>
                <w:szCs w:val="24"/>
                <w:u w:val="single"/>
                <w:lang w:eastAsia="zh-CN"/>
              </w:rPr>
              <w:t>。</w:t>
            </w:r>
          </w:p>
          <w:p w14:paraId="296CA582">
            <w:pPr>
              <w:spacing w:line="360" w:lineRule="auto"/>
              <w:ind w:firstLine="480" w:firstLineChars="200"/>
              <w:jc w:val="left"/>
              <w:rPr>
                <w:rFonts w:hint="eastAsia"/>
                <w:sz w:val="24"/>
                <w:szCs w:val="24"/>
              </w:rPr>
            </w:pPr>
            <w:r>
              <w:rPr>
                <w:rFonts w:hint="eastAsia"/>
                <w:sz w:val="24"/>
                <w:szCs w:val="24"/>
                <w:u w:val="single"/>
                <w:lang w:val="en-US" w:eastAsia="zh-CN"/>
              </w:rPr>
              <w:t>生活污水：</w:t>
            </w:r>
            <w:r>
              <w:rPr>
                <w:rFonts w:hint="eastAsia"/>
                <w:color w:val="auto"/>
                <w:u w:val="single"/>
                <w:lang w:val="en-US" w:eastAsia="zh-CN"/>
              </w:rPr>
              <w:t>生活污水经化粪池处理后排入园区污水管网，最终进入岳阳高新技术产业园区长湖片污水处理厂集中处理。</w:t>
            </w:r>
          </w:p>
          <w:p w14:paraId="659A1D0C">
            <w:pPr>
              <w:pStyle w:val="22"/>
              <w:bidi w:val="0"/>
              <w:rPr>
                <w:rFonts w:hint="eastAsia"/>
                <w:color w:val="4874CB" w:themeColor="accent1"/>
                <w:lang w:val="en-US" w:eastAsia="zh-CN"/>
                <w14:textFill>
                  <w14:solidFill>
                    <w14:schemeClr w14:val="accent1"/>
                  </w14:solidFill>
                </w14:textFill>
              </w:rPr>
            </w:pPr>
            <w:r>
              <w:rPr>
                <w:rFonts w:hint="eastAsia"/>
                <w:color w:val="auto"/>
                <w:lang w:val="en-US" w:eastAsia="zh-CN"/>
              </w:rPr>
              <w:t>项目用水、排水核算详见下表。</w:t>
            </w:r>
          </w:p>
          <w:p w14:paraId="41661C76">
            <w:pPr>
              <w:pStyle w:val="23"/>
              <w:bidi w:val="0"/>
              <w:rPr>
                <w:rFonts w:hint="eastAsia"/>
                <w:color w:val="4874CB" w:themeColor="accent1"/>
                <w:lang w:val="en-US" w:eastAsia="zh-CN"/>
                <w14:textFill>
                  <w14:solidFill>
                    <w14:schemeClr w14:val="accent1"/>
                  </w14:solidFill>
                </w14:textFill>
              </w:rPr>
            </w:pPr>
            <w:r>
              <w:rPr>
                <w:rFonts w:hint="eastAsia"/>
                <w:color w:val="auto"/>
                <w:lang w:val="en-US" w:eastAsia="zh-CN"/>
              </w:rPr>
              <w:t>表2-9</w:t>
            </w:r>
            <w:r>
              <w:rPr>
                <w:rFonts w:hint="eastAsia"/>
                <w:color w:val="4874CB" w:themeColor="accent1"/>
                <w:lang w:val="en-US" w:eastAsia="zh-CN"/>
                <w14:textFill>
                  <w14:solidFill>
                    <w14:schemeClr w14:val="accent1"/>
                  </w14:solidFill>
                </w14:textFill>
              </w:rPr>
              <w:t xml:space="preserve"> </w:t>
            </w:r>
            <w:r>
              <w:rPr>
                <w:rFonts w:hint="eastAsia"/>
                <w:color w:val="auto"/>
                <w:lang w:val="en-US" w:eastAsia="zh-CN"/>
              </w:rPr>
              <w:t>项目用水、排水核算表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362"/>
              <w:gridCol w:w="1560"/>
              <w:gridCol w:w="765"/>
              <w:gridCol w:w="1395"/>
              <w:gridCol w:w="1314"/>
              <w:gridCol w:w="1019"/>
            </w:tblGrid>
            <w:tr w14:paraId="4C44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426" w:type="dxa"/>
                  <w:vAlign w:val="center"/>
                </w:tcPr>
                <w:p w14:paraId="19DC8762">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序号</w:t>
                  </w:r>
                </w:p>
              </w:tc>
              <w:tc>
                <w:tcPr>
                  <w:tcW w:w="1362" w:type="dxa"/>
                  <w:vAlign w:val="center"/>
                </w:tcPr>
                <w:p w14:paraId="40048394">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用水项目</w:t>
                  </w:r>
                </w:p>
              </w:tc>
              <w:tc>
                <w:tcPr>
                  <w:tcW w:w="1560" w:type="dxa"/>
                  <w:vAlign w:val="center"/>
                </w:tcPr>
                <w:p w14:paraId="41CFC1EB">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用水量（m</w:t>
                  </w:r>
                  <w:r>
                    <w:rPr>
                      <w:rFonts w:hint="eastAsia"/>
                      <w:color w:val="auto"/>
                      <w:sz w:val="21"/>
                      <w:szCs w:val="21"/>
                      <w:u w:val="single"/>
                      <w:vertAlign w:val="superscript"/>
                      <w:lang w:val="en-US" w:eastAsia="zh-CN"/>
                    </w:rPr>
                    <w:t>3</w:t>
                  </w:r>
                  <w:r>
                    <w:rPr>
                      <w:rFonts w:hint="eastAsia"/>
                      <w:color w:val="auto"/>
                      <w:sz w:val="21"/>
                      <w:szCs w:val="21"/>
                      <w:u w:val="single"/>
                      <w:lang w:val="en-US" w:eastAsia="zh-CN"/>
                    </w:rPr>
                    <w:t>/a）</w:t>
                  </w:r>
                </w:p>
              </w:tc>
              <w:tc>
                <w:tcPr>
                  <w:tcW w:w="765" w:type="dxa"/>
                  <w:vAlign w:val="center"/>
                </w:tcPr>
                <w:p w14:paraId="11AA370F">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产污系数</w:t>
                  </w:r>
                </w:p>
              </w:tc>
              <w:tc>
                <w:tcPr>
                  <w:tcW w:w="1395" w:type="dxa"/>
                  <w:vAlign w:val="center"/>
                </w:tcPr>
                <w:p w14:paraId="1132B1F8">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损耗量（m</w:t>
                  </w:r>
                  <w:r>
                    <w:rPr>
                      <w:rFonts w:hint="eastAsia"/>
                      <w:color w:val="auto"/>
                      <w:sz w:val="21"/>
                      <w:szCs w:val="21"/>
                      <w:u w:val="single"/>
                      <w:vertAlign w:val="superscript"/>
                      <w:lang w:val="en-US" w:eastAsia="zh-CN"/>
                    </w:rPr>
                    <w:t>3</w:t>
                  </w:r>
                  <w:r>
                    <w:rPr>
                      <w:rFonts w:hint="eastAsia"/>
                      <w:color w:val="auto"/>
                      <w:sz w:val="21"/>
                      <w:szCs w:val="21"/>
                      <w:u w:val="single"/>
                      <w:lang w:val="en-US" w:eastAsia="zh-CN"/>
                    </w:rPr>
                    <w:t>/a）</w:t>
                  </w:r>
                </w:p>
              </w:tc>
              <w:tc>
                <w:tcPr>
                  <w:tcW w:w="1314" w:type="dxa"/>
                  <w:vAlign w:val="center"/>
                </w:tcPr>
                <w:p w14:paraId="18DDB136">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回用量（m</w:t>
                  </w:r>
                  <w:r>
                    <w:rPr>
                      <w:rFonts w:hint="eastAsia"/>
                      <w:color w:val="auto"/>
                      <w:sz w:val="21"/>
                      <w:szCs w:val="21"/>
                      <w:u w:val="single"/>
                      <w:vertAlign w:val="superscript"/>
                      <w:lang w:val="en-US" w:eastAsia="zh-CN"/>
                    </w:rPr>
                    <w:t>3</w:t>
                  </w:r>
                  <w:r>
                    <w:rPr>
                      <w:rFonts w:hint="eastAsia"/>
                      <w:color w:val="auto"/>
                      <w:sz w:val="21"/>
                      <w:szCs w:val="21"/>
                      <w:u w:val="single"/>
                      <w:lang w:val="en-US" w:eastAsia="zh-CN"/>
                    </w:rPr>
                    <w:t>/a）</w:t>
                  </w:r>
                </w:p>
              </w:tc>
              <w:tc>
                <w:tcPr>
                  <w:tcW w:w="1019" w:type="dxa"/>
                  <w:vAlign w:val="center"/>
                </w:tcPr>
                <w:p w14:paraId="2B52B0F6">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排放量（m</w:t>
                  </w:r>
                  <w:r>
                    <w:rPr>
                      <w:rFonts w:hint="eastAsia"/>
                      <w:color w:val="auto"/>
                      <w:sz w:val="21"/>
                      <w:szCs w:val="21"/>
                      <w:u w:val="single"/>
                      <w:vertAlign w:val="superscript"/>
                      <w:lang w:val="en-US" w:eastAsia="zh-CN"/>
                    </w:rPr>
                    <w:t>3</w:t>
                  </w:r>
                  <w:r>
                    <w:rPr>
                      <w:rFonts w:hint="eastAsia"/>
                      <w:color w:val="auto"/>
                      <w:sz w:val="21"/>
                      <w:szCs w:val="21"/>
                      <w:u w:val="single"/>
                      <w:lang w:val="en-US" w:eastAsia="zh-CN"/>
                    </w:rPr>
                    <w:t>/a）</w:t>
                  </w:r>
                </w:p>
              </w:tc>
            </w:tr>
            <w:tr w14:paraId="15950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14:paraId="4B9E61A3">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1</w:t>
                  </w:r>
                </w:p>
              </w:tc>
              <w:tc>
                <w:tcPr>
                  <w:tcW w:w="1362" w:type="dxa"/>
                  <w:vAlign w:val="center"/>
                </w:tcPr>
                <w:p w14:paraId="3DA9167B">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员工生活用水</w:t>
                  </w:r>
                </w:p>
              </w:tc>
              <w:tc>
                <w:tcPr>
                  <w:tcW w:w="1560" w:type="dxa"/>
                  <w:vAlign w:val="center"/>
                </w:tcPr>
                <w:p w14:paraId="51BDE439">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320</w:t>
                  </w:r>
                </w:p>
              </w:tc>
              <w:tc>
                <w:tcPr>
                  <w:tcW w:w="765" w:type="dxa"/>
                  <w:vAlign w:val="center"/>
                </w:tcPr>
                <w:p w14:paraId="7D31B9B0">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0.8</w:t>
                  </w:r>
                </w:p>
              </w:tc>
              <w:tc>
                <w:tcPr>
                  <w:tcW w:w="1395" w:type="dxa"/>
                  <w:vAlign w:val="center"/>
                </w:tcPr>
                <w:p w14:paraId="73B27DCF">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64</w:t>
                  </w:r>
                </w:p>
              </w:tc>
              <w:tc>
                <w:tcPr>
                  <w:tcW w:w="1314" w:type="dxa"/>
                  <w:vAlign w:val="center"/>
                </w:tcPr>
                <w:p w14:paraId="33B7A5F1">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0</w:t>
                  </w:r>
                </w:p>
              </w:tc>
              <w:tc>
                <w:tcPr>
                  <w:tcW w:w="1019" w:type="dxa"/>
                  <w:vAlign w:val="center"/>
                </w:tcPr>
                <w:p w14:paraId="684994D0">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256</w:t>
                  </w:r>
                </w:p>
              </w:tc>
            </w:tr>
            <w:tr w14:paraId="1E382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14:paraId="040DD95A">
                  <w:pPr>
                    <w:pStyle w:val="24"/>
                    <w:bidi w:val="0"/>
                    <w:ind w:firstLine="0" w:firstLineChars="0"/>
                    <w:jc w:val="center"/>
                    <w:rPr>
                      <w:rFonts w:hint="default"/>
                      <w:color w:val="auto"/>
                      <w:sz w:val="21"/>
                      <w:szCs w:val="21"/>
                      <w:u w:val="single"/>
                      <w:lang w:val="en-US" w:eastAsia="zh-CN"/>
                    </w:rPr>
                  </w:pPr>
                  <w:r>
                    <w:rPr>
                      <w:rFonts w:hint="eastAsia"/>
                      <w:color w:val="auto"/>
                      <w:sz w:val="21"/>
                      <w:szCs w:val="21"/>
                      <w:u w:val="single"/>
                      <w:lang w:val="en-US" w:eastAsia="zh-CN"/>
                    </w:rPr>
                    <w:t>2</w:t>
                  </w:r>
                </w:p>
              </w:tc>
              <w:tc>
                <w:tcPr>
                  <w:tcW w:w="1362" w:type="dxa"/>
                  <w:vAlign w:val="center"/>
                </w:tcPr>
                <w:p w14:paraId="1F65F692">
                  <w:pPr>
                    <w:pStyle w:val="24"/>
                    <w:bidi w:val="0"/>
                    <w:ind w:firstLine="0" w:firstLineChars="0"/>
                    <w:jc w:val="center"/>
                    <w:rPr>
                      <w:rFonts w:hint="eastAsia"/>
                      <w:color w:val="auto"/>
                      <w:sz w:val="21"/>
                      <w:szCs w:val="21"/>
                      <w:u w:val="single"/>
                      <w:lang w:val="en-US" w:eastAsia="zh-CN"/>
                    </w:rPr>
                  </w:pPr>
                  <w:r>
                    <w:rPr>
                      <w:rFonts w:hint="eastAsia"/>
                      <w:color w:val="auto"/>
                      <w:sz w:val="21"/>
                      <w:szCs w:val="21"/>
                      <w:u w:val="single"/>
                      <w:lang w:val="en-US" w:eastAsia="zh-CN"/>
                    </w:rPr>
                    <w:t>复合肥生产造粒用水</w:t>
                  </w:r>
                </w:p>
              </w:tc>
              <w:tc>
                <w:tcPr>
                  <w:tcW w:w="1560" w:type="dxa"/>
                  <w:vAlign w:val="center"/>
                </w:tcPr>
                <w:p w14:paraId="17EC02E2">
                  <w:pPr>
                    <w:pStyle w:val="24"/>
                    <w:bidi w:val="0"/>
                    <w:ind w:firstLine="0" w:firstLineChars="0"/>
                    <w:jc w:val="center"/>
                    <w:rPr>
                      <w:rFonts w:hint="default"/>
                      <w:color w:val="auto"/>
                      <w:sz w:val="21"/>
                      <w:szCs w:val="21"/>
                      <w:u w:val="single"/>
                      <w:lang w:val="en-US" w:eastAsia="zh-CN"/>
                    </w:rPr>
                  </w:pPr>
                  <w:r>
                    <w:rPr>
                      <w:rFonts w:hint="eastAsia"/>
                      <w:color w:val="auto"/>
                      <w:sz w:val="21"/>
                      <w:szCs w:val="21"/>
                      <w:u w:val="single"/>
                      <w:lang w:val="en-US" w:eastAsia="zh-CN"/>
                    </w:rPr>
                    <w:t>150</w:t>
                  </w:r>
                </w:p>
              </w:tc>
              <w:tc>
                <w:tcPr>
                  <w:tcW w:w="765" w:type="dxa"/>
                  <w:vAlign w:val="center"/>
                </w:tcPr>
                <w:p w14:paraId="69FFBEFE">
                  <w:pPr>
                    <w:pStyle w:val="24"/>
                    <w:bidi w:val="0"/>
                    <w:ind w:firstLine="0" w:firstLineChars="0"/>
                    <w:jc w:val="center"/>
                    <w:rPr>
                      <w:rFonts w:hint="eastAsia"/>
                      <w:color w:val="auto"/>
                      <w:sz w:val="21"/>
                      <w:szCs w:val="21"/>
                      <w:u w:val="single"/>
                      <w:lang w:val="en-US" w:eastAsia="zh-CN"/>
                    </w:rPr>
                  </w:pPr>
                  <w:r>
                    <w:rPr>
                      <w:rFonts w:hint="eastAsia"/>
                      <w:color w:val="auto"/>
                      <w:sz w:val="21"/>
                      <w:szCs w:val="21"/>
                      <w:u w:val="single"/>
                      <w:lang w:val="en-US" w:eastAsia="zh-CN"/>
                    </w:rPr>
                    <w:t>/</w:t>
                  </w:r>
                </w:p>
              </w:tc>
              <w:tc>
                <w:tcPr>
                  <w:tcW w:w="1395" w:type="dxa"/>
                  <w:vAlign w:val="center"/>
                </w:tcPr>
                <w:p w14:paraId="009223B6">
                  <w:pPr>
                    <w:pStyle w:val="24"/>
                    <w:bidi w:val="0"/>
                    <w:ind w:firstLine="0" w:firstLineChars="0"/>
                    <w:jc w:val="center"/>
                    <w:rPr>
                      <w:rFonts w:hint="default"/>
                      <w:color w:val="auto"/>
                      <w:sz w:val="21"/>
                      <w:szCs w:val="21"/>
                      <w:u w:val="single"/>
                      <w:lang w:val="en-US" w:eastAsia="zh-CN"/>
                    </w:rPr>
                  </w:pPr>
                  <w:r>
                    <w:rPr>
                      <w:rFonts w:hint="eastAsia"/>
                      <w:color w:val="auto"/>
                      <w:sz w:val="21"/>
                      <w:szCs w:val="21"/>
                      <w:u w:val="single"/>
                      <w:lang w:val="en-US" w:eastAsia="zh-CN"/>
                    </w:rPr>
                    <w:t>600</w:t>
                  </w:r>
                </w:p>
              </w:tc>
              <w:tc>
                <w:tcPr>
                  <w:tcW w:w="1314" w:type="dxa"/>
                  <w:vAlign w:val="center"/>
                </w:tcPr>
                <w:p w14:paraId="55CA0114">
                  <w:pPr>
                    <w:pStyle w:val="24"/>
                    <w:bidi w:val="0"/>
                    <w:ind w:firstLine="0" w:firstLineChars="0"/>
                    <w:jc w:val="center"/>
                    <w:rPr>
                      <w:rFonts w:hint="eastAsia"/>
                      <w:color w:val="auto"/>
                      <w:sz w:val="21"/>
                      <w:szCs w:val="21"/>
                      <w:u w:val="single"/>
                      <w:lang w:val="en-US" w:eastAsia="zh-CN"/>
                    </w:rPr>
                  </w:pPr>
                  <w:r>
                    <w:rPr>
                      <w:rFonts w:hint="eastAsia"/>
                      <w:color w:val="auto"/>
                      <w:sz w:val="21"/>
                      <w:szCs w:val="21"/>
                      <w:u w:val="single"/>
                      <w:lang w:val="en-US" w:eastAsia="zh-CN"/>
                    </w:rPr>
                    <w:t>0</w:t>
                  </w:r>
                </w:p>
              </w:tc>
              <w:tc>
                <w:tcPr>
                  <w:tcW w:w="1019" w:type="dxa"/>
                  <w:vAlign w:val="center"/>
                </w:tcPr>
                <w:p w14:paraId="20350F5D">
                  <w:pPr>
                    <w:pStyle w:val="24"/>
                    <w:bidi w:val="0"/>
                    <w:ind w:firstLine="0" w:firstLineChars="0"/>
                    <w:jc w:val="center"/>
                    <w:rPr>
                      <w:rFonts w:hint="eastAsia"/>
                      <w:color w:val="auto"/>
                      <w:sz w:val="21"/>
                      <w:szCs w:val="21"/>
                      <w:u w:val="single"/>
                      <w:lang w:val="en-US" w:eastAsia="zh-CN"/>
                    </w:rPr>
                  </w:pPr>
                  <w:r>
                    <w:rPr>
                      <w:rFonts w:hint="eastAsia"/>
                      <w:color w:val="auto"/>
                      <w:sz w:val="21"/>
                      <w:szCs w:val="21"/>
                      <w:u w:val="single"/>
                      <w:lang w:val="en-US" w:eastAsia="zh-CN"/>
                    </w:rPr>
                    <w:t>0</w:t>
                  </w:r>
                </w:p>
              </w:tc>
            </w:tr>
            <w:tr w14:paraId="44CC1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 w:type="dxa"/>
                  <w:vAlign w:val="center"/>
                </w:tcPr>
                <w:p w14:paraId="0712DCD5">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3</w:t>
                  </w:r>
                </w:p>
              </w:tc>
              <w:tc>
                <w:tcPr>
                  <w:tcW w:w="1362" w:type="dxa"/>
                  <w:vAlign w:val="center"/>
                </w:tcPr>
                <w:p w14:paraId="64795482">
                  <w:pPr>
                    <w:pStyle w:val="24"/>
                    <w:bidi w:val="0"/>
                    <w:jc w:val="center"/>
                    <w:rPr>
                      <w:rFonts w:hint="eastAsia"/>
                      <w:color w:val="auto"/>
                      <w:sz w:val="21"/>
                      <w:szCs w:val="21"/>
                      <w:u w:val="single"/>
                      <w:lang w:val="en-US" w:eastAsia="zh-CN"/>
                    </w:rPr>
                  </w:pPr>
                  <w:r>
                    <w:rPr>
                      <w:rFonts w:hint="eastAsia"/>
                      <w:color w:val="auto"/>
                      <w:sz w:val="24"/>
                      <w:u w:val="single"/>
                      <w:lang w:val="en-US" w:eastAsia="zh-CN"/>
                    </w:rPr>
                    <w:t>废气系统喷淋</w:t>
                  </w:r>
                  <w:r>
                    <w:rPr>
                      <w:color w:val="auto"/>
                      <w:sz w:val="24"/>
                      <w:szCs w:val="24"/>
                      <w:u w:val="single"/>
                    </w:rPr>
                    <w:t>用水</w:t>
                  </w:r>
                </w:p>
              </w:tc>
              <w:tc>
                <w:tcPr>
                  <w:tcW w:w="1560" w:type="dxa"/>
                  <w:vAlign w:val="center"/>
                </w:tcPr>
                <w:p w14:paraId="7DD0C163">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460</w:t>
                  </w:r>
                </w:p>
              </w:tc>
              <w:tc>
                <w:tcPr>
                  <w:tcW w:w="765" w:type="dxa"/>
                  <w:vAlign w:val="center"/>
                </w:tcPr>
                <w:p w14:paraId="43FE00D1">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w:t>
                  </w:r>
                </w:p>
              </w:tc>
              <w:tc>
                <w:tcPr>
                  <w:tcW w:w="1395" w:type="dxa"/>
                  <w:vAlign w:val="center"/>
                </w:tcPr>
                <w:p w14:paraId="333D1DB9">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110</w:t>
                  </w:r>
                </w:p>
              </w:tc>
              <w:tc>
                <w:tcPr>
                  <w:tcW w:w="1314" w:type="dxa"/>
                  <w:vAlign w:val="center"/>
                </w:tcPr>
                <w:p w14:paraId="620E6AB4">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350</w:t>
                  </w:r>
                </w:p>
              </w:tc>
              <w:tc>
                <w:tcPr>
                  <w:tcW w:w="1019" w:type="dxa"/>
                  <w:vAlign w:val="center"/>
                </w:tcPr>
                <w:p w14:paraId="34CAB815">
                  <w:pPr>
                    <w:pStyle w:val="24"/>
                    <w:bidi w:val="0"/>
                    <w:jc w:val="center"/>
                    <w:rPr>
                      <w:rFonts w:hint="default"/>
                      <w:color w:val="auto"/>
                      <w:sz w:val="21"/>
                      <w:szCs w:val="21"/>
                      <w:u w:val="single"/>
                      <w:lang w:val="en-US" w:eastAsia="zh-CN"/>
                    </w:rPr>
                  </w:pPr>
                  <w:r>
                    <w:rPr>
                      <w:rFonts w:hint="eastAsia"/>
                      <w:color w:val="auto"/>
                      <w:sz w:val="21"/>
                      <w:szCs w:val="21"/>
                      <w:u w:val="single"/>
                      <w:lang w:val="en-US" w:eastAsia="zh-CN"/>
                    </w:rPr>
                    <w:t>0</w:t>
                  </w:r>
                </w:p>
              </w:tc>
            </w:tr>
          </w:tbl>
          <w:p w14:paraId="17CEDE53">
            <w:pPr>
              <w:pStyle w:val="22"/>
              <w:bidi w:val="0"/>
              <w:rPr>
                <w:rFonts w:hint="eastAsia" w:ascii="Times New Roman" w:hAnsi="Times New Roman" w:cs="Times New Roman"/>
                <w:color w:val="auto"/>
                <w:sz w:val="24"/>
                <w:u w:val="none" w:color="auto"/>
                <w:lang w:eastAsia="zh-CN"/>
              </w:rPr>
            </w:pPr>
            <w:r>
              <w:rPr>
                <w:rFonts w:hint="eastAsia" w:ascii="Times New Roman" w:hAnsi="Times New Roman" w:cs="Times New Roman"/>
                <w:color w:val="auto"/>
                <w:sz w:val="24"/>
                <w:u w:val="none" w:color="auto"/>
                <w:lang w:eastAsia="zh-CN"/>
              </w:rPr>
              <w:t>（3）供电</w:t>
            </w:r>
          </w:p>
          <w:p w14:paraId="0C1D9CFD">
            <w:pPr>
              <w:spacing w:line="360" w:lineRule="auto"/>
              <w:ind w:firstLine="480" w:firstLineChars="200"/>
              <w:rPr>
                <w:sz w:val="24"/>
                <w:szCs w:val="24"/>
              </w:rPr>
            </w:pPr>
            <w:r>
              <w:rPr>
                <w:sz w:val="24"/>
                <w:szCs w:val="24"/>
              </w:rPr>
              <w:t>本项目用电由国家电网供给，无其他备用电源。</w:t>
            </w:r>
          </w:p>
          <w:p w14:paraId="7E25A328">
            <w:pPr>
              <w:spacing w:line="360" w:lineRule="auto"/>
              <w:ind w:firstLine="480" w:firstLineChars="200"/>
              <w:rPr>
                <w:rFonts w:hint="eastAsia"/>
                <w:sz w:val="24"/>
                <w:szCs w:val="24"/>
                <w:u w:val="single"/>
                <w:lang w:val="en-US" w:eastAsia="zh-CN"/>
              </w:rPr>
            </w:pPr>
            <w:r>
              <w:rPr>
                <w:rFonts w:hint="eastAsia"/>
                <w:sz w:val="24"/>
                <w:szCs w:val="24"/>
                <w:u w:val="single"/>
                <w:lang w:val="en-US" w:eastAsia="zh-CN"/>
              </w:rPr>
              <w:t>（4）供热</w:t>
            </w:r>
          </w:p>
          <w:p w14:paraId="586ECAF8">
            <w:pPr>
              <w:spacing w:line="360" w:lineRule="auto"/>
              <w:ind w:firstLine="480" w:firstLineChars="200"/>
              <w:rPr>
                <w:rFonts w:hint="default"/>
                <w:sz w:val="24"/>
                <w:szCs w:val="24"/>
                <w:lang w:val="en-US" w:eastAsia="zh-CN"/>
              </w:rPr>
            </w:pPr>
            <w:r>
              <w:rPr>
                <w:rFonts w:hint="eastAsia"/>
                <w:sz w:val="24"/>
                <w:szCs w:val="24"/>
                <w:u w:val="single"/>
                <w:lang w:val="en-US" w:eastAsia="zh-CN"/>
              </w:rPr>
              <w:t>本项目主要依靠园区内湖南金力泰新材料科技有限公司（项目西南200m处）的余热供热，湖南金力泰新材料科技有限公司蒸汽产生量为6100t/a，自身实际用量为3600t/a，供给本项目2000t/a。项目还未开工建设，供热管网暂未铺设。项目并拟设置一个90w大卡轻质柴油热风炉备用，余热供热不稳定时启用备用的热风炉供热，供热方案能满足生产需求。</w:t>
            </w:r>
          </w:p>
        </w:tc>
      </w:tr>
      <w:tr w14:paraId="7EAB4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7" w:hRule="atLeast"/>
        </w:trPr>
        <w:tc>
          <w:tcPr>
            <w:tcW w:w="448" w:type="dxa"/>
            <w:vAlign w:val="center"/>
          </w:tcPr>
          <w:p w14:paraId="74E7CFBF">
            <w:pPr>
              <w:bidi w:val="0"/>
              <w:ind w:left="0" w:leftChars="0" w:firstLine="0" w:firstLineChars="0"/>
              <w:jc w:val="center"/>
              <w:rPr>
                <w:rFonts w:hint="eastAsia"/>
                <w:color w:val="auto"/>
                <w:lang w:val="en-US" w:eastAsia="zh-CN"/>
              </w:rPr>
            </w:pPr>
          </w:p>
          <w:p w14:paraId="0F52857B">
            <w:pPr>
              <w:bidi w:val="0"/>
              <w:ind w:left="0" w:leftChars="0" w:firstLine="0" w:firstLineChars="0"/>
              <w:jc w:val="center"/>
              <w:rPr>
                <w:rFonts w:hint="eastAsia"/>
                <w:color w:val="auto"/>
                <w:lang w:val="en-US" w:eastAsia="zh-CN"/>
              </w:rPr>
            </w:pPr>
          </w:p>
          <w:p w14:paraId="6D37D65B">
            <w:pPr>
              <w:bidi w:val="0"/>
              <w:ind w:left="0" w:leftChars="0" w:firstLine="0" w:firstLineChars="0"/>
              <w:jc w:val="center"/>
              <w:rPr>
                <w:rFonts w:hint="eastAsia"/>
                <w:color w:val="auto"/>
                <w:lang w:val="en-US" w:eastAsia="zh-CN"/>
              </w:rPr>
            </w:pPr>
          </w:p>
          <w:p w14:paraId="32C5F9B2">
            <w:pPr>
              <w:bidi w:val="0"/>
              <w:ind w:left="0" w:leftChars="0" w:firstLine="0" w:firstLineChars="0"/>
              <w:jc w:val="center"/>
              <w:rPr>
                <w:rFonts w:hint="eastAsia"/>
                <w:color w:val="auto"/>
                <w:lang w:val="en-US" w:eastAsia="zh-CN"/>
              </w:rPr>
            </w:pPr>
          </w:p>
          <w:p w14:paraId="02172D0F">
            <w:pPr>
              <w:bidi w:val="0"/>
              <w:ind w:left="0" w:leftChars="0" w:firstLine="0" w:firstLineChars="0"/>
              <w:jc w:val="center"/>
              <w:rPr>
                <w:rFonts w:hint="eastAsia"/>
                <w:color w:val="auto"/>
                <w:lang w:val="en-US" w:eastAsia="zh-CN"/>
              </w:rPr>
            </w:pPr>
          </w:p>
          <w:p w14:paraId="1631621E">
            <w:pPr>
              <w:bidi w:val="0"/>
              <w:ind w:left="0" w:leftChars="0" w:firstLine="0" w:firstLineChars="0"/>
              <w:jc w:val="center"/>
              <w:rPr>
                <w:rFonts w:hint="eastAsia"/>
                <w:color w:val="auto"/>
                <w:lang w:val="en-US" w:eastAsia="zh-CN"/>
              </w:rPr>
            </w:pPr>
          </w:p>
          <w:p w14:paraId="2C4FEA95">
            <w:pPr>
              <w:bidi w:val="0"/>
              <w:ind w:left="0" w:leftChars="0" w:firstLine="0" w:firstLineChars="0"/>
              <w:jc w:val="center"/>
              <w:rPr>
                <w:rFonts w:hint="eastAsia"/>
                <w:color w:val="auto"/>
                <w:lang w:val="en-US" w:eastAsia="zh-CN"/>
              </w:rPr>
            </w:pPr>
          </w:p>
          <w:p w14:paraId="7FC39DE6">
            <w:pPr>
              <w:bidi w:val="0"/>
              <w:ind w:left="0" w:leftChars="0" w:firstLine="0" w:firstLineChars="0"/>
              <w:jc w:val="center"/>
              <w:rPr>
                <w:rFonts w:hint="eastAsia"/>
                <w:color w:val="auto"/>
                <w:lang w:val="en-US" w:eastAsia="zh-CN"/>
              </w:rPr>
            </w:pPr>
          </w:p>
          <w:p w14:paraId="62AA46C3">
            <w:pPr>
              <w:bidi w:val="0"/>
              <w:ind w:left="0" w:leftChars="0" w:firstLine="0" w:firstLineChars="0"/>
              <w:jc w:val="center"/>
              <w:rPr>
                <w:rFonts w:hint="eastAsia"/>
                <w:color w:val="auto"/>
                <w:lang w:val="en-US" w:eastAsia="zh-CN"/>
              </w:rPr>
            </w:pPr>
          </w:p>
          <w:p w14:paraId="18AB68C5">
            <w:pPr>
              <w:bidi w:val="0"/>
              <w:ind w:left="0" w:leftChars="0" w:firstLine="0" w:firstLineChars="0"/>
              <w:jc w:val="center"/>
              <w:rPr>
                <w:rFonts w:hint="eastAsia"/>
                <w:color w:val="auto"/>
                <w:lang w:val="en-US" w:eastAsia="zh-CN"/>
              </w:rPr>
            </w:pPr>
          </w:p>
          <w:p w14:paraId="79F074AE">
            <w:pPr>
              <w:bidi w:val="0"/>
              <w:ind w:left="0" w:leftChars="0" w:firstLine="0" w:firstLineChars="0"/>
              <w:jc w:val="center"/>
              <w:rPr>
                <w:rFonts w:hint="eastAsia"/>
                <w:color w:val="auto"/>
                <w:lang w:val="en-US" w:eastAsia="zh-CN"/>
              </w:rPr>
            </w:pPr>
          </w:p>
          <w:p w14:paraId="3DF682C7">
            <w:pPr>
              <w:bidi w:val="0"/>
              <w:ind w:left="0" w:leftChars="0" w:firstLine="0" w:firstLineChars="0"/>
              <w:jc w:val="center"/>
              <w:rPr>
                <w:rFonts w:hint="eastAsia"/>
                <w:color w:val="auto"/>
                <w:lang w:val="en-US" w:eastAsia="zh-CN"/>
              </w:rPr>
            </w:pPr>
          </w:p>
          <w:p w14:paraId="2E2190CD">
            <w:pPr>
              <w:bidi w:val="0"/>
              <w:ind w:left="0" w:leftChars="0" w:firstLine="0" w:firstLineChars="0"/>
              <w:jc w:val="center"/>
              <w:rPr>
                <w:rFonts w:hint="eastAsia"/>
                <w:color w:val="auto"/>
                <w:lang w:val="en-US" w:eastAsia="zh-CN"/>
              </w:rPr>
            </w:pPr>
          </w:p>
          <w:p w14:paraId="64E80BE7">
            <w:pPr>
              <w:bidi w:val="0"/>
              <w:ind w:left="0" w:leftChars="0" w:firstLine="0" w:firstLineChars="0"/>
              <w:jc w:val="center"/>
              <w:rPr>
                <w:rFonts w:hint="eastAsia"/>
                <w:color w:val="auto"/>
                <w:lang w:val="en-US" w:eastAsia="zh-CN"/>
              </w:rPr>
            </w:pPr>
          </w:p>
          <w:p w14:paraId="7B6BB0AE">
            <w:pPr>
              <w:bidi w:val="0"/>
              <w:ind w:left="0" w:leftChars="0" w:firstLine="0" w:firstLineChars="0"/>
              <w:jc w:val="both"/>
              <w:rPr>
                <w:rFonts w:hint="eastAsia"/>
                <w:color w:val="auto"/>
                <w:lang w:val="en-US" w:eastAsia="zh-CN"/>
              </w:rPr>
            </w:pPr>
            <w:r>
              <w:rPr>
                <w:rFonts w:hint="eastAsia"/>
                <w:color w:val="auto"/>
                <w:lang w:val="en-US" w:eastAsia="zh-CN"/>
              </w:rPr>
              <w:t>工</w:t>
            </w:r>
          </w:p>
          <w:p w14:paraId="26CE28DF">
            <w:pPr>
              <w:bidi w:val="0"/>
              <w:ind w:left="0" w:leftChars="0" w:firstLine="0" w:firstLineChars="0"/>
              <w:jc w:val="center"/>
              <w:rPr>
                <w:rFonts w:hint="eastAsia"/>
                <w:color w:val="auto"/>
                <w:lang w:val="en-US" w:eastAsia="zh-CN"/>
              </w:rPr>
            </w:pPr>
            <w:r>
              <w:rPr>
                <w:rFonts w:hint="eastAsia"/>
                <w:color w:val="auto"/>
                <w:lang w:val="en-US" w:eastAsia="zh-CN"/>
              </w:rPr>
              <w:t>艺</w:t>
            </w:r>
          </w:p>
          <w:p w14:paraId="552C3FD3">
            <w:pPr>
              <w:bidi w:val="0"/>
              <w:ind w:left="0" w:leftChars="0" w:firstLine="0" w:firstLineChars="0"/>
              <w:jc w:val="center"/>
              <w:rPr>
                <w:rFonts w:hint="eastAsia"/>
                <w:color w:val="auto"/>
                <w:lang w:val="en-US" w:eastAsia="zh-CN"/>
              </w:rPr>
            </w:pPr>
            <w:r>
              <w:rPr>
                <w:rFonts w:hint="eastAsia"/>
                <w:color w:val="auto"/>
                <w:lang w:val="en-US" w:eastAsia="zh-CN"/>
              </w:rPr>
              <w:t>流</w:t>
            </w:r>
          </w:p>
          <w:p w14:paraId="286C362B">
            <w:pPr>
              <w:bidi w:val="0"/>
              <w:ind w:left="0" w:leftChars="0" w:firstLine="0" w:firstLineChars="0"/>
              <w:jc w:val="center"/>
              <w:rPr>
                <w:rFonts w:hint="eastAsia"/>
                <w:color w:val="auto"/>
                <w:lang w:val="en-US" w:eastAsia="zh-CN"/>
              </w:rPr>
            </w:pPr>
            <w:r>
              <w:rPr>
                <w:rFonts w:hint="eastAsia"/>
                <w:color w:val="auto"/>
                <w:lang w:val="en-US" w:eastAsia="zh-CN"/>
              </w:rPr>
              <w:t>程</w:t>
            </w:r>
          </w:p>
          <w:p w14:paraId="3447F14D">
            <w:pPr>
              <w:bidi w:val="0"/>
              <w:ind w:left="0" w:leftChars="0" w:firstLine="0" w:firstLineChars="0"/>
              <w:jc w:val="center"/>
              <w:rPr>
                <w:rFonts w:hint="eastAsia"/>
                <w:color w:val="auto"/>
                <w:lang w:val="en-US" w:eastAsia="zh-CN"/>
              </w:rPr>
            </w:pPr>
            <w:r>
              <w:rPr>
                <w:rFonts w:hint="eastAsia"/>
                <w:color w:val="auto"/>
                <w:lang w:val="en-US" w:eastAsia="zh-CN"/>
              </w:rPr>
              <w:t>和</w:t>
            </w:r>
          </w:p>
          <w:p w14:paraId="26F042C0">
            <w:pPr>
              <w:bidi w:val="0"/>
              <w:ind w:left="0" w:leftChars="0" w:firstLine="0" w:firstLineChars="0"/>
              <w:jc w:val="center"/>
              <w:rPr>
                <w:rFonts w:hint="eastAsia"/>
                <w:color w:val="auto"/>
                <w:lang w:val="en-US" w:eastAsia="zh-CN"/>
              </w:rPr>
            </w:pPr>
            <w:r>
              <w:rPr>
                <w:rFonts w:hint="eastAsia"/>
                <w:color w:val="auto"/>
                <w:lang w:val="en-US" w:eastAsia="zh-CN"/>
              </w:rPr>
              <w:t>产</w:t>
            </w:r>
          </w:p>
          <w:p w14:paraId="1106D690">
            <w:pPr>
              <w:bidi w:val="0"/>
              <w:ind w:left="0" w:leftChars="0" w:firstLine="0" w:firstLineChars="0"/>
              <w:jc w:val="center"/>
              <w:rPr>
                <w:rFonts w:hint="eastAsia"/>
                <w:color w:val="auto"/>
                <w:lang w:val="en-US" w:eastAsia="zh-CN"/>
              </w:rPr>
            </w:pPr>
            <w:r>
              <w:rPr>
                <w:rFonts w:hint="eastAsia"/>
                <w:color w:val="auto"/>
                <w:lang w:val="en-US" w:eastAsia="zh-CN"/>
              </w:rPr>
              <w:t>排</w:t>
            </w:r>
          </w:p>
          <w:p w14:paraId="00DCB967">
            <w:pPr>
              <w:bidi w:val="0"/>
              <w:ind w:left="0" w:leftChars="0" w:firstLine="0" w:firstLineChars="0"/>
              <w:jc w:val="center"/>
              <w:rPr>
                <w:rFonts w:hint="eastAsia"/>
                <w:color w:val="auto"/>
                <w:lang w:val="en-US" w:eastAsia="zh-CN"/>
              </w:rPr>
            </w:pPr>
            <w:r>
              <w:rPr>
                <w:rFonts w:hint="eastAsia"/>
                <w:color w:val="auto"/>
                <w:lang w:val="en-US" w:eastAsia="zh-CN"/>
              </w:rPr>
              <w:t>污</w:t>
            </w:r>
          </w:p>
          <w:p w14:paraId="59AEDE94">
            <w:pPr>
              <w:bidi w:val="0"/>
              <w:ind w:left="0" w:leftChars="0" w:firstLine="0" w:firstLineChars="0"/>
              <w:jc w:val="center"/>
              <w:rPr>
                <w:rFonts w:hint="eastAsia"/>
                <w:color w:val="auto"/>
                <w:lang w:val="en-US" w:eastAsia="zh-CN"/>
              </w:rPr>
            </w:pPr>
            <w:r>
              <w:rPr>
                <w:rFonts w:hint="eastAsia"/>
                <w:color w:val="auto"/>
                <w:lang w:val="en-US" w:eastAsia="zh-CN"/>
              </w:rPr>
              <w:t>环</w:t>
            </w:r>
          </w:p>
          <w:p w14:paraId="54265992">
            <w:pPr>
              <w:bidi w:val="0"/>
              <w:ind w:left="0" w:leftChars="0" w:firstLine="0" w:firstLineChars="0"/>
              <w:jc w:val="center"/>
              <w:rPr>
                <w:rFonts w:hint="eastAsia"/>
                <w:color w:val="auto"/>
                <w:lang w:val="en-US" w:eastAsia="zh-CN"/>
              </w:rPr>
            </w:pPr>
            <w:r>
              <w:rPr>
                <w:rFonts w:hint="eastAsia"/>
                <w:color w:val="auto"/>
                <w:lang w:val="en-US" w:eastAsia="zh-CN"/>
              </w:rPr>
              <w:t>节</w:t>
            </w:r>
          </w:p>
        </w:tc>
        <w:tc>
          <w:tcPr>
            <w:tcW w:w="8074" w:type="dxa"/>
          </w:tcPr>
          <w:p w14:paraId="125FB60D">
            <w:pPr>
              <w:pStyle w:val="21"/>
              <w:numPr>
                <w:ilvl w:val="0"/>
                <w:numId w:val="3"/>
              </w:numPr>
              <w:bidi w:val="0"/>
              <w:rPr>
                <w:rFonts w:hint="default"/>
                <w:color w:val="auto"/>
                <w:lang w:val="en-US" w:eastAsia="zh-CN"/>
              </w:rPr>
            </w:pPr>
            <w:r>
              <w:rPr>
                <w:rFonts w:hint="default"/>
                <w:color w:val="auto"/>
                <w:lang w:val="en-US" w:eastAsia="zh-CN"/>
              </w:rPr>
              <w:t>施工期工艺流程图及产污环节</w:t>
            </w:r>
          </w:p>
          <w:p w14:paraId="391FB5DB">
            <w:pPr>
              <w:pStyle w:val="22"/>
              <w:bidi w:val="0"/>
              <w:jc w:val="both"/>
              <w:rPr>
                <w:rFonts w:hint="eastAsia" w:ascii="宋体" w:hAnsi="宋体"/>
                <w:sz w:val="24"/>
              </w:rPr>
            </w:pPr>
            <w:r>
              <w:rPr>
                <w:rFonts w:hint="eastAsia" w:ascii="宋体" w:hAnsi="宋体"/>
                <w:sz w:val="24"/>
                <w:lang w:eastAsia="zh-CN"/>
              </w:rPr>
              <w:t>（</w:t>
            </w:r>
            <w:r>
              <w:rPr>
                <w:rFonts w:hint="eastAsia" w:ascii="宋体" w:hAnsi="宋体"/>
                <w:sz w:val="24"/>
                <w:lang w:val="en-US" w:eastAsia="zh-CN"/>
              </w:rPr>
              <w:t>1</w:t>
            </w:r>
            <w:r>
              <w:rPr>
                <w:rFonts w:hint="eastAsia" w:ascii="宋体" w:hAnsi="宋体"/>
                <w:sz w:val="24"/>
                <w:lang w:eastAsia="zh-CN"/>
              </w:rPr>
              <w:t>）</w:t>
            </w:r>
            <w:r>
              <w:rPr>
                <w:rFonts w:hint="eastAsia" w:ascii="宋体" w:hAnsi="宋体"/>
                <w:sz w:val="24"/>
              </w:rPr>
              <w:t>施工期工艺流程图：</w:t>
            </w:r>
          </w:p>
          <w:p w14:paraId="55CA3667">
            <w:pPr>
              <w:pStyle w:val="22"/>
              <w:bidi w:val="0"/>
              <w:ind w:left="0" w:leftChars="0" w:firstLine="0" w:firstLineChars="0"/>
              <w:jc w:val="both"/>
              <w:rPr>
                <w:rFonts w:hint="default" w:ascii="宋体" w:hAnsi="宋体"/>
                <w:sz w:val="24"/>
                <w:lang w:val="en-US" w:eastAsia="zh-CN"/>
              </w:rPr>
            </w:pPr>
            <w:r>
              <w:rPr>
                <w:rFonts w:hint="eastAsia"/>
                <w:lang w:val="en-US" w:eastAsia="zh-CN"/>
              </w:rPr>
              <w:t xml:space="preserve">  </w:t>
            </w:r>
            <w:r>
              <w:drawing>
                <wp:inline distT="0" distB="0" distL="114300" distR="114300">
                  <wp:extent cx="4619625" cy="1647825"/>
                  <wp:effectExtent l="0" t="0" r="9525" b="9525"/>
                  <wp:docPr id="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4"/>
                          <pic:cNvPicPr>
                            <a:picLocks noChangeAspect="1"/>
                          </pic:cNvPicPr>
                        </pic:nvPicPr>
                        <pic:blipFill>
                          <a:blip r:embed="rId8"/>
                          <a:srcRect b="4428"/>
                          <a:stretch>
                            <a:fillRect/>
                          </a:stretch>
                        </pic:blipFill>
                        <pic:spPr>
                          <a:xfrm>
                            <a:off x="0" y="0"/>
                            <a:ext cx="4619625" cy="1647825"/>
                          </a:xfrm>
                          <a:prstGeom prst="rect">
                            <a:avLst/>
                          </a:prstGeom>
                          <a:noFill/>
                          <a:ln>
                            <a:noFill/>
                          </a:ln>
                        </pic:spPr>
                      </pic:pic>
                    </a:graphicData>
                  </a:graphic>
                </wp:inline>
              </w:drawing>
            </w:r>
          </w:p>
          <w:p w14:paraId="1C3875C1">
            <w:pPr>
              <w:pStyle w:val="23"/>
              <w:bidi w:val="0"/>
              <w:rPr>
                <w:rFonts w:hint="default"/>
                <w:color w:val="auto"/>
                <w:lang w:val="en-US" w:eastAsia="zh-CN"/>
              </w:rPr>
            </w:pPr>
            <w:r>
              <w:rPr>
                <w:rFonts w:hint="default"/>
                <w:color w:val="auto"/>
                <w:lang w:val="en-US" w:eastAsia="zh-CN"/>
              </w:rPr>
              <w:t>图2-</w:t>
            </w:r>
            <w:r>
              <w:rPr>
                <w:rFonts w:hint="eastAsia"/>
                <w:color w:val="auto"/>
                <w:lang w:val="en-US" w:eastAsia="zh-CN"/>
              </w:rPr>
              <w:t>1</w:t>
            </w:r>
            <w:r>
              <w:rPr>
                <w:rFonts w:hint="default"/>
                <w:color w:val="4874CB" w:themeColor="accent1"/>
                <w:lang w:val="en-US" w:eastAsia="zh-CN"/>
                <w14:textFill>
                  <w14:solidFill>
                    <w14:schemeClr w14:val="accent1"/>
                  </w14:solidFill>
                </w14:textFill>
              </w:rPr>
              <w:t xml:space="preserve"> </w:t>
            </w:r>
            <w:r>
              <w:rPr>
                <w:rFonts w:hint="default"/>
                <w:color w:val="auto"/>
                <w:lang w:val="en-US" w:eastAsia="zh-CN"/>
              </w:rPr>
              <w:t>施工期工艺流程及产污节点图</w:t>
            </w:r>
          </w:p>
          <w:p w14:paraId="058BD7B1">
            <w:pPr>
              <w:spacing w:line="360" w:lineRule="auto"/>
              <w:rPr>
                <w:rFonts w:hint="eastAsia" w:ascii="宋体" w:hAnsi="宋体"/>
                <w:bCs/>
                <w:sz w:val="24"/>
                <w:szCs w:val="22"/>
              </w:rPr>
            </w:pPr>
            <w:r>
              <w:rPr>
                <w:rFonts w:hint="eastAsia" w:ascii="宋体" w:hAnsi="宋体"/>
                <w:bCs/>
                <w:sz w:val="24"/>
                <w:szCs w:val="22"/>
              </w:rPr>
              <w:t>（</w:t>
            </w:r>
            <w:r>
              <w:rPr>
                <w:rFonts w:hint="eastAsia" w:ascii="宋体" w:hAnsi="宋体"/>
                <w:bCs/>
                <w:sz w:val="24"/>
                <w:szCs w:val="22"/>
                <w:lang w:val="en-US" w:eastAsia="zh-CN"/>
              </w:rPr>
              <w:t>2</w:t>
            </w:r>
            <w:r>
              <w:rPr>
                <w:rFonts w:hint="eastAsia" w:ascii="宋体" w:hAnsi="宋体"/>
                <w:bCs/>
                <w:sz w:val="24"/>
                <w:szCs w:val="22"/>
              </w:rPr>
              <w:t>）施工期污染工序</w:t>
            </w:r>
          </w:p>
          <w:p w14:paraId="6438FCE1">
            <w:pPr>
              <w:pStyle w:val="26"/>
              <w:ind w:firstLine="474"/>
              <w:rPr>
                <w:sz w:val="24"/>
                <w:szCs w:val="24"/>
              </w:rPr>
            </w:pPr>
            <w:r>
              <w:rPr>
                <w:rFonts w:hint="eastAsia"/>
                <w:sz w:val="24"/>
                <w:szCs w:val="24"/>
                <w:lang w:val="en-US" w:eastAsia="zh-CN"/>
              </w:rPr>
              <w:t>①</w:t>
            </w:r>
            <w:r>
              <w:rPr>
                <w:rFonts w:hint="eastAsia"/>
                <w:sz w:val="24"/>
                <w:szCs w:val="24"/>
              </w:rPr>
              <w:t>噪声污染工序</w:t>
            </w:r>
          </w:p>
          <w:p w14:paraId="5F598B98">
            <w:pPr>
              <w:pStyle w:val="26"/>
              <w:ind w:firstLine="474"/>
              <w:rPr>
                <w:rFonts w:ascii="宋体" w:hAnsi="宋体" w:cs="宋体"/>
                <w:sz w:val="24"/>
                <w:szCs w:val="24"/>
              </w:rPr>
            </w:pPr>
            <w:r>
              <w:rPr>
                <w:rFonts w:hint="eastAsia" w:ascii="宋体" w:hAnsi="宋体" w:cs="宋体"/>
                <w:sz w:val="24"/>
                <w:szCs w:val="24"/>
              </w:rPr>
              <w:t>项目</w:t>
            </w:r>
            <w:r>
              <w:rPr>
                <w:rFonts w:ascii="宋体" w:hAnsi="宋体" w:cs="宋体"/>
                <w:sz w:val="24"/>
                <w:szCs w:val="24"/>
              </w:rPr>
              <w:t>施工期噪声</w:t>
            </w:r>
            <w:r>
              <w:rPr>
                <w:rFonts w:hint="eastAsia" w:ascii="宋体" w:hAnsi="宋体" w:cs="宋体"/>
                <w:sz w:val="24"/>
                <w:szCs w:val="24"/>
              </w:rPr>
              <w:t>污染</w:t>
            </w:r>
            <w:r>
              <w:rPr>
                <w:rFonts w:ascii="宋体" w:hAnsi="宋体" w:cs="宋体"/>
                <w:sz w:val="24"/>
                <w:szCs w:val="24"/>
              </w:rPr>
              <w:t>主要来自施工机械噪声、施工作业噪声和运输车辆噪声。</w:t>
            </w:r>
          </w:p>
          <w:p w14:paraId="1B197938">
            <w:pPr>
              <w:pStyle w:val="26"/>
              <w:ind w:firstLine="474"/>
              <w:rPr>
                <w:rFonts w:ascii="宋体" w:hAnsi="宋体" w:cs="宋体"/>
                <w:sz w:val="24"/>
                <w:szCs w:val="24"/>
              </w:rPr>
            </w:pPr>
            <w:r>
              <w:rPr>
                <w:rFonts w:hint="eastAsia" w:ascii="宋体" w:hAnsi="宋体" w:cs="宋体"/>
                <w:sz w:val="24"/>
                <w:szCs w:val="24"/>
                <w:lang w:val="en-US" w:eastAsia="zh-CN"/>
              </w:rPr>
              <w:t>②</w:t>
            </w:r>
            <w:r>
              <w:rPr>
                <w:rFonts w:hint="eastAsia" w:ascii="宋体" w:hAnsi="宋体" w:cs="宋体"/>
                <w:sz w:val="24"/>
                <w:szCs w:val="24"/>
              </w:rPr>
              <w:t>废气污染工序</w:t>
            </w:r>
          </w:p>
          <w:p w14:paraId="53B1FD39">
            <w:pPr>
              <w:pStyle w:val="26"/>
              <w:ind w:firstLine="474"/>
              <w:rPr>
                <w:rFonts w:hint="eastAsia"/>
                <w:sz w:val="24"/>
                <w:szCs w:val="24"/>
              </w:rPr>
            </w:pPr>
            <w:r>
              <w:rPr>
                <w:rFonts w:hint="eastAsia"/>
                <w:sz w:val="24"/>
              </w:rPr>
              <w:t>项目</w:t>
            </w:r>
            <w:r>
              <w:rPr>
                <w:sz w:val="24"/>
              </w:rPr>
              <w:t>施工期</w:t>
            </w:r>
            <w:r>
              <w:rPr>
                <w:rFonts w:hint="eastAsia"/>
                <w:sz w:val="24"/>
              </w:rPr>
              <w:t>废气污染为</w:t>
            </w:r>
            <w:r>
              <w:rPr>
                <w:sz w:val="24"/>
              </w:rPr>
              <w:t>施工扬尘</w:t>
            </w:r>
            <w:r>
              <w:rPr>
                <w:rFonts w:hint="eastAsia"/>
                <w:sz w:val="24"/>
              </w:rPr>
              <w:t>，施工机械和车辆尾气。</w:t>
            </w:r>
          </w:p>
          <w:p w14:paraId="49B72C65">
            <w:pPr>
              <w:pStyle w:val="26"/>
              <w:ind w:firstLine="474"/>
              <w:rPr>
                <w:rFonts w:hint="eastAsia"/>
                <w:sz w:val="24"/>
                <w:szCs w:val="24"/>
              </w:rPr>
            </w:pPr>
            <w:r>
              <w:rPr>
                <w:rFonts w:hint="eastAsia"/>
                <w:sz w:val="24"/>
                <w:szCs w:val="24"/>
                <w:lang w:val="en-US" w:eastAsia="zh-CN"/>
              </w:rPr>
              <w:t>③</w:t>
            </w:r>
            <w:r>
              <w:rPr>
                <w:rFonts w:hint="eastAsia"/>
                <w:sz w:val="24"/>
                <w:szCs w:val="24"/>
              </w:rPr>
              <w:t>废水污染工序</w:t>
            </w:r>
          </w:p>
          <w:p w14:paraId="77CE3D9A">
            <w:pPr>
              <w:pStyle w:val="26"/>
              <w:ind w:firstLine="474"/>
              <w:rPr>
                <w:rFonts w:hint="eastAsia"/>
                <w:sz w:val="24"/>
              </w:rPr>
            </w:pPr>
            <w:r>
              <w:rPr>
                <w:rFonts w:hint="eastAsia"/>
                <w:sz w:val="24"/>
              </w:rPr>
              <w:t>项目</w:t>
            </w:r>
            <w:r>
              <w:rPr>
                <w:sz w:val="24"/>
              </w:rPr>
              <w:t>施工期对</w:t>
            </w:r>
            <w:r>
              <w:rPr>
                <w:rFonts w:hint="eastAsia"/>
                <w:sz w:val="24"/>
              </w:rPr>
              <w:t>废水主要是</w:t>
            </w:r>
            <w:r>
              <w:rPr>
                <w:sz w:val="24"/>
              </w:rPr>
              <w:t>施工设备和运输车辆冲</w:t>
            </w:r>
            <w:r>
              <w:rPr>
                <w:rFonts w:hint="eastAsia"/>
                <w:sz w:val="24"/>
              </w:rPr>
              <w:t>洗废水。</w:t>
            </w:r>
          </w:p>
          <w:p w14:paraId="081342A9">
            <w:pPr>
              <w:pStyle w:val="26"/>
              <w:ind w:firstLine="474"/>
              <w:rPr>
                <w:rFonts w:hint="eastAsia"/>
                <w:sz w:val="24"/>
              </w:rPr>
            </w:pPr>
            <w:r>
              <w:rPr>
                <w:rFonts w:hint="eastAsia"/>
                <w:sz w:val="24"/>
                <w:lang w:val="en-US" w:eastAsia="zh-CN"/>
              </w:rPr>
              <w:t>④</w:t>
            </w:r>
            <w:r>
              <w:rPr>
                <w:rFonts w:hint="eastAsia"/>
                <w:sz w:val="24"/>
              </w:rPr>
              <w:t>固废污染工序</w:t>
            </w:r>
          </w:p>
          <w:p w14:paraId="0CCDF84D">
            <w:pPr>
              <w:pStyle w:val="26"/>
              <w:ind w:firstLine="474"/>
              <w:rPr>
                <w:rFonts w:hint="default"/>
                <w:color w:val="4874CB" w:themeColor="accent1"/>
                <w:lang w:val="en-US" w:eastAsia="zh-CN"/>
                <w14:textFill>
                  <w14:solidFill>
                    <w14:schemeClr w14:val="accent1"/>
                  </w14:solidFill>
                </w14:textFill>
              </w:rPr>
            </w:pPr>
            <w:r>
              <w:rPr>
                <w:rFonts w:hint="eastAsia" w:hAnsi="宋体"/>
                <w:sz w:val="24"/>
                <w:szCs w:val="24"/>
              </w:rPr>
              <w:t>项目施工期固体废物主要为</w:t>
            </w:r>
            <w:r>
              <w:rPr>
                <w:rFonts w:hint="eastAsia"/>
                <w:sz w:val="24"/>
              </w:rPr>
              <w:t>建筑垃圾与施工人员的生活垃圾。</w:t>
            </w:r>
          </w:p>
          <w:p w14:paraId="1A1E4556">
            <w:pPr>
              <w:pStyle w:val="21"/>
              <w:numPr>
                <w:ilvl w:val="0"/>
                <w:numId w:val="3"/>
              </w:numPr>
              <w:bidi w:val="0"/>
              <w:ind w:left="0" w:leftChars="0" w:firstLine="482" w:firstLineChars="200"/>
              <w:rPr>
                <w:rFonts w:hint="default"/>
                <w:color w:val="auto"/>
                <w:lang w:val="en-US" w:eastAsia="zh-CN"/>
              </w:rPr>
            </w:pPr>
            <w:r>
              <w:rPr>
                <w:rFonts w:hint="eastAsia"/>
                <w:color w:val="auto"/>
                <w:lang w:val="en-US" w:eastAsia="zh-CN"/>
              </w:rPr>
              <w:t>营运期</w:t>
            </w:r>
            <w:r>
              <w:rPr>
                <w:rFonts w:hint="default"/>
                <w:color w:val="auto"/>
                <w:lang w:val="en-US" w:eastAsia="zh-CN"/>
              </w:rPr>
              <w:t>工艺流程图及产污环节</w:t>
            </w:r>
          </w:p>
          <w:p w14:paraId="065E0314">
            <w:pPr>
              <w:pStyle w:val="21"/>
              <w:numPr>
                <w:ilvl w:val="0"/>
                <w:numId w:val="0"/>
              </w:numPr>
              <w:bidi w:val="0"/>
              <w:ind w:leftChars="200"/>
              <w:rPr>
                <w:rFonts w:hint="default"/>
                <w:color w:val="auto"/>
                <w:lang w:val="en-US" w:eastAsia="zh-CN"/>
              </w:rPr>
            </w:pPr>
            <w:r>
              <w:rPr>
                <w:rFonts w:hint="eastAsia"/>
                <w:color w:val="auto"/>
                <w:lang w:val="en-US" w:eastAsia="zh-CN"/>
              </w:rPr>
              <w:t>（1）生产</w:t>
            </w:r>
            <w:r>
              <w:rPr>
                <w:rFonts w:hint="default"/>
                <w:color w:val="auto"/>
                <w:lang w:val="en-US" w:eastAsia="zh-CN"/>
              </w:rPr>
              <w:t>工艺流程图及产污环节</w:t>
            </w:r>
          </w:p>
          <w:p w14:paraId="6A441807">
            <w:pPr>
              <w:widowControl/>
              <w:spacing w:line="360" w:lineRule="auto"/>
              <w:ind w:firstLine="480" w:firstLineChars="200"/>
              <w:rPr>
                <w:rFonts w:hint="eastAsia"/>
                <w:sz w:val="24"/>
                <w:u w:val="single" w:color="auto"/>
              </w:rPr>
            </w:pPr>
            <w:r>
              <w:rPr>
                <w:rFonts w:hint="eastAsia"/>
                <w:sz w:val="24"/>
                <w:u w:val="single" w:color="auto"/>
              </w:rPr>
              <w:t>生产工艺流程及产污工序见</w:t>
            </w:r>
            <w:r>
              <w:rPr>
                <w:rFonts w:hint="eastAsia"/>
                <w:sz w:val="24"/>
                <w:u w:val="single" w:color="auto"/>
                <w:lang w:val="en-US" w:eastAsia="zh-CN"/>
              </w:rPr>
              <w:t>下</w:t>
            </w:r>
            <w:r>
              <w:rPr>
                <w:rFonts w:hint="eastAsia"/>
                <w:sz w:val="24"/>
                <w:u w:val="single" w:color="auto"/>
              </w:rPr>
              <w:t>图。</w:t>
            </w:r>
          </w:p>
          <w:p w14:paraId="46A84056">
            <w:pPr>
              <w:pStyle w:val="7"/>
              <w:bidi w:val="0"/>
              <w:rPr>
                <w:rFonts w:hint="eastAsia"/>
                <w:color w:val="auto"/>
                <w:highlight w:val="none"/>
                <w:u w:val="single" w:color="auto"/>
              </w:rPr>
            </w:pPr>
            <w:r>
              <mc:AlternateContent>
                <mc:Choice Requires="wps">
                  <w:drawing>
                    <wp:anchor distT="0" distB="0" distL="114300" distR="114300" simplePos="0" relativeHeight="251670528" behindDoc="0" locked="0" layoutInCell="1" allowOverlap="1">
                      <wp:simplePos x="0" y="0"/>
                      <wp:positionH relativeFrom="column">
                        <wp:posOffset>1144270</wp:posOffset>
                      </wp:positionH>
                      <wp:positionV relativeFrom="paragraph">
                        <wp:posOffset>4199890</wp:posOffset>
                      </wp:positionV>
                      <wp:extent cx="13335" cy="861060"/>
                      <wp:effectExtent l="36830" t="0" r="26035" b="15240"/>
                      <wp:wrapNone/>
                      <wp:docPr id="11" name="直接箭头连接符 11"/>
                      <wp:cNvGraphicFramePr/>
                      <a:graphic xmlns:a="http://schemas.openxmlformats.org/drawingml/2006/main">
                        <a:graphicData uri="http://schemas.microsoft.com/office/word/2010/wordprocessingShape">
                          <wps:wsp>
                            <wps:cNvCnPr/>
                            <wps:spPr>
                              <a:xfrm flipH="1" flipV="1">
                                <a:off x="0" y="0"/>
                                <a:ext cx="13335" cy="8610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 y;margin-left:90.1pt;margin-top:330.7pt;height:67.8pt;width:1.05pt;z-index:251670528;mso-width-relative:page;mso-height-relative:page;" filled="f" stroked="t" coordsize="21600,21600" o:gfxdata="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YK2tkAAAALAQAADwAA&#10;AAAAAAABACAAAAAiAAAAZHJzL2Rvd25yZXYueG1sUEsBAhQAFAAAAAgAh07iQN/LQaQVAgAACQQA&#10;AA4AAAAAAAAAAQAgAAAAKAEAAGRycy9lMm9Eb2MueG1sUEsFBgAAAAAGAAYAWQEAAK8FA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1129030</wp:posOffset>
                      </wp:positionH>
                      <wp:positionV relativeFrom="paragraph">
                        <wp:posOffset>3474720</wp:posOffset>
                      </wp:positionV>
                      <wp:extent cx="7620" cy="685165"/>
                      <wp:effectExtent l="37465" t="0" r="31115" b="635"/>
                      <wp:wrapNone/>
                      <wp:docPr id="68" name="直接箭头连接符 68"/>
                      <wp:cNvGraphicFramePr/>
                      <a:graphic xmlns:a="http://schemas.openxmlformats.org/drawingml/2006/main">
                        <a:graphicData uri="http://schemas.microsoft.com/office/word/2010/wordprocessingShape">
                          <wps:wsp>
                            <wps:cNvCnPr/>
                            <wps:spPr>
                              <a:xfrm flipH="1">
                                <a:off x="0" y="0"/>
                                <a:ext cx="7620" cy="6851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88.9pt;margin-top:273.6pt;height:53.95pt;width:0.6pt;z-index:251669504;mso-width-relative:page;mso-height-relative:page;" filled="f" stroked="t" coordsize="21600,21600" o:gfxdata="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8yX7R2QAAAAsBAAAPAAAAAAAAAAEA&#10;IAAAACIAAABkcnMvZG93bnJldi54bWxQSwECFAAUAAAACACHTuJAJEjE5w4CAAD+AwAADgAAAAAA&#10;AAABACAAAAAoAQAAZHJzL2Uyb0RvYy54bWxQSwUGAAAAAAYABgBZAQAAqAUAAAAA&#10;">
                      <v:fill on="f" focussize="0,0"/>
                      <v:stroke color="#000000" joinstyle="round" endarrow="block"/>
                      <v:imagedata o:title=""/>
                      <o:lock v:ext="edit" aspectratio="f"/>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2943225</wp:posOffset>
                      </wp:positionH>
                      <wp:positionV relativeFrom="paragraph">
                        <wp:posOffset>4950460</wp:posOffset>
                      </wp:positionV>
                      <wp:extent cx="1445895" cy="57531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445895" cy="575594"/>
                              </a:xfrm>
                              <a:prstGeom prst="rect">
                                <a:avLst/>
                              </a:prstGeom>
                              <a:noFill/>
                              <a:ln w="6350">
                                <a:noFill/>
                              </a:ln>
                            </wps:spPr>
                            <wps:txbx>
                              <w:txbxContent>
                                <w:p w14:paraId="772941AE">
                                  <w:pPr>
                                    <w:ind w:left="0" w:leftChars="0" w:firstLine="0" w:firstLineChars="0"/>
                                    <w:jc w:val="center"/>
                                    <w:rPr>
                                      <w:szCs w:val="21"/>
                                    </w:rPr>
                                  </w:pPr>
                                  <w:r>
                                    <w:rPr>
                                      <w:rFonts w:hint="eastAsia"/>
                                      <w:szCs w:val="21"/>
                                    </w:rPr>
                                    <w:t>DA00</w:t>
                                  </w:r>
                                  <w:r>
                                    <w:rPr>
                                      <w:rFonts w:hint="eastAsia"/>
                                      <w:szCs w:val="21"/>
                                      <w:lang w:val="en-US" w:eastAsia="zh-CN"/>
                                    </w:rPr>
                                    <w:t>2</w:t>
                                  </w:r>
                                  <w:r>
                                    <w:rPr>
                                      <w:rFonts w:hint="eastAsia"/>
                                      <w:szCs w:val="21"/>
                                    </w:rPr>
                                    <w:t>排气筒</w:t>
                                  </w:r>
                                </w:p>
                              </w:txbxContent>
                            </wps:txbx>
                            <wps:bodyPr upright="1"/>
                          </wps:wsp>
                        </a:graphicData>
                      </a:graphic>
                    </wp:anchor>
                  </w:drawing>
                </mc:Choice>
                <mc:Fallback>
                  <w:pict>
                    <v:shape id="_x0000_s1026" o:spid="_x0000_s1026" o:spt="202" type="#_x0000_t202" style="position:absolute;left:0pt;margin-left:231.75pt;margin-top:389.8pt;height:45.3pt;width:113.85pt;z-index:251668480;mso-width-relative:page;mso-height-relative:page;" filled="f" stroked="f" coordsize="21600,21600" o:gfxdata="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R/LmNN0AAAALAQAADwAAAAAAAAABACAAAAAiAAAAZHJzL2Rvd25yZXYueG1sUEsB&#10;AhQAFAAAAAgAh07iQDxH45G3AQAAWQMAAA4AAAAAAAAAAQAgAAAALAEAAGRycy9lMm9Eb2MueG1s&#10;UEsFBgAAAAAGAAYAWQEAAFUFAAAAAA==&#10;">
                      <v:fill on="f" focussize="0,0"/>
                      <v:stroke on="f" weight="0.5pt"/>
                      <v:imagedata o:title=""/>
                      <o:lock v:ext="edit" aspectratio="f"/>
                      <v:textbox>
                        <w:txbxContent>
                          <w:p w14:paraId="772941AE">
                            <w:pPr>
                              <w:ind w:left="0" w:leftChars="0" w:firstLine="0" w:firstLineChars="0"/>
                              <w:jc w:val="center"/>
                              <w:rPr>
                                <w:szCs w:val="21"/>
                              </w:rPr>
                            </w:pPr>
                            <w:r>
                              <w:rPr>
                                <w:rFonts w:hint="eastAsia"/>
                                <w:szCs w:val="21"/>
                              </w:rPr>
                              <w:t>DA00</w:t>
                            </w:r>
                            <w:r>
                              <w:rPr>
                                <w:rFonts w:hint="eastAsia"/>
                                <w:szCs w:val="21"/>
                                <w:lang w:val="en-US" w:eastAsia="zh-CN"/>
                              </w:rPr>
                              <w:t>2</w:t>
                            </w:r>
                            <w:r>
                              <w:rPr>
                                <w:rFonts w:hint="eastAsia"/>
                                <w:szCs w:val="21"/>
                              </w:rPr>
                              <w:t>排气筒</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3013710</wp:posOffset>
                      </wp:positionH>
                      <wp:positionV relativeFrom="paragraph">
                        <wp:posOffset>4305935</wp:posOffset>
                      </wp:positionV>
                      <wp:extent cx="706755" cy="70231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706755" cy="702310"/>
                              </a:xfrm>
                              <a:prstGeom prst="rect">
                                <a:avLst/>
                              </a:prstGeom>
                              <a:noFill/>
                              <a:ln w="6350">
                                <a:noFill/>
                              </a:ln>
                            </wps:spPr>
                            <wps:txbx>
                              <w:txbxContent>
                                <w:p w14:paraId="220359F2">
                                  <w:pPr>
                                    <w:ind w:left="0" w:leftChars="0" w:firstLine="0" w:firstLineChars="0"/>
                                    <w:jc w:val="center"/>
                                    <w:rPr>
                                      <w:rFonts w:hint="default" w:eastAsia="宋体"/>
                                      <w:lang w:val="en-US" w:eastAsia="zh-CN"/>
                                    </w:rPr>
                                  </w:pPr>
                                  <w:r>
                                    <w:rPr>
                                      <w:rFonts w:hint="eastAsia"/>
                                      <w:lang w:val="en-US" w:eastAsia="zh-CN"/>
                                    </w:rPr>
                                    <w:t>热风炉烟气</w:t>
                                  </w:r>
                                </w:p>
                              </w:txbxContent>
                            </wps:txbx>
                            <wps:bodyPr upright="1"/>
                          </wps:wsp>
                        </a:graphicData>
                      </a:graphic>
                    </wp:anchor>
                  </w:drawing>
                </mc:Choice>
                <mc:Fallback>
                  <w:pict>
                    <v:shape id="_x0000_s1026" o:spid="_x0000_s1026" o:spt="202" type="#_x0000_t202" style="position:absolute;left:0pt;margin-left:237.3pt;margin-top:339.05pt;height:55.3pt;width:55.65pt;z-index:251667456;mso-width-relative:page;mso-height-relative:page;" filled="f" stroked="f" coordsize="21600,21600" o:gfxdata="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LRlkHtwAAAALAQAADwAAAAAAAAABACAAAAAiAAAAZHJzL2Rvd25yZXYueG1sUEsBAhQA&#10;FAAAAAgAh07iQNhfKeO1AQAAWAMAAA4AAAAAAAAAAQAgAAAAKwEAAGRycy9lMm9Eb2MueG1sUEsF&#10;BgAAAAAGAAYAWQEAAFIFAAAAAA==&#10;">
                      <v:fill on="f" focussize="0,0"/>
                      <v:stroke on="f" weight="0.5pt"/>
                      <v:imagedata o:title=""/>
                      <o:lock v:ext="edit" aspectratio="f"/>
                      <v:textbox>
                        <w:txbxContent>
                          <w:p w14:paraId="220359F2">
                            <w:pPr>
                              <w:ind w:left="0" w:leftChars="0" w:firstLine="0" w:firstLineChars="0"/>
                              <w:jc w:val="center"/>
                              <w:rPr>
                                <w:rFonts w:hint="default" w:eastAsia="宋体"/>
                                <w:lang w:val="en-US" w:eastAsia="zh-CN"/>
                              </w:rPr>
                            </w:pPr>
                            <w:r>
                              <w:rPr>
                                <w:rFonts w:hint="eastAsia"/>
                                <w:lang w:val="en-US" w:eastAsia="zh-CN"/>
                              </w:rPr>
                              <w:t>热风炉烟气</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3756025</wp:posOffset>
                      </wp:positionH>
                      <wp:positionV relativeFrom="paragraph">
                        <wp:posOffset>4360545</wp:posOffset>
                      </wp:positionV>
                      <wp:extent cx="7620" cy="624205"/>
                      <wp:effectExtent l="31115" t="0" r="37465" b="4445"/>
                      <wp:wrapNone/>
                      <wp:docPr id="58" name="直接箭头连接符 58"/>
                      <wp:cNvGraphicFramePr/>
                      <a:graphic xmlns:a="http://schemas.openxmlformats.org/drawingml/2006/main">
                        <a:graphicData uri="http://schemas.microsoft.com/office/word/2010/wordprocessingShape">
                          <wps:wsp>
                            <wps:cNvCnPr/>
                            <wps:spPr>
                              <a:xfrm>
                                <a:off x="0" y="0"/>
                                <a:ext cx="7620" cy="6242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95.75pt;margin-top:343.35pt;height:49.15pt;width:0.6pt;z-index:251666432;mso-width-relative:page;mso-height-relative:page;" filled="f" stroked="t" coordsize="21600,21600" o:gfxdata="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deR8twAAAALAQAADwAAAAAAAAABACAAAAAi&#10;AAAAZHJzL2Rvd25yZXYueG1sUEsBAhQAFAAAAAgAh07iQNZkOe8GAgAA9AMAAA4AAAAAAAAAAQAg&#10;AAAAKwEAAGRycy9lMm9Eb2MueG1sUEsFBgAAAAAGAAYAWQEAAKMFAAAAAA==&#10;">
                      <v:fill on="f" focussize="0,0"/>
                      <v:stroke color="#000000" joinstyle="round" endarrow="block"/>
                      <v:imagedata o:title=""/>
                      <o:lock v:ext="edit" aspectratio="f"/>
                    </v:shape>
                  </w:pict>
                </mc:Fallback>
              </mc:AlternateContent>
            </w:r>
            <w:r>
              <w:rPr>
                <w:u w:val="single" w:color="auto"/>
              </w:rPr>
              <mc:AlternateContent>
                <mc:Choice Requires="wps">
                  <w:drawing>
                    <wp:anchor distT="0" distB="0" distL="114300" distR="114300" simplePos="0" relativeHeight="251664384" behindDoc="0" locked="0" layoutInCell="1" allowOverlap="1">
                      <wp:simplePos x="0" y="0"/>
                      <wp:positionH relativeFrom="column">
                        <wp:posOffset>2487930</wp:posOffset>
                      </wp:positionH>
                      <wp:positionV relativeFrom="paragraph">
                        <wp:posOffset>6573520</wp:posOffset>
                      </wp:positionV>
                      <wp:extent cx="12065" cy="426720"/>
                      <wp:effectExtent l="27940" t="0" r="36195" b="11430"/>
                      <wp:wrapNone/>
                      <wp:docPr id="283" name="直接箭头连接符 283"/>
                      <wp:cNvGraphicFramePr/>
                      <a:graphic xmlns:a="http://schemas.openxmlformats.org/drawingml/2006/main">
                        <a:graphicData uri="http://schemas.microsoft.com/office/word/2010/wordprocessingShape">
                          <wps:wsp>
                            <wps:cNvCnPr/>
                            <wps:spPr>
                              <a:xfrm>
                                <a:off x="0" y="0"/>
                                <a:ext cx="12065" cy="4267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195.9pt;margin-top:517.6pt;height:33.6pt;width:0.95pt;z-index:251664384;mso-width-relative:page;mso-height-relative:page;" filled="f" stroked="t" coordsize="21600,21600" o:gfxdata="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GFW2e90AAAANAQAADwAAAAAAAAAB&#10;ACAAAAAiAAAAZHJzL2Rvd25yZXYueG1sUEsBAhQAFAAAAAgAh07iQOn8ejYLAgAA9wMAAA4AAAAA&#10;AAAAAQAgAAAALAEAAGRycy9lMm9Eb2MueG1sUEsFBgAAAAAGAAYAWQEAAKkFAAAAAA==&#10;">
                      <v:fill on="f" focussize="0,0"/>
                      <v:stroke color="#000000" joinstyle="round" endarrow="block"/>
                      <v:imagedata o:title=""/>
                      <o:lock v:ext="edit" aspectratio="f"/>
                    </v:shape>
                  </w:pict>
                </mc:Fallback>
              </mc:AlternateContent>
            </w:r>
            <w:r>
              <w:rPr>
                <w:u w:val="single" w:color="auto"/>
              </w:rPr>
              <mc:AlternateContent>
                <mc:Choice Requires="wps">
                  <w:drawing>
                    <wp:anchor distT="0" distB="0" distL="114300" distR="114300" simplePos="0" relativeHeight="251663360" behindDoc="0" locked="0" layoutInCell="1" allowOverlap="1">
                      <wp:simplePos x="0" y="0"/>
                      <wp:positionH relativeFrom="column">
                        <wp:posOffset>2167255</wp:posOffset>
                      </wp:positionH>
                      <wp:positionV relativeFrom="paragraph">
                        <wp:posOffset>5450840</wp:posOffset>
                      </wp:positionV>
                      <wp:extent cx="615950" cy="323850"/>
                      <wp:effectExtent l="4445" t="4445" r="8255" b="14605"/>
                      <wp:wrapNone/>
                      <wp:docPr id="274" name="文本框 274"/>
                      <wp:cNvGraphicFramePr/>
                      <a:graphic xmlns:a="http://schemas.openxmlformats.org/drawingml/2006/main">
                        <a:graphicData uri="http://schemas.microsoft.com/office/word/2010/wordprocessingShape">
                          <wps:wsp>
                            <wps:cNvSpPr txBox="1"/>
                            <wps:spPr>
                              <a:xfrm>
                                <a:off x="0" y="0"/>
                                <a:ext cx="615950" cy="323850"/>
                              </a:xfrm>
                              <a:prstGeom prst="rect">
                                <a:avLst/>
                              </a:prstGeom>
                              <a:noFill/>
                              <a:ln w="6350" cap="flat" cmpd="sng">
                                <a:solidFill>
                                  <a:srgbClr val="000000"/>
                                </a:solidFill>
                                <a:prstDash val="solid"/>
                                <a:miter/>
                                <a:headEnd type="none" w="med" len="med"/>
                                <a:tailEnd type="none" w="med" len="med"/>
                              </a:ln>
                            </wps:spPr>
                            <wps:txbx>
                              <w:txbxContent>
                                <w:p w14:paraId="6AAEA642">
                                  <w:pPr>
                                    <w:ind w:left="0" w:leftChars="0" w:firstLine="0" w:firstLineChars="0"/>
                                    <w:jc w:val="center"/>
                                    <w:rPr>
                                      <w:rFonts w:hint="eastAsia" w:eastAsia="宋体"/>
                                      <w:lang w:val="en-US" w:eastAsia="zh-CN"/>
                                    </w:rPr>
                                  </w:pPr>
                                  <w:r>
                                    <w:rPr>
                                      <w:rFonts w:hint="eastAsia"/>
                                    </w:rPr>
                                    <w:t>包</w:t>
                                  </w:r>
                                  <w:r>
                                    <w:rPr>
                                      <w:rFonts w:hint="eastAsia"/>
                                      <w:lang w:val="en-US" w:eastAsia="zh-CN"/>
                                    </w:rPr>
                                    <w:t>膜</w:t>
                                  </w:r>
                                </w:p>
                              </w:txbxContent>
                            </wps:txbx>
                            <wps:bodyPr upright="1"/>
                          </wps:wsp>
                        </a:graphicData>
                      </a:graphic>
                    </wp:anchor>
                  </w:drawing>
                </mc:Choice>
                <mc:Fallback>
                  <w:pict>
                    <v:shape id="_x0000_s1026" o:spid="_x0000_s1026" o:spt="202" type="#_x0000_t202" style="position:absolute;left:0pt;margin-left:170.65pt;margin-top:429.2pt;height:25.5pt;width:48.5pt;z-index:251663360;mso-width-relative:page;mso-height-relative:page;" filled="f" stroked="t" coordsize="21600,21600" o:gfxdata="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ZH2zbAAAACwEAAA8AAAAAAAAAAQAgAAAAIgAA&#10;AGRycy9kb3ducmV2LnhtbFBLAQIUABQAAAAIAIdO4kCxU9dsBQIAABAEAAAOAAAAAAAAAAEAIAAA&#10;ACoBAABkcnMvZTJvRG9jLnhtbFBLBQYAAAAABgAGAFkBAAChBQAAAAA=&#10;">
                      <v:fill on="f" focussize="0,0"/>
                      <v:stroke weight="0.5pt" color="#000000" joinstyle="miter"/>
                      <v:imagedata o:title=""/>
                      <o:lock v:ext="edit" aspectratio="f"/>
                      <v:textbox>
                        <w:txbxContent>
                          <w:p w14:paraId="6AAEA642">
                            <w:pPr>
                              <w:ind w:left="0" w:leftChars="0" w:firstLine="0" w:firstLineChars="0"/>
                              <w:jc w:val="center"/>
                              <w:rPr>
                                <w:rFonts w:hint="eastAsia" w:eastAsia="宋体"/>
                                <w:lang w:val="en-US" w:eastAsia="zh-CN"/>
                              </w:rPr>
                            </w:pPr>
                            <w:r>
                              <w:rPr>
                                <w:rFonts w:hint="eastAsia"/>
                              </w:rPr>
                              <w:t>包</w:t>
                            </w:r>
                            <w:r>
                              <w:rPr>
                                <w:rFonts w:hint="eastAsia"/>
                                <w:lang w:val="en-US" w:eastAsia="zh-CN"/>
                              </w:rPr>
                              <w:t>膜</w:t>
                            </w:r>
                          </w:p>
                        </w:txbxContent>
                      </v:textbox>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3388995</wp:posOffset>
                      </wp:positionH>
                      <wp:positionV relativeFrom="paragraph">
                        <wp:posOffset>3939540</wp:posOffset>
                      </wp:positionV>
                      <wp:extent cx="795020" cy="393065"/>
                      <wp:effectExtent l="4445" t="4445" r="19685" b="21590"/>
                      <wp:wrapNone/>
                      <wp:docPr id="55" name="文本框 55"/>
                      <wp:cNvGraphicFramePr/>
                      <a:graphic xmlns:a="http://schemas.openxmlformats.org/drawingml/2006/main">
                        <a:graphicData uri="http://schemas.microsoft.com/office/word/2010/wordprocessingShape">
                          <wps:wsp>
                            <wps:cNvSpPr txBox="1"/>
                            <wps:spPr>
                              <a:xfrm>
                                <a:off x="0" y="0"/>
                                <a:ext cx="795020" cy="392976"/>
                              </a:xfrm>
                              <a:prstGeom prst="rect">
                                <a:avLst/>
                              </a:prstGeom>
                              <a:noFill/>
                              <a:ln w="6350" cap="flat" cmpd="sng">
                                <a:solidFill>
                                  <a:srgbClr val="000000"/>
                                </a:solidFill>
                                <a:prstDash val="solid"/>
                                <a:miter/>
                                <a:headEnd type="none" w="med" len="med"/>
                                <a:tailEnd type="none" w="med" len="med"/>
                              </a:ln>
                            </wps:spPr>
                            <wps:txbx>
                              <w:txbxContent>
                                <w:p w14:paraId="6218EE84">
                                  <w:pPr>
                                    <w:ind w:left="0" w:leftChars="0" w:firstLine="0" w:firstLineChars="0"/>
                                    <w:jc w:val="center"/>
                                    <w:rPr>
                                      <w:rFonts w:hint="default" w:eastAsia="宋体"/>
                                      <w:lang w:val="en-US" w:eastAsia="zh-CN"/>
                                    </w:rPr>
                                  </w:pPr>
                                  <w:r>
                                    <w:rPr>
                                      <w:rFonts w:hint="eastAsia"/>
                                      <w:lang w:val="en-US" w:eastAsia="zh-CN"/>
                                    </w:rPr>
                                    <w:t>热风炉</w:t>
                                  </w:r>
                                </w:p>
                                <w:p w14:paraId="037BA2C1">
                                  <w:pPr>
                                    <w:jc w:val="center"/>
                                  </w:pPr>
                                </w:p>
                              </w:txbxContent>
                            </wps:txbx>
                            <wps:bodyPr upright="1"/>
                          </wps:wsp>
                        </a:graphicData>
                      </a:graphic>
                    </wp:anchor>
                  </w:drawing>
                </mc:Choice>
                <mc:Fallback>
                  <w:pict>
                    <v:shape id="_x0000_s1026" o:spid="_x0000_s1026" o:spt="202" type="#_x0000_t202" style="position:absolute;left:0pt;margin-left:266.85pt;margin-top:310.2pt;height:30.95pt;width:62.6pt;z-index:251665408;mso-width-relative:page;mso-height-relative:page;" filled="f" stroked="t" coordsize="21600,21600" o:gfxdata="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2aVUO3AAAAAsBAAAPAAAAAAAAAAEAIAAAACIA&#10;AABkcnMvZG93bnJldi54bWxQSwECFAAUAAAACACHTuJA3sVVIwUCAAAOBAAADgAAAAAAAAABACAA&#10;AAArAQAAZHJzL2Uyb0RvYy54bWxQSwUGAAAAAAYABgBZAQAAogUAAAAA&#10;">
                      <v:fill on="f" focussize="0,0"/>
                      <v:stroke weight="0.5pt" color="#000000" joinstyle="miter"/>
                      <v:imagedata o:title=""/>
                      <o:lock v:ext="edit" aspectratio="f"/>
                      <v:textbox>
                        <w:txbxContent>
                          <w:p w14:paraId="6218EE84">
                            <w:pPr>
                              <w:ind w:left="0" w:leftChars="0" w:firstLine="0" w:firstLineChars="0"/>
                              <w:jc w:val="center"/>
                              <w:rPr>
                                <w:rFonts w:hint="default" w:eastAsia="宋体"/>
                                <w:lang w:val="en-US" w:eastAsia="zh-CN"/>
                              </w:rPr>
                            </w:pPr>
                            <w:r>
                              <w:rPr>
                                <w:rFonts w:hint="eastAsia"/>
                                <w:lang w:val="en-US" w:eastAsia="zh-CN"/>
                              </w:rPr>
                              <w:t>热风炉</w:t>
                            </w:r>
                          </w:p>
                          <w:p w14:paraId="037BA2C1">
                            <w:pPr>
                              <w:jc w:val="center"/>
                            </w:pPr>
                          </w:p>
                        </w:txbxContent>
                      </v:textbox>
                    </v:shape>
                  </w:pict>
                </mc:Fallback>
              </mc:AlternateContent>
            </w:r>
            <w:r>
              <w:rPr>
                <w:rFonts w:ascii="Times New Roman" w:hAnsi="Times New Roman"/>
                <w:sz w:val="24"/>
                <w:u w:val="single" w:color="auto"/>
              </w:rPr>
              <mc:AlternateContent>
                <mc:Choice Requires="wpg">
                  <w:drawing>
                    <wp:inline distT="0" distB="0" distL="114300" distR="114300">
                      <wp:extent cx="4461510" cy="7847965"/>
                      <wp:effectExtent l="0" t="0" r="733425" b="0"/>
                      <wp:docPr id="46" name="组合 46"/>
                      <wp:cNvGraphicFramePr/>
                      <a:graphic xmlns:a="http://schemas.openxmlformats.org/drawingml/2006/main">
                        <a:graphicData uri="http://schemas.microsoft.com/office/word/2010/wordprocessingGroup">
                          <wpg:wgp>
                            <wpg:cNvGrpSpPr>
                              <a:grpSpLocks noRot="1"/>
                            </wpg:cNvGrpSpPr>
                            <wpg:grpSpPr>
                              <a:xfrm>
                                <a:off x="0" y="0"/>
                                <a:ext cx="4461510" cy="7847965"/>
                                <a:chOff x="2562" y="4934"/>
                                <a:chExt cx="7026" cy="10185"/>
                              </a:xfrm>
                            </wpg:grpSpPr>
                            <wps:wsp>
                              <wps:cNvPr id="217" name="文本框 217"/>
                              <wps:cNvSpPr txBox="1"/>
                              <wps:spPr>
                                <a:xfrm>
                                  <a:off x="2724" y="4934"/>
                                  <a:ext cx="6864" cy="1011"/>
                                </a:xfrm>
                                <a:prstGeom prst="rect">
                                  <a:avLst/>
                                </a:prstGeom>
                                <a:noFill/>
                                <a:ln w="6350" cap="flat" cmpd="sng">
                                  <a:solidFill>
                                    <a:srgbClr val="000000"/>
                                  </a:solidFill>
                                  <a:prstDash val="sysDot"/>
                                  <a:miter/>
                                  <a:headEnd type="none" w="med" len="med"/>
                                  <a:tailEnd type="none" w="med" len="med"/>
                                </a:ln>
                              </wps:spPr>
                              <wps:txbx>
                                <w:txbxContent>
                                  <w:p w14:paraId="2577B3AF">
                                    <w:r>
                                      <w:rPr>
                                        <w:rFonts w:hint="eastAsia"/>
                                        <w:b/>
                                      </w:rPr>
                                      <w:t>复合肥</w:t>
                                    </w:r>
                                    <w:r>
                                      <w:rPr>
                                        <w:rFonts w:hint="eastAsia"/>
                                      </w:rPr>
                                      <w:t>：</w:t>
                                    </w:r>
                                    <w:r>
                                      <w:rPr>
                                        <w:rFonts w:hint="eastAsia"/>
                                        <w:lang w:val="en-US" w:eastAsia="zh-CN"/>
                                      </w:rPr>
                                      <w:t>尿素、</w:t>
                                    </w:r>
                                    <w:r>
                                      <w:rPr>
                                        <w:rFonts w:hint="eastAsia"/>
                                      </w:rPr>
                                      <w:t>氯化铵、磷酸一铵、硫酸</w:t>
                                    </w:r>
                                    <w:r>
                                      <w:rPr>
                                        <w:rFonts w:hint="eastAsia"/>
                                        <w:lang w:val="en-US" w:eastAsia="zh-CN"/>
                                      </w:rPr>
                                      <w:t>钾</w:t>
                                    </w:r>
                                    <w:r>
                                      <w:rPr>
                                        <w:rFonts w:hint="eastAsia"/>
                                      </w:rPr>
                                      <w:t>、碳酸氢铵、氯化钾、膨润土</w:t>
                                    </w:r>
                                  </w:p>
                                </w:txbxContent>
                              </wps:txbx>
                              <wps:bodyPr upright="1"/>
                            </wps:wsp>
                            <wps:wsp>
                              <wps:cNvPr id="218" name="直接箭头连接符 218"/>
                              <wps:cNvCnPr/>
                              <wps:spPr>
                                <a:xfrm>
                                  <a:off x="6497" y="5730"/>
                                  <a:ext cx="0" cy="523"/>
                                </a:xfrm>
                                <a:prstGeom prst="straightConnector1">
                                  <a:avLst/>
                                </a:prstGeom>
                                <a:ln w="9525" cap="flat" cmpd="sng">
                                  <a:solidFill>
                                    <a:srgbClr val="000000"/>
                                  </a:solidFill>
                                  <a:prstDash val="solid"/>
                                  <a:headEnd type="none" w="med" len="med"/>
                                  <a:tailEnd type="triangle" w="med" len="med"/>
                                </a:ln>
                              </wps:spPr>
                              <wps:bodyPr/>
                            </wps:wsp>
                            <wps:wsp>
                              <wps:cNvPr id="219" name="文本框 219"/>
                              <wps:cNvSpPr txBox="1"/>
                              <wps:spPr>
                                <a:xfrm>
                                  <a:off x="5864" y="7220"/>
                                  <a:ext cx="1360" cy="510"/>
                                </a:xfrm>
                                <a:prstGeom prst="rect">
                                  <a:avLst/>
                                </a:prstGeom>
                                <a:noFill/>
                                <a:ln w="6350" cap="flat" cmpd="sng">
                                  <a:solidFill>
                                    <a:srgbClr val="000000"/>
                                  </a:solidFill>
                                  <a:prstDash val="solid"/>
                                  <a:miter/>
                                  <a:headEnd type="none" w="med" len="med"/>
                                  <a:tailEnd type="none" w="med" len="med"/>
                                </a:ln>
                              </wps:spPr>
                              <wps:txbx>
                                <w:txbxContent>
                                  <w:p w14:paraId="0A313169">
                                    <w:pPr>
                                      <w:ind w:left="0" w:leftChars="0" w:firstLine="0" w:firstLineChars="0"/>
                                      <w:jc w:val="center"/>
                                    </w:pPr>
                                    <w:r>
                                      <w:rPr>
                                        <w:rFonts w:hint="eastAsia"/>
                                      </w:rPr>
                                      <w:t>搅拌</w:t>
                                    </w:r>
                                  </w:p>
                                </w:txbxContent>
                              </wps:txbx>
                              <wps:bodyPr upright="1"/>
                            </wps:wsp>
                            <wps:wsp>
                              <wps:cNvPr id="220" name="直接箭头连接符 220"/>
                              <wps:cNvCnPr/>
                              <wps:spPr>
                                <a:xfrm>
                                  <a:off x="6527" y="7726"/>
                                  <a:ext cx="0" cy="462"/>
                                </a:xfrm>
                                <a:prstGeom prst="straightConnector1">
                                  <a:avLst/>
                                </a:prstGeom>
                                <a:ln w="9525" cap="flat" cmpd="sng">
                                  <a:solidFill>
                                    <a:srgbClr val="000000"/>
                                  </a:solidFill>
                                  <a:prstDash val="solid"/>
                                  <a:headEnd type="none" w="med" len="med"/>
                                  <a:tailEnd type="triangle" w="med" len="med"/>
                                </a:ln>
                              </wps:spPr>
                              <wps:bodyPr/>
                            </wps:wsp>
                            <wps:wsp>
                              <wps:cNvPr id="221" name="文本框 221"/>
                              <wps:cNvSpPr txBox="1"/>
                              <wps:spPr>
                                <a:xfrm>
                                  <a:off x="5917" y="8188"/>
                                  <a:ext cx="1180" cy="510"/>
                                </a:xfrm>
                                <a:prstGeom prst="rect">
                                  <a:avLst/>
                                </a:prstGeom>
                                <a:noFill/>
                                <a:ln w="6350" cap="flat" cmpd="sng">
                                  <a:solidFill>
                                    <a:srgbClr val="000000"/>
                                  </a:solidFill>
                                  <a:prstDash val="solid"/>
                                  <a:miter/>
                                  <a:headEnd type="none" w="med" len="med"/>
                                  <a:tailEnd type="none" w="med" len="med"/>
                                </a:ln>
                              </wps:spPr>
                              <wps:txbx>
                                <w:txbxContent>
                                  <w:p w14:paraId="7813F4C5">
                                    <w:pPr>
                                      <w:ind w:left="0" w:leftChars="0" w:firstLine="0" w:firstLineChars="0"/>
                                      <w:jc w:val="center"/>
                                    </w:pPr>
                                    <w:r>
                                      <w:t>破碎</w:t>
                                    </w:r>
                                  </w:p>
                                </w:txbxContent>
                              </wps:txbx>
                              <wps:bodyPr upright="1"/>
                            </wps:wsp>
                            <wps:wsp>
                              <wps:cNvPr id="222" name="直接箭头连接符 222"/>
                              <wps:cNvCnPr>
                                <a:endCxn id="255" idx="0"/>
                              </wps:cNvCnPr>
                              <wps:spPr>
                                <a:xfrm>
                                  <a:off x="3369" y="7467"/>
                                  <a:ext cx="8" cy="5843"/>
                                </a:xfrm>
                                <a:prstGeom prst="straightConnector1">
                                  <a:avLst/>
                                </a:prstGeom>
                                <a:ln w="9525" cap="flat" cmpd="sng">
                                  <a:solidFill>
                                    <a:srgbClr val="000000"/>
                                  </a:solidFill>
                                  <a:prstDash val="dash"/>
                                  <a:headEnd type="none" w="med" len="med"/>
                                  <a:tailEnd type="triangle" w="med" len="med"/>
                                </a:ln>
                              </wps:spPr>
                              <wps:bodyPr/>
                            </wps:wsp>
                            <wps:wsp>
                              <wps:cNvPr id="223" name="文本框 223"/>
                              <wps:cNvSpPr txBox="1"/>
                              <wps:spPr>
                                <a:xfrm>
                                  <a:off x="7428" y="13908"/>
                                  <a:ext cx="1275" cy="611"/>
                                </a:xfrm>
                                <a:prstGeom prst="rect">
                                  <a:avLst/>
                                </a:prstGeom>
                                <a:noFill/>
                                <a:ln w="6350">
                                  <a:noFill/>
                                </a:ln>
                              </wps:spPr>
                              <wps:txbx>
                                <w:txbxContent>
                                  <w:p w14:paraId="57DD6A43">
                                    <w:pPr>
                                      <w:ind w:left="0" w:leftChars="0" w:firstLine="0" w:firstLineChars="0"/>
                                      <w:jc w:val="center"/>
                                      <w:rPr>
                                        <w:szCs w:val="21"/>
                                      </w:rPr>
                                    </w:pPr>
                                    <w:r>
                                      <w:rPr>
                                        <w:rFonts w:hint="eastAsia"/>
                                        <w:szCs w:val="21"/>
                                      </w:rPr>
                                      <w:t>产品</w:t>
                                    </w:r>
                                  </w:p>
                                </w:txbxContent>
                              </wps:txbx>
                              <wps:bodyPr upright="1"/>
                            </wps:wsp>
                            <wps:wsp>
                              <wps:cNvPr id="224" name="文本框 224"/>
                              <wps:cNvSpPr txBox="1"/>
                              <wps:spPr>
                                <a:xfrm>
                                  <a:off x="5905" y="9175"/>
                                  <a:ext cx="1252" cy="510"/>
                                </a:xfrm>
                                <a:prstGeom prst="rect">
                                  <a:avLst/>
                                </a:prstGeom>
                                <a:noFill/>
                                <a:ln w="6350" cap="flat" cmpd="sng">
                                  <a:solidFill>
                                    <a:srgbClr val="000000"/>
                                  </a:solidFill>
                                  <a:prstDash val="solid"/>
                                  <a:miter/>
                                  <a:headEnd type="none" w="med" len="med"/>
                                  <a:tailEnd type="none" w="med" len="med"/>
                                </a:ln>
                              </wps:spPr>
                              <wps:txbx>
                                <w:txbxContent>
                                  <w:p w14:paraId="625350FD">
                                    <w:pPr>
                                      <w:ind w:left="0" w:leftChars="0" w:firstLine="0" w:firstLineChars="0"/>
                                      <w:jc w:val="center"/>
                                    </w:pPr>
                                    <w:r>
                                      <w:rPr>
                                        <w:rFonts w:hint="eastAsia"/>
                                      </w:rPr>
                                      <w:t>造粒</w:t>
                                    </w:r>
                                  </w:p>
                                  <w:p w14:paraId="1DD8EBA6">
                                    <w:pPr>
                                      <w:jc w:val="center"/>
                                    </w:pPr>
                                  </w:p>
                                </w:txbxContent>
                              </wps:txbx>
                              <wps:bodyPr upright="1"/>
                            </wps:wsp>
                            <wps:wsp>
                              <wps:cNvPr id="225" name="文本框 225"/>
                              <wps:cNvSpPr txBox="1"/>
                              <wps:spPr>
                                <a:xfrm>
                                  <a:off x="6127" y="10121"/>
                                  <a:ext cx="784" cy="510"/>
                                </a:xfrm>
                                <a:prstGeom prst="rect">
                                  <a:avLst/>
                                </a:prstGeom>
                                <a:noFill/>
                                <a:ln w="6350" cap="flat" cmpd="sng">
                                  <a:solidFill>
                                    <a:srgbClr val="000000"/>
                                  </a:solidFill>
                                  <a:prstDash val="solid"/>
                                  <a:miter/>
                                  <a:headEnd type="none" w="med" len="med"/>
                                  <a:tailEnd type="none" w="med" len="med"/>
                                </a:ln>
                              </wps:spPr>
                              <wps:txbx>
                                <w:txbxContent>
                                  <w:p w14:paraId="06175775">
                                    <w:pPr>
                                      <w:ind w:left="0" w:leftChars="0" w:firstLine="0" w:firstLineChars="0"/>
                                      <w:jc w:val="both"/>
                                    </w:pPr>
                                    <w:r>
                                      <w:rPr>
                                        <w:rFonts w:hint="eastAsia"/>
                                      </w:rPr>
                                      <w:t>烘干</w:t>
                                    </w:r>
                                  </w:p>
                                </w:txbxContent>
                              </wps:txbx>
                              <wps:bodyPr upright="1"/>
                            </wps:wsp>
                            <wps:wsp>
                              <wps:cNvPr id="226" name="文本框 226"/>
                              <wps:cNvSpPr txBox="1"/>
                              <wps:spPr>
                                <a:xfrm>
                                  <a:off x="6127" y="11152"/>
                                  <a:ext cx="791" cy="510"/>
                                </a:xfrm>
                                <a:prstGeom prst="rect">
                                  <a:avLst/>
                                </a:prstGeom>
                                <a:noFill/>
                                <a:ln w="6350" cap="flat" cmpd="sng">
                                  <a:solidFill>
                                    <a:srgbClr val="000000"/>
                                  </a:solidFill>
                                  <a:prstDash val="solid"/>
                                  <a:miter/>
                                  <a:headEnd type="none" w="med" len="med"/>
                                  <a:tailEnd type="none" w="med" len="med"/>
                                </a:ln>
                              </wps:spPr>
                              <wps:txbx>
                                <w:txbxContent>
                                  <w:p w14:paraId="50733365">
                                    <w:pPr>
                                      <w:ind w:left="0" w:leftChars="0" w:firstLine="0" w:firstLineChars="0"/>
                                      <w:jc w:val="center"/>
                                    </w:pPr>
                                    <w:r>
                                      <w:rPr>
                                        <w:rFonts w:hint="eastAsia"/>
                                      </w:rPr>
                                      <w:t>冷却</w:t>
                                    </w:r>
                                  </w:p>
                                </w:txbxContent>
                              </wps:txbx>
                              <wps:bodyPr upright="1"/>
                            </wps:wsp>
                            <wps:wsp>
                              <wps:cNvPr id="228" name="文本框 228"/>
                              <wps:cNvSpPr txBox="1"/>
                              <wps:spPr>
                                <a:xfrm>
                                  <a:off x="7882" y="9190"/>
                                  <a:ext cx="1353" cy="510"/>
                                </a:xfrm>
                                <a:prstGeom prst="rect">
                                  <a:avLst/>
                                </a:prstGeom>
                                <a:noFill/>
                                <a:ln w="6350" cap="flat" cmpd="sng">
                                  <a:solidFill>
                                    <a:srgbClr val="000000"/>
                                  </a:solidFill>
                                  <a:prstDash val="sysDot"/>
                                  <a:miter/>
                                  <a:headEnd type="none" w="med" len="med"/>
                                  <a:tailEnd type="none" w="med" len="med"/>
                                </a:ln>
                              </wps:spPr>
                              <wps:txbx>
                                <w:txbxContent>
                                  <w:p w14:paraId="128499E8">
                                    <w:pPr>
                                      <w:jc w:val="both"/>
                                    </w:pPr>
                                    <w:r>
                                      <w:rPr>
                                        <w:rFonts w:hint="eastAsia"/>
                                      </w:rPr>
                                      <w:t>水（配比）</w:t>
                                    </w:r>
                                  </w:p>
                                </w:txbxContent>
                              </wps:txbx>
                              <wps:bodyPr upright="1"/>
                            </wps:wsp>
                            <wps:wsp>
                              <wps:cNvPr id="229" name="直接箭头连接符 229"/>
                              <wps:cNvCnPr/>
                              <wps:spPr>
                                <a:xfrm>
                                  <a:off x="6512" y="6823"/>
                                  <a:ext cx="1" cy="408"/>
                                </a:xfrm>
                                <a:prstGeom prst="straightConnector1">
                                  <a:avLst/>
                                </a:prstGeom>
                                <a:ln w="9525" cap="flat" cmpd="sng">
                                  <a:solidFill>
                                    <a:srgbClr val="000000"/>
                                  </a:solidFill>
                                  <a:prstDash val="solid"/>
                                  <a:headEnd type="none" w="med" len="med"/>
                                  <a:tailEnd type="triangle" w="med" len="med"/>
                                </a:ln>
                              </wps:spPr>
                              <wps:bodyPr/>
                            </wps:wsp>
                            <wps:wsp>
                              <wps:cNvPr id="230" name="文本框 230"/>
                              <wps:cNvSpPr txBox="1"/>
                              <wps:spPr>
                                <a:xfrm>
                                  <a:off x="5901" y="12892"/>
                                  <a:ext cx="1143" cy="510"/>
                                </a:xfrm>
                                <a:prstGeom prst="rect">
                                  <a:avLst/>
                                </a:prstGeom>
                                <a:noFill/>
                                <a:ln w="6350" cap="flat" cmpd="sng">
                                  <a:solidFill>
                                    <a:srgbClr val="000000"/>
                                  </a:solidFill>
                                  <a:prstDash val="solid"/>
                                  <a:miter/>
                                  <a:headEnd type="none" w="med" len="med"/>
                                  <a:tailEnd type="none" w="med" len="med"/>
                                </a:ln>
                              </wps:spPr>
                              <wps:txbx>
                                <w:txbxContent>
                                  <w:p w14:paraId="5175D39C">
                                    <w:pPr>
                                      <w:ind w:left="0" w:leftChars="0" w:firstLine="0" w:firstLineChars="0"/>
                                      <w:jc w:val="center"/>
                                    </w:pPr>
                                    <w:r>
                                      <w:rPr>
                                        <w:rFonts w:hint="eastAsia"/>
                                      </w:rPr>
                                      <w:t>筛分</w:t>
                                    </w:r>
                                  </w:p>
                                </w:txbxContent>
                              </wps:txbx>
                              <wps:bodyPr upright="1"/>
                            </wps:wsp>
                            <wps:wsp>
                              <wps:cNvPr id="231" name="直接箭头连接符 231"/>
                              <wps:cNvCnPr/>
                              <wps:spPr>
                                <a:xfrm>
                                  <a:off x="7060" y="13194"/>
                                  <a:ext cx="2343" cy="0"/>
                                </a:xfrm>
                                <a:prstGeom prst="straightConnector1">
                                  <a:avLst/>
                                </a:prstGeom>
                                <a:ln w="9525" cap="flat" cmpd="sng">
                                  <a:solidFill>
                                    <a:srgbClr val="000000"/>
                                  </a:solidFill>
                                  <a:prstDash val="solid"/>
                                  <a:headEnd type="none" w="med" len="med"/>
                                  <a:tailEnd type="triangle" w="med" len="med"/>
                                </a:ln>
                              </wps:spPr>
                              <wps:bodyPr/>
                            </wps:wsp>
                            <wps:wsp>
                              <wps:cNvPr id="232" name="文本框 232"/>
                              <wps:cNvSpPr txBox="1"/>
                              <wps:spPr>
                                <a:xfrm>
                                  <a:off x="6096" y="13956"/>
                                  <a:ext cx="791" cy="510"/>
                                </a:xfrm>
                                <a:prstGeom prst="rect">
                                  <a:avLst/>
                                </a:prstGeom>
                                <a:noFill/>
                                <a:ln w="6350" cap="flat" cmpd="sng">
                                  <a:solidFill>
                                    <a:srgbClr val="000000"/>
                                  </a:solidFill>
                                  <a:prstDash val="solid"/>
                                  <a:miter/>
                                  <a:headEnd type="none" w="med" len="med"/>
                                  <a:tailEnd type="none" w="med" len="med"/>
                                </a:ln>
                              </wps:spPr>
                              <wps:txbx>
                                <w:txbxContent>
                                  <w:p w14:paraId="7D27D886">
                                    <w:pPr>
                                      <w:ind w:left="0" w:leftChars="0" w:firstLine="0" w:firstLineChars="0"/>
                                      <w:jc w:val="both"/>
                                    </w:pPr>
                                    <w:r>
                                      <w:rPr>
                                        <w:rFonts w:hint="eastAsia"/>
                                      </w:rPr>
                                      <w:t>包装</w:t>
                                    </w:r>
                                  </w:p>
                                </w:txbxContent>
                              </wps:txbx>
                              <wps:bodyPr upright="1"/>
                            </wps:wsp>
                            <wps:wsp>
                              <wps:cNvPr id="233" name="直接箭头连接符 233"/>
                              <wps:cNvCnPr>
                                <a:stCxn id="232" idx="3"/>
                              </wps:cNvCnPr>
                              <wps:spPr>
                                <a:xfrm flipV="1">
                                  <a:off x="6887" y="14194"/>
                                  <a:ext cx="739" cy="17"/>
                                </a:xfrm>
                                <a:prstGeom prst="straightConnector1">
                                  <a:avLst/>
                                </a:prstGeom>
                                <a:ln w="9525" cap="flat" cmpd="sng">
                                  <a:solidFill>
                                    <a:srgbClr val="000000"/>
                                  </a:solidFill>
                                  <a:prstDash val="solid"/>
                                  <a:headEnd type="none" w="med" len="med"/>
                                  <a:tailEnd type="triangle" w="med" len="med"/>
                                </a:ln>
                              </wps:spPr>
                              <wps:bodyPr/>
                            </wps:wsp>
                            <wps:wsp>
                              <wps:cNvPr id="234" name="直接箭头连接符 234"/>
                              <wps:cNvCnPr/>
                              <wps:spPr>
                                <a:xfrm flipH="1">
                                  <a:off x="3362" y="7467"/>
                                  <a:ext cx="2501" cy="0"/>
                                </a:xfrm>
                                <a:prstGeom prst="straightConnector1">
                                  <a:avLst/>
                                </a:prstGeom>
                                <a:ln w="9525" cap="flat" cmpd="sng">
                                  <a:solidFill>
                                    <a:srgbClr val="000000"/>
                                  </a:solidFill>
                                  <a:prstDash val="dash"/>
                                  <a:headEnd type="none" w="med" len="med"/>
                                  <a:tailEnd type="triangle" w="med" len="med"/>
                                </a:ln>
                              </wps:spPr>
                              <wps:bodyPr/>
                            </wps:wsp>
                            <wps:wsp>
                              <wps:cNvPr id="235" name="直接箭头连接符 235"/>
                              <wps:cNvCnPr/>
                              <wps:spPr>
                                <a:xfrm flipH="1">
                                  <a:off x="3362" y="8448"/>
                                  <a:ext cx="2537" cy="0"/>
                                </a:xfrm>
                                <a:prstGeom prst="straightConnector1">
                                  <a:avLst/>
                                </a:prstGeom>
                                <a:ln w="9525" cap="flat" cmpd="sng">
                                  <a:solidFill>
                                    <a:srgbClr val="000000"/>
                                  </a:solidFill>
                                  <a:prstDash val="dash"/>
                                  <a:headEnd type="none" w="med" len="med"/>
                                  <a:tailEnd type="triangle" w="med" len="med"/>
                                </a:ln>
                              </wps:spPr>
                              <wps:bodyPr/>
                            </wps:wsp>
                            <wps:wsp>
                              <wps:cNvPr id="236" name="直接箭头连接符 236"/>
                              <wps:cNvCnPr/>
                              <wps:spPr>
                                <a:xfrm flipH="1" flipV="1">
                                  <a:off x="4355" y="9427"/>
                                  <a:ext cx="1472" cy="4"/>
                                </a:xfrm>
                                <a:prstGeom prst="straightConnector1">
                                  <a:avLst/>
                                </a:prstGeom>
                                <a:ln w="9525" cap="flat" cmpd="sng">
                                  <a:solidFill>
                                    <a:srgbClr val="000000"/>
                                  </a:solidFill>
                                  <a:prstDash val="dash"/>
                                  <a:headEnd type="none" w="med" len="med"/>
                                  <a:tailEnd type="triangle" w="med" len="med"/>
                                </a:ln>
                              </wps:spPr>
                              <wps:bodyPr/>
                            </wps:wsp>
                            <wps:wsp>
                              <wps:cNvPr id="237" name="直接箭头连接符 237"/>
                              <wps:cNvCnPr/>
                              <wps:spPr>
                                <a:xfrm flipH="1">
                                  <a:off x="3362" y="10339"/>
                                  <a:ext cx="2779" cy="0"/>
                                </a:xfrm>
                                <a:prstGeom prst="straightConnector1">
                                  <a:avLst/>
                                </a:prstGeom>
                                <a:ln w="9525" cap="flat" cmpd="sng">
                                  <a:solidFill>
                                    <a:srgbClr val="000000"/>
                                  </a:solidFill>
                                  <a:prstDash val="dash"/>
                                  <a:headEnd type="none" w="med" len="med"/>
                                  <a:tailEnd type="triangle" w="med" len="med"/>
                                </a:ln>
                              </wps:spPr>
                              <wps:bodyPr/>
                            </wps:wsp>
                            <wps:wsp>
                              <wps:cNvPr id="239" name="直接箭头连接符 239"/>
                              <wps:cNvCnPr/>
                              <wps:spPr>
                                <a:xfrm flipH="1" flipV="1">
                                  <a:off x="3366" y="12995"/>
                                  <a:ext cx="2502" cy="9"/>
                                </a:xfrm>
                                <a:prstGeom prst="straightConnector1">
                                  <a:avLst/>
                                </a:prstGeom>
                                <a:ln w="9525" cap="flat" cmpd="sng">
                                  <a:solidFill>
                                    <a:srgbClr val="000000"/>
                                  </a:solidFill>
                                  <a:prstDash val="dash"/>
                                  <a:headEnd type="none" w="med" len="med"/>
                                  <a:tailEnd type="triangle" w="med" len="med"/>
                                </a:ln>
                              </wps:spPr>
                              <wps:bodyPr/>
                            </wps:wsp>
                            <wps:wsp>
                              <wps:cNvPr id="240" name="直接箭头连接符 240"/>
                              <wps:cNvCnPr/>
                              <wps:spPr>
                                <a:xfrm flipH="1">
                                  <a:off x="7078" y="8427"/>
                                  <a:ext cx="2416" cy="0"/>
                                </a:xfrm>
                                <a:prstGeom prst="straightConnector1">
                                  <a:avLst/>
                                </a:prstGeom>
                                <a:ln w="9525" cap="flat" cmpd="sng">
                                  <a:solidFill>
                                    <a:srgbClr val="000000"/>
                                  </a:solidFill>
                                  <a:prstDash val="solid"/>
                                  <a:headEnd type="none" w="med" len="med"/>
                                  <a:tailEnd type="triangle" w="med" len="med"/>
                                </a:ln>
                              </wps:spPr>
                              <wps:bodyPr/>
                            </wps:wsp>
                            <wps:wsp>
                              <wps:cNvPr id="241" name="文本框 241"/>
                              <wps:cNvSpPr txBox="1"/>
                              <wps:spPr>
                                <a:xfrm>
                                  <a:off x="6777" y="9802"/>
                                  <a:ext cx="1391" cy="532"/>
                                </a:xfrm>
                                <a:prstGeom prst="rect">
                                  <a:avLst/>
                                </a:prstGeom>
                                <a:noFill/>
                                <a:ln w="6350">
                                  <a:noFill/>
                                </a:ln>
                              </wps:spPr>
                              <wps:txbx>
                                <w:txbxContent>
                                  <w:p w14:paraId="1C663772">
                                    <w:pPr>
                                      <w:ind w:left="0" w:leftChars="0" w:firstLine="0" w:firstLineChars="0"/>
                                      <w:jc w:val="center"/>
                                      <w:rPr>
                                        <w:szCs w:val="21"/>
                                      </w:rPr>
                                    </w:pPr>
                                    <w:r>
                                      <w:rPr>
                                        <w:rFonts w:hint="eastAsia"/>
                                        <w:szCs w:val="21"/>
                                      </w:rPr>
                                      <w:t>热空气</w:t>
                                    </w:r>
                                  </w:p>
                                </w:txbxContent>
                              </wps:txbx>
                              <wps:bodyPr upright="1"/>
                            </wps:wsp>
                            <wps:wsp>
                              <wps:cNvPr id="242" name="文本框 242"/>
                              <wps:cNvSpPr txBox="1"/>
                              <wps:spPr>
                                <a:xfrm>
                                  <a:off x="5928" y="6283"/>
                                  <a:ext cx="1180" cy="510"/>
                                </a:xfrm>
                                <a:prstGeom prst="rect">
                                  <a:avLst/>
                                </a:prstGeom>
                                <a:noFill/>
                                <a:ln w="6350" cap="flat" cmpd="sng">
                                  <a:solidFill>
                                    <a:srgbClr val="000000"/>
                                  </a:solidFill>
                                  <a:prstDash val="solid"/>
                                  <a:miter/>
                                  <a:headEnd type="none" w="med" len="med"/>
                                  <a:tailEnd type="none" w="med" len="med"/>
                                </a:ln>
                              </wps:spPr>
                              <wps:txbx>
                                <w:txbxContent>
                                  <w:p w14:paraId="47C79C89">
                                    <w:pPr>
                                      <w:ind w:left="0" w:leftChars="0" w:firstLine="0" w:firstLineChars="0"/>
                                      <w:jc w:val="center"/>
                                    </w:pPr>
                                    <w:r>
                                      <w:rPr>
                                        <w:rFonts w:hint="eastAsia"/>
                                      </w:rPr>
                                      <w:t>配料</w:t>
                                    </w:r>
                                  </w:p>
                                </w:txbxContent>
                              </wps:txbx>
                              <wps:bodyPr upright="1"/>
                            </wps:wsp>
                            <wps:wsp>
                              <wps:cNvPr id="243" name="直接箭头连接符 243"/>
                              <wps:cNvCnPr/>
                              <wps:spPr>
                                <a:xfrm flipV="1">
                                  <a:off x="9482" y="8367"/>
                                  <a:ext cx="12" cy="4870"/>
                                </a:xfrm>
                                <a:prstGeom prst="straightConnector1">
                                  <a:avLst/>
                                </a:prstGeom>
                                <a:ln w="9525" cap="flat" cmpd="sng">
                                  <a:solidFill>
                                    <a:srgbClr val="000000"/>
                                  </a:solidFill>
                                  <a:prstDash val="solid"/>
                                  <a:headEnd type="none" w="med" len="med"/>
                                  <a:tailEnd type="triangle" w="med" len="med"/>
                                </a:ln>
                              </wps:spPr>
                              <wps:bodyPr/>
                            </wps:wsp>
                            <wps:wsp>
                              <wps:cNvPr id="247" name="文本框 247"/>
                              <wps:cNvSpPr txBox="1"/>
                              <wps:spPr>
                                <a:xfrm>
                                  <a:off x="4203" y="10309"/>
                                  <a:ext cx="2326" cy="541"/>
                                </a:xfrm>
                                <a:prstGeom prst="rect">
                                  <a:avLst/>
                                </a:prstGeom>
                                <a:noFill/>
                                <a:ln w="6350">
                                  <a:noFill/>
                                </a:ln>
                              </wps:spPr>
                              <wps:txbx>
                                <w:txbxContent>
                                  <w:p w14:paraId="787EB867">
                                    <w:pPr>
                                      <w:ind w:left="0" w:leftChars="0" w:firstLine="0" w:firstLineChars="0"/>
                                      <w:jc w:val="center"/>
                                    </w:pPr>
                                    <w:r>
                                      <w:rPr>
                                        <w:rFonts w:hint="eastAsia"/>
                                      </w:rPr>
                                      <w:t>烘干废气</w:t>
                                    </w:r>
                                  </w:p>
                                </w:txbxContent>
                              </wps:txbx>
                              <wps:bodyPr upright="1"/>
                            </wps:wsp>
                            <wps:wsp>
                              <wps:cNvPr id="248" name="直接箭头连接符 248"/>
                              <wps:cNvCnPr/>
                              <wps:spPr>
                                <a:xfrm flipH="1">
                                  <a:off x="6893" y="10237"/>
                                  <a:ext cx="933" cy="0"/>
                                </a:xfrm>
                                <a:prstGeom prst="straightConnector1">
                                  <a:avLst/>
                                </a:prstGeom>
                                <a:ln w="9525" cap="flat" cmpd="sng">
                                  <a:solidFill>
                                    <a:srgbClr val="000000"/>
                                  </a:solidFill>
                                  <a:prstDash val="solid"/>
                                  <a:headEnd type="none" w="med" len="med"/>
                                  <a:tailEnd type="triangle" w="med" len="med"/>
                                </a:ln>
                              </wps:spPr>
                              <wps:bodyPr/>
                            </wps:wsp>
                            <wps:wsp>
                              <wps:cNvPr id="249" name="直接箭头连接符 249"/>
                              <wps:cNvCnPr/>
                              <wps:spPr>
                                <a:xfrm>
                                  <a:off x="6527" y="8731"/>
                                  <a:ext cx="0" cy="462"/>
                                </a:xfrm>
                                <a:prstGeom prst="straightConnector1">
                                  <a:avLst/>
                                </a:prstGeom>
                                <a:ln w="9525" cap="flat" cmpd="sng">
                                  <a:solidFill>
                                    <a:srgbClr val="000000"/>
                                  </a:solidFill>
                                  <a:prstDash val="solid"/>
                                  <a:headEnd type="none" w="med" len="med"/>
                                  <a:tailEnd type="triangle" w="med" len="med"/>
                                </a:ln>
                              </wps:spPr>
                              <wps:bodyPr/>
                            </wps:wsp>
                            <wps:wsp>
                              <wps:cNvPr id="250" name="直接箭头连接符 250"/>
                              <wps:cNvCnPr/>
                              <wps:spPr>
                                <a:xfrm>
                                  <a:off x="6527" y="9685"/>
                                  <a:ext cx="0" cy="462"/>
                                </a:xfrm>
                                <a:prstGeom prst="straightConnector1">
                                  <a:avLst/>
                                </a:prstGeom>
                                <a:ln w="9525" cap="flat" cmpd="sng">
                                  <a:solidFill>
                                    <a:srgbClr val="000000"/>
                                  </a:solidFill>
                                  <a:prstDash val="solid"/>
                                  <a:headEnd type="none" w="med" len="med"/>
                                  <a:tailEnd type="triangle" w="med" len="med"/>
                                </a:ln>
                              </wps:spPr>
                              <wps:bodyPr/>
                            </wps:wsp>
                            <wps:wsp>
                              <wps:cNvPr id="251" name="直接箭头连接符 251"/>
                              <wps:cNvCnPr/>
                              <wps:spPr>
                                <a:xfrm>
                                  <a:off x="6527" y="10677"/>
                                  <a:ext cx="0" cy="462"/>
                                </a:xfrm>
                                <a:prstGeom prst="straightConnector1">
                                  <a:avLst/>
                                </a:prstGeom>
                                <a:ln w="9525" cap="flat" cmpd="sng">
                                  <a:solidFill>
                                    <a:srgbClr val="000000"/>
                                  </a:solidFill>
                                  <a:prstDash val="solid"/>
                                  <a:headEnd type="none" w="med" len="med"/>
                                  <a:tailEnd type="triangle" w="med" len="med"/>
                                </a:ln>
                              </wps:spPr>
                              <wps:bodyPr/>
                            </wps:wsp>
                            <wps:wsp>
                              <wps:cNvPr id="252" name="直接箭头连接符 252"/>
                              <wps:cNvCnPr/>
                              <wps:spPr>
                                <a:xfrm>
                                  <a:off x="6527" y="11680"/>
                                  <a:ext cx="15" cy="327"/>
                                </a:xfrm>
                                <a:prstGeom prst="straightConnector1">
                                  <a:avLst/>
                                </a:prstGeom>
                                <a:ln w="9525" cap="flat" cmpd="sng">
                                  <a:solidFill>
                                    <a:srgbClr val="000000"/>
                                  </a:solidFill>
                                  <a:prstDash val="solid"/>
                                  <a:headEnd type="none" w="med" len="med"/>
                                  <a:tailEnd type="triangle" w="med" len="med"/>
                                </a:ln>
                              </wps:spPr>
                              <wps:bodyPr/>
                            </wps:wsp>
                            <wps:wsp>
                              <wps:cNvPr id="253" name="直接箭头连接符 253"/>
                              <wps:cNvCnPr/>
                              <wps:spPr>
                                <a:xfrm>
                                  <a:off x="6530" y="12553"/>
                                  <a:ext cx="12" cy="339"/>
                                </a:xfrm>
                                <a:prstGeom prst="straightConnector1">
                                  <a:avLst/>
                                </a:prstGeom>
                                <a:ln w="9525" cap="flat" cmpd="sng">
                                  <a:solidFill>
                                    <a:srgbClr val="000000"/>
                                  </a:solidFill>
                                  <a:prstDash val="solid"/>
                                  <a:headEnd type="none" w="med" len="med"/>
                                  <a:tailEnd type="triangle" w="med" len="med"/>
                                </a:ln>
                              </wps:spPr>
                              <wps:bodyPr/>
                            </wps:wsp>
                            <wps:wsp>
                              <wps:cNvPr id="255" name="文本框 255"/>
                              <wps:cNvSpPr txBox="1"/>
                              <wps:spPr>
                                <a:xfrm>
                                  <a:off x="2762" y="13310"/>
                                  <a:ext cx="1230" cy="880"/>
                                </a:xfrm>
                                <a:prstGeom prst="rect">
                                  <a:avLst/>
                                </a:prstGeom>
                                <a:solidFill>
                                  <a:srgbClr val="C4BC96">
                                    <a:alpha val="50000"/>
                                  </a:srgbClr>
                                </a:solidFill>
                                <a:ln w="6350" cap="flat" cmpd="sng">
                                  <a:solidFill>
                                    <a:srgbClr val="000000"/>
                                  </a:solidFill>
                                  <a:prstDash val="solid"/>
                                  <a:miter/>
                                  <a:headEnd type="none" w="med" len="med"/>
                                  <a:tailEnd type="none" w="med" len="med"/>
                                </a:ln>
                              </wps:spPr>
                              <wps:txbx>
                                <w:txbxContent>
                                  <w:p w14:paraId="3E61F483">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default" w:eastAsia="宋体"/>
                                        <w:sz w:val="21"/>
                                        <w:szCs w:val="21"/>
                                        <w:lang w:val="en-US" w:eastAsia="zh-CN"/>
                                      </w:rPr>
                                    </w:pPr>
                                    <w:r>
                                      <w:rPr>
                                        <w:rFonts w:hint="eastAsia"/>
                                        <w:sz w:val="21"/>
                                        <w:szCs w:val="21"/>
                                        <w:lang w:val="en-US" w:eastAsia="zh-CN"/>
                                      </w:rPr>
                                      <w:t>旋风+布袋+喷淋</w:t>
                                    </w:r>
                                  </w:p>
                                </w:txbxContent>
                              </wps:txbx>
                              <wps:bodyPr upright="1"/>
                            </wps:wsp>
                            <wps:wsp>
                              <wps:cNvPr id="256" name="直接箭头连接符 256"/>
                              <wps:cNvCnPr/>
                              <wps:spPr>
                                <a:xfrm flipH="1">
                                  <a:off x="4580" y="11396"/>
                                  <a:ext cx="1561" cy="4"/>
                                </a:xfrm>
                                <a:prstGeom prst="straightConnector1">
                                  <a:avLst/>
                                </a:prstGeom>
                                <a:ln w="9525" cap="flat" cmpd="sng">
                                  <a:solidFill>
                                    <a:srgbClr val="000000"/>
                                  </a:solidFill>
                                  <a:prstDash val="dash"/>
                                  <a:headEnd type="none" w="med" len="med"/>
                                  <a:tailEnd type="triangle" w="med" len="med"/>
                                </a:ln>
                              </wps:spPr>
                              <wps:bodyPr/>
                            </wps:wsp>
                            <wps:wsp>
                              <wps:cNvPr id="258" name="文本框 258"/>
                              <wps:cNvSpPr txBox="1"/>
                              <wps:spPr>
                                <a:xfrm>
                                  <a:off x="4546" y="9331"/>
                                  <a:ext cx="1353" cy="611"/>
                                </a:xfrm>
                                <a:prstGeom prst="rect">
                                  <a:avLst/>
                                </a:prstGeom>
                                <a:noFill/>
                                <a:ln w="6350">
                                  <a:noFill/>
                                </a:ln>
                              </wps:spPr>
                              <wps:txbx>
                                <w:txbxContent>
                                  <w:p w14:paraId="6494021F">
                                    <w:pPr>
                                      <w:ind w:left="0" w:leftChars="0" w:firstLine="0" w:firstLineChars="0"/>
                                      <w:jc w:val="both"/>
                                      <w:rPr>
                                        <w:szCs w:val="21"/>
                                      </w:rPr>
                                    </w:pPr>
                                    <w:r>
                                      <w:rPr>
                                        <w:rFonts w:hint="eastAsia"/>
                                        <w:szCs w:val="21"/>
                                      </w:rPr>
                                      <w:t>造粒废气</w:t>
                                    </w:r>
                                  </w:p>
                                </w:txbxContent>
                              </wps:txbx>
                              <wps:bodyPr upright="1"/>
                            </wps:wsp>
                            <wps:wsp>
                              <wps:cNvPr id="259" name="文本框 259"/>
                              <wps:cNvSpPr txBox="1"/>
                              <wps:spPr>
                                <a:xfrm>
                                  <a:off x="4246" y="8359"/>
                                  <a:ext cx="1488" cy="642"/>
                                </a:xfrm>
                                <a:prstGeom prst="rect">
                                  <a:avLst/>
                                </a:prstGeom>
                                <a:noFill/>
                                <a:ln w="6350">
                                  <a:noFill/>
                                </a:ln>
                              </wps:spPr>
                              <wps:txbx>
                                <w:txbxContent>
                                  <w:p w14:paraId="7CA0B463">
                                    <w:pPr>
                                      <w:ind w:left="0" w:leftChars="0" w:firstLine="0" w:firstLineChars="0"/>
                                      <w:jc w:val="both"/>
                                      <w:rPr>
                                        <w:szCs w:val="21"/>
                                      </w:rPr>
                                    </w:pPr>
                                    <w:r>
                                      <w:rPr>
                                        <w:rFonts w:hint="eastAsia"/>
                                        <w:szCs w:val="21"/>
                                      </w:rPr>
                                      <w:t>粉碎废气</w:t>
                                    </w:r>
                                  </w:p>
                                </w:txbxContent>
                              </wps:txbx>
                              <wps:bodyPr upright="1"/>
                            </wps:wsp>
                            <wps:wsp>
                              <wps:cNvPr id="260" name="文本框 260"/>
                              <wps:cNvSpPr txBox="1"/>
                              <wps:spPr>
                                <a:xfrm>
                                  <a:off x="4696" y="12866"/>
                                  <a:ext cx="1459" cy="552"/>
                                </a:xfrm>
                                <a:prstGeom prst="rect">
                                  <a:avLst/>
                                </a:prstGeom>
                                <a:noFill/>
                                <a:ln w="6350">
                                  <a:noFill/>
                                </a:ln>
                              </wps:spPr>
                              <wps:txbx>
                                <w:txbxContent>
                                  <w:p w14:paraId="4C4A48BA">
                                    <w:pPr>
                                      <w:ind w:left="0" w:leftChars="0" w:firstLine="0" w:firstLineChars="0"/>
                                      <w:jc w:val="both"/>
                                      <w:rPr>
                                        <w:szCs w:val="21"/>
                                      </w:rPr>
                                    </w:pPr>
                                    <w:r>
                                      <w:rPr>
                                        <w:rFonts w:hint="eastAsia"/>
                                        <w:szCs w:val="21"/>
                                      </w:rPr>
                                      <w:t>筛分废气</w:t>
                                    </w:r>
                                  </w:p>
                                </w:txbxContent>
                              </wps:txbx>
                              <wps:bodyPr upright="1"/>
                            </wps:wsp>
                            <wps:wsp>
                              <wps:cNvPr id="261" name="直接箭头连接符 261"/>
                              <wps:cNvCnPr/>
                              <wps:spPr>
                                <a:xfrm flipH="1">
                                  <a:off x="7149" y="9437"/>
                                  <a:ext cx="748" cy="0"/>
                                </a:xfrm>
                                <a:prstGeom prst="straightConnector1">
                                  <a:avLst/>
                                </a:prstGeom>
                                <a:ln w="9525" cap="flat" cmpd="sng">
                                  <a:solidFill>
                                    <a:srgbClr val="000000"/>
                                  </a:solidFill>
                                  <a:prstDash val="solid"/>
                                  <a:headEnd type="none" w="med" len="med"/>
                                  <a:tailEnd type="triangle" w="med" len="med"/>
                                </a:ln>
                              </wps:spPr>
                              <wps:bodyPr/>
                            </wps:wsp>
                            <wps:wsp>
                              <wps:cNvPr id="262" name="文本框 262"/>
                              <wps:cNvSpPr txBox="1"/>
                              <wps:spPr>
                                <a:xfrm>
                                  <a:off x="7421" y="12614"/>
                                  <a:ext cx="2104" cy="929"/>
                                </a:xfrm>
                                <a:prstGeom prst="rect">
                                  <a:avLst/>
                                </a:prstGeom>
                                <a:noFill/>
                                <a:ln w="6350">
                                  <a:noFill/>
                                </a:ln>
                              </wps:spPr>
                              <wps:txbx>
                                <w:txbxContent>
                                  <w:p w14:paraId="04C424D9">
                                    <w:pPr>
                                      <w:ind w:left="0" w:leftChars="0" w:firstLine="0" w:firstLineChars="0"/>
                                      <w:jc w:val="both"/>
                                      <w:rPr>
                                        <w:sz w:val="21"/>
                                        <w:szCs w:val="21"/>
                                      </w:rPr>
                                    </w:pPr>
                                    <w:r>
                                      <w:rPr>
                                        <w:rFonts w:hint="eastAsia"/>
                                        <w:sz w:val="21"/>
                                        <w:szCs w:val="21"/>
                                      </w:rPr>
                                      <w:t>筛下不合格物料</w:t>
                                    </w:r>
                                  </w:p>
                                </w:txbxContent>
                              </wps:txbx>
                              <wps:bodyPr upright="1"/>
                            </wps:wsp>
                            <wps:wsp>
                              <wps:cNvPr id="264" name="文本框 264"/>
                              <wps:cNvSpPr txBox="1"/>
                              <wps:spPr>
                                <a:xfrm>
                                  <a:off x="4276" y="7407"/>
                                  <a:ext cx="1323" cy="791"/>
                                </a:xfrm>
                                <a:prstGeom prst="rect">
                                  <a:avLst/>
                                </a:prstGeom>
                                <a:noFill/>
                                <a:ln w="6350">
                                  <a:noFill/>
                                </a:ln>
                              </wps:spPr>
                              <wps:txbx>
                                <w:txbxContent>
                                  <w:p w14:paraId="4CB8F091">
                                    <w:pPr>
                                      <w:ind w:left="0" w:leftChars="0" w:firstLine="0" w:firstLineChars="0"/>
                                      <w:jc w:val="both"/>
                                      <w:rPr>
                                        <w:szCs w:val="21"/>
                                      </w:rPr>
                                    </w:pPr>
                                    <w:r>
                                      <w:rPr>
                                        <w:rFonts w:hint="eastAsia"/>
                                        <w:szCs w:val="21"/>
                                      </w:rPr>
                                      <w:t>搅拌废气</w:t>
                                    </w:r>
                                  </w:p>
                                </w:txbxContent>
                              </wps:txbx>
                              <wps:bodyPr upright="1"/>
                            </wps:wsp>
                            <wps:wsp>
                              <wps:cNvPr id="265" name="直接箭头连接符 265"/>
                              <wps:cNvCnPr/>
                              <wps:spPr>
                                <a:xfrm flipH="1">
                                  <a:off x="3405" y="14221"/>
                                  <a:ext cx="17" cy="314"/>
                                </a:xfrm>
                                <a:prstGeom prst="straightConnector1">
                                  <a:avLst/>
                                </a:prstGeom>
                                <a:ln w="9525" cap="flat" cmpd="sng">
                                  <a:solidFill>
                                    <a:srgbClr val="000000"/>
                                  </a:solidFill>
                                  <a:prstDash val="solid"/>
                                  <a:headEnd type="none" w="med" len="med"/>
                                  <a:tailEnd type="triangle" w="med" len="med"/>
                                </a:ln>
                              </wps:spPr>
                              <wps:bodyPr/>
                            </wps:wsp>
                            <wps:wsp>
                              <wps:cNvPr id="266" name="文本框 266"/>
                              <wps:cNvSpPr txBox="1"/>
                              <wps:spPr>
                                <a:xfrm>
                                  <a:off x="2562" y="14372"/>
                                  <a:ext cx="2277" cy="747"/>
                                </a:xfrm>
                                <a:prstGeom prst="rect">
                                  <a:avLst/>
                                </a:prstGeom>
                                <a:noFill/>
                                <a:ln w="6350">
                                  <a:noFill/>
                                </a:ln>
                              </wps:spPr>
                              <wps:txbx>
                                <w:txbxContent>
                                  <w:p w14:paraId="1D64DC7B">
                                    <w:pPr>
                                      <w:ind w:left="0" w:leftChars="0" w:firstLine="0" w:firstLineChars="0"/>
                                      <w:jc w:val="center"/>
                                      <w:rPr>
                                        <w:szCs w:val="21"/>
                                      </w:rPr>
                                    </w:pPr>
                                    <w:r>
                                      <w:rPr>
                                        <w:rFonts w:hint="eastAsia"/>
                                        <w:szCs w:val="21"/>
                                      </w:rPr>
                                      <w:t>DA001排气筒</w:t>
                                    </w:r>
                                  </w:p>
                                </w:txbxContent>
                              </wps:txbx>
                              <wps:bodyPr upright="1"/>
                            </wps:wsp>
                            <wps:wsp>
                              <wps:cNvPr id="267" name="文本框 267"/>
                              <wps:cNvSpPr txBox="1"/>
                              <wps:spPr>
                                <a:xfrm>
                                  <a:off x="4295" y="11361"/>
                                  <a:ext cx="2116" cy="509"/>
                                </a:xfrm>
                                <a:prstGeom prst="rect">
                                  <a:avLst/>
                                </a:prstGeom>
                                <a:noFill/>
                                <a:ln w="6350">
                                  <a:noFill/>
                                </a:ln>
                              </wps:spPr>
                              <wps:txbx>
                                <w:txbxContent>
                                  <w:p w14:paraId="754FFBA3">
                                    <w:pPr>
                                      <w:ind w:left="0" w:leftChars="0" w:firstLine="0" w:firstLineChars="0"/>
                                      <w:jc w:val="center"/>
                                    </w:pPr>
                                    <w:r>
                                      <w:rPr>
                                        <w:rFonts w:hint="eastAsia"/>
                                      </w:rPr>
                                      <w:t>冷却废气</w:t>
                                    </w:r>
                                  </w:p>
                                </w:txbxContent>
                              </wps:txbx>
                              <wps:bodyPr upright="1"/>
                            </wps:wsp>
                          </wpg:wgp>
                        </a:graphicData>
                      </a:graphic>
                    </wp:inline>
                  </w:drawing>
                </mc:Choice>
                <mc:Fallback>
                  <w:pict>
                    <v:group id="_x0000_s1026" o:spid="_x0000_s1026" o:spt="203" style="height:617.95pt;width:351.3pt;" coordorigin="2562,4934" coordsize="7026,10185" o:gfxdata="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">
                      <o:lock v:ext="edit" rotation="t" aspectratio="f"/>
                      <v:shape id="_x0000_s1026" o:spid="_x0000_s1026" o:spt="202" type="#_x0000_t202" style="position:absolute;left:2724;top:4934;height:1011;width:6864;" filled="f" stroked="t" coordsize="21600,21600" o:gfxdata="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bDyIr4A&#10;AADcAAAADwAAAAAAAAABACAAAAAiAAAAZHJzL2Rvd25yZXYueG1sUEsBAhQAFAAAAAgAh07iQDMv&#10;BZ47AAAAOQAAABAAAAAAAAAAAQAgAAAADQEAAGRycy9zaGFwZXhtbC54bWxQSwUGAAAAAAYABgBb&#10;AQAAtwMAAAAA&#10;">
                        <v:fill on="f" focussize="0,0"/>
                        <v:stroke weight="0.5pt" color="#000000" joinstyle="miter" dashstyle="1 1"/>
                        <v:imagedata o:title=""/>
                        <o:lock v:ext="edit" aspectratio="f"/>
                        <v:textbox>
                          <w:txbxContent>
                            <w:p w14:paraId="2577B3AF">
                              <w:r>
                                <w:rPr>
                                  <w:rFonts w:hint="eastAsia"/>
                                  <w:b/>
                                </w:rPr>
                                <w:t>复合肥</w:t>
                              </w:r>
                              <w:r>
                                <w:rPr>
                                  <w:rFonts w:hint="eastAsia"/>
                                </w:rPr>
                                <w:t>：</w:t>
                              </w:r>
                              <w:r>
                                <w:rPr>
                                  <w:rFonts w:hint="eastAsia"/>
                                  <w:lang w:val="en-US" w:eastAsia="zh-CN"/>
                                </w:rPr>
                                <w:t>尿素、</w:t>
                              </w:r>
                              <w:r>
                                <w:rPr>
                                  <w:rFonts w:hint="eastAsia"/>
                                </w:rPr>
                                <w:t>氯化铵、磷酸一铵、硫酸</w:t>
                              </w:r>
                              <w:r>
                                <w:rPr>
                                  <w:rFonts w:hint="eastAsia"/>
                                  <w:lang w:val="en-US" w:eastAsia="zh-CN"/>
                                </w:rPr>
                                <w:t>钾</w:t>
                              </w:r>
                              <w:r>
                                <w:rPr>
                                  <w:rFonts w:hint="eastAsia"/>
                                </w:rPr>
                                <w:t>、碳酸氢铵、氯化钾、膨润土</w:t>
                              </w:r>
                            </w:p>
                          </w:txbxContent>
                        </v:textbox>
                      </v:shape>
                      <v:shape id="_x0000_s1026" o:spid="_x0000_s1026" o:spt="32" type="#_x0000_t32" style="position:absolute;left:6497;top:5730;height:523;width:0;" filled="f" stroked="t" coordsize="21600,21600" o:gfxdata="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vYyqL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202" type="#_x0000_t202" style="position:absolute;left:5864;top:7220;height:510;width:1360;" filled="f" stroked="t" coordsize="21600,21600" o:gfxdata="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2dX5b&#10;wAAAANwAAAAPAAAAAAAAAAEAIAAAACIAAABkcnMvZG93bnJldi54bWxQSwECFAAUAAAACACHTuJA&#10;My8FnjsAAAA5AAAAEAAAAAAAAAABACAAAAAPAQAAZHJzL3NoYXBleG1sLnhtbFBLBQYAAAAABgAG&#10;AFsBAAC5AwAAAAA=&#10;">
                        <v:fill on="f" focussize="0,0"/>
                        <v:stroke weight="0.5pt" color="#000000" joinstyle="miter"/>
                        <v:imagedata o:title=""/>
                        <o:lock v:ext="edit" aspectratio="f"/>
                        <v:textbox>
                          <w:txbxContent>
                            <w:p w14:paraId="0A313169">
                              <w:pPr>
                                <w:ind w:left="0" w:leftChars="0" w:firstLine="0" w:firstLineChars="0"/>
                                <w:jc w:val="center"/>
                              </w:pPr>
                              <w:r>
                                <w:rPr>
                                  <w:rFonts w:hint="eastAsia"/>
                                </w:rPr>
                                <w:t>搅拌</w:t>
                              </w:r>
                            </w:p>
                          </w:txbxContent>
                        </v:textbox>
                      </v:shape>
                      <v:shape id="_x0000_s1026" o:spid="_x0000_s1026" o:spt="32" type="#_x0000_t32" style="position:absolute;left:6527;top:7726;height:462;width:0;" filled="f" stroked="t" coordsize="21600,21600" o:gfxdata="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uz0E7sAAADc&#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shape>
                      <v:shape id="_x0000_s1026" o:spid="_x0000_s1026" o:spt="202" type="#_x0000_t202" style="position:absolute;left:5917;top:8188;height:510;width:1180;" filled="f" stroked="t" coordsize="21600,21600" o:gfxdata="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Gb7jg&#10;wAAAANwAAAAPAAAAAAAAAAEAIAAAACIAAABkcnMvZG93bnJldi54bWxQSwECFAAUAAAACACHTuJA&#10;My8FnjsAAAA5AAAAEAAAAAAAAAABACAAAAAPAQAAZHJzL3NoYXBleG1sLnhtbFBLBQYAAAAABgAG&#10;AFsBAAC5AwAAAAA=&#10;">
                        <v:fill on="f" focussize="0,0"/>
                        <v:stroke weight="0.5pt" color="#000000" joinstyle="miter"/>
                        <v:imagedata o:title=""/>
                        <o:lock v:ext="edit" aspectratio="f"/>
                        <v:textbox>
                          <w:txbxContent>
                            <w:p w14:paraId="7813F4C5">
                              <w:pPr>
                                <w:ind w:left="0" w:leftChars="0" w:firstLine="0" w:firstLineChars="0"/>
                                <w:jc w:val="center"/>
                              </w:pPr>
                              <w:r>
                                <w:t>破碎</w:t>
                              </w:r>
                            </w:p>
                          </w:txbxContent>
                        </v:textbox>
                      </v:shape>
                      <v:shape id="_x0000_s1026" o:spid="_x0000_s1026" o:spt="32" type="#_x0000_t32" style="position:absolute;left:3369;top:7467;height:5843;width:8;" filled="f" stroked="t" coordsize="21600,21600" o:gfxdata="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T4Me8AAAA&#10;3AAAAA8AAAAAAAAAAQAgAAAAIgAAAGRycy9kb3ducmV2LnhtbFBLAQIUABQAAAAIAIdO4kAzLwWe&#10;OwAAADkAAAAQAAAAAAAAAAEAIAAAAAsBAABkcnMvc2hhcGV4bWwueG1sUEsFBgAAAAAGAAYAWwEA&#10;ALUDAAAAAA==&#10;">
                        <v:fill on="f" focussize="0,0"/>
                        <v:stroke color="#000000" joinstyle="round" dashstyle="dash" endarrow="block"/>
                        <v:imagedata o:title=""/>
                        <o:lock v:ext="edit" aspectratio="f"/>
                      </v:shape>
                      <v:shape id="_x0000_s1026" o:spid="_x0000_s1026" o:spt="202" type="#_x0000_t202" style="position:absolute;left:7428;top:13908;height:611;width:1275;" filled="f" stroked="f" coordsize="21600,21600" o:gfxdata="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PiK7l&#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57DD6A43">
                              <w:pPr>
                                <w:ind w:left="0" w:leftChars="0" w:firstLine="0" w:firstLineChars="0"/>
                                <w:jc w:val="center"/>
                                <w:rPr>
                                  <w:szCs w:val="21"/>
                                </w:rPr>
                              </w:pPr>
                              <w:r>
                                <w:rPr>
                                  <w:rFonts w:hint="eastAsia"/>
                                  <w:szCs w:val="21"/>
                                </w:rPr>
                                <w:t>产品</w:t>
                              </w:r>
                            </w:p>
                          </w:txbxContent>
                        </v:textbox>
                      </v:shape>
                      <v:shape id="_x0000_s1026" o:spid="_x0000_s1026" o:spt="202" type="#_x0000_t202" style="position:absolute;left:5905;top:9175;height:510;width:1252;" filled="f" stroked="t" coordsize="21600,21600" o:gfxdata="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GBt4&#10;wAAAANwAAAAPAAAAAAAAAAEAIAAAACIAAABkcnMvZG93bnJldi54bWxQSwECFAAUAAAACACHTuJA&#10;My8FnjsAAAA5AAAAEAAAAAAAAAABACAAAAAPAQAAZHJzL3NoYXBleG1sLnhtbFBLBQYAAAAABgAG&#10;AFsBAAC5AwAAAAA=&#10;">
                        <v:fill on="f" focussize="0,0"/>
                        <v:stroke weight="0.5pt" color="#000000" joinstyle="miter"/>
                        <v:imagedata o:title=""/>
                        <o:lock v:ext="edit" aspectratio="f"/>
                        <v:textbox>
                          <w:txbxContent>
                            <w:p w14:paraId="625350FD">
                              <w:pPr>
                                <w:ind w:left="0" w:leftChars="0" w:firstLine="0" w:firstLineChars="0"/>
                                <w:jc w:val="center"/>
                              </w:pPr>
                              <w:r>
                                <w:rPr>
                                  <w:rFonts w:hint="eastAsia"/>
                                </w:rPr>
                                <w:t>造粒</w:t>
                              </w:r>
                            </w:p>
                            <w:p w14:paraId="1DD8EBA6">
                              <w:pPr>
                                <w:jc w:val="center"/>
                              </w:pPr>
                            </w:p>
                          </w:txbxContent>
                        </v:textbox>
                      </v:shape>
                      <v:shape id="_x0000_s1026" o:spid="_x0000_s1026" o:spt="202" type="#_x0000_t202" style="position:absolute;left:6127;top:10121;height:510;width:784;" filled="f" stroked="t" coordsize="21600,21600" o:gfxdata="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5VL7j&#10;wAAAANwAAAAPAAAAAAAAAAEAIAAAACIAAABkcnMvZG93bnJldi54bWxQSwECFAAUAAAACACHTuJA&#10;My8FnjsAAAA5AAAAEAAAAAAAAAABACAAAAAPAQAAZHJzL3NoYXBleG1sLnhtbFBLBQYAAAAABgAG&#10;AFsBAAC5AwAAAAA=&#10;">
                        <v:fill on="f" focussize="0,0"/>
                        <v:stroke weight="0.5pt" color="#000000" joinstyle="miter"/>
                        <v:imagedata o:title=""/>
                        <o:lock v:ext="edit" aspectratio="f"/>
                        <v:textbox>
                          <w:txbxContent>
                            <w:p w14:paraId="06175775">
                              <w:pPr>
                                <w:ind w:left="0" w:leftChars="0" w:firstLine="0" w:firstLineChars="0"/>
                                <w:jc w:val="both"/>
                              </w:pPr>
                              <w:r>
                                <w:rPr>
                                  <w:rFonts w:hint="eastAsia"/>
                                </w:rPr>
                                <w:t>烘干</w:t>
                              </w:r>
                            </w:p>
                          </w:txbxContent>
                        </v:textbox>
                      </v:shape>
                      <v:shape id="_x0000_s1026" o:spid="_x0000_s1026" o:spt="202" type="#_x0000_t202" style="position:absolute;left:6127;top:11152;height:510;width:791;" filled="f" stroked="t" coordsize="21600,21600" o:gfxdata="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hiCU&#10;wAAAANwAAAAPAAAAAAAAAAEAIAAAACIAAABkcnMvZG93bnJldi54bWxQSwECFAAUAAAACACHTuJA&#10;My8FnjsAAAA5AAAAEAAAAAAAAAABACAAAAAPAQAAZHJzL3NoYXBleG1sLnhtbFBLBQYAAAAABgAG&#10;AFsBAAC5AwAAAAA=&#10;">
                        <v:fill on="f" focussize="0,0"/>
                        <v:stroke weight="0.5pt" color="#000000" joinstyle="miter"/>
                        <v:imagedata o:title=""/>
                        <o:lock v:ext="edit" aspectratio="f"/>
                        <v:textbox>
                          <w:txbxContent>
                            <w:p w14:paraId="50733365">
                              <w:pPr>
                                <w:ind w:left="0" w:leftChars="0" w:firstLine="0" w:firstLineChars="0"/>
                                <w:jc w:val="center"/>
                              </w:pPr>
                              <w:r>
                                <w:rPr>
                                  <w:rFonts w:hint="eastAsia"/>
                                </w:rPr>
                                <w:t>冷却</w:t>
                              </w:r>
                            </w:p>
                          </w:txbxContent>
                        </v:textbox>
                      </v:shape>
                      <v:shape id="_x0000_s1026" o:spid="_x0000_s1026" o:spt="202" type="#_x0000_t202" style="position:absolute;left:7882;top:9190;height:510;width:1353;" filled="f" stroked="t" coordsize="21600,21600" o:gfxdata="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Q6ztugAAANwA&#10;AAAPAAAAAAAAAAEAIAAAACIAAABkcnMvZG93bnJldi54bWxQSwECFAAUAAAACACHTuJAMy8FnjsA&#10;AAA5AAAAEAAAAAAAAAABACAAAAAJAQAAZHJzL3NoYXBleG1sLnhtbFBLBQYAAAAABgAGAFsBAACz&#10;AwAAAAA=&#10;">
                        <v:fill on="f" focussize="0,0"/>
                        <v:stroke weight="0.5pt" color="#000000" joinstyle="miter" dashstyle="1 1"/>
                        <v:imagedata o:title=""/>
                        <o:lock v:ext="edit" aspectratio="f"/>
                        <v:textbox>
                          <w:txbxContent>
                            <w:p w14:paraId="128499E8">
                              <w:pPr>
                                <w:jc w:val="both"/>
                              </w:pPr>
                              <w:r>
                                <w:rPr>
                                  <w:rFonts w:hint="eastAsia"/>
                                </w:rPr>
                                <w:t>水（配比）</w:t>
                              </w:r>
                            </w:p>
                          </w:txbxContent>
                        </v:textbox>
                      </v:shape>
                      <v:shape id="_x0000_s1026" o:spid="_x0000_s1026" o:spt="32" type="#_x0000_t32" style="position:absolute;left:6512;top:6823;height:408;width:1;" filled="f" stroked="t" coordsize="21600,21600" o:gfxdata="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vWXY6/&#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_x0000_s1026" o:spid="_x0000_s1026" o:spt="202" type="#_x0000_t202" style="position:absolute;left:5901;top:12892;height:510;width:1143;" filled="f" stroked="t" coordsize="21600,21600" o:gfxdata="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oumvQAA&#10;ANwAAAAPAAAAAAAAAAEAIAAAACIAAABkcnMvZG93bnJldi54bWxQSwECFAAUAAAACACHTuJAMy8F&#10;njsAAAA5AAAAEAAAAAAAAAABACAAAAAMAQAAZHJzL3NoYXBleG1sLnhtbFBLBQYAAAAABgAGAFsB&#10;AAC2AwAAAAA=&#10;">
                        <v:fill on="f" focussize="0,0"/>
                        <v:stroke weight="0.5pt" color="#000000" joinstyle="miter"/>
                        <v:imagedata o:title=""/>
                        <o:lock v:ext="edit" aspectratio="f"/>
                        <v:textbox>
                          <w:txbxContent>
                            <w:p w14:paraId="5175D39C">
                              <w:pPr>
                                <w:ind w:left="0" w:leftChars="0" w:firstLine="0" w:firstLineChars="0"/>
                                <w:jc w:val="center"/>
                              </w:pPr>
                              <w:r>
                                <w:rPr>
                                  <w:rFonts w:hint="eastAsia"/>
                                </w:rPr>
                                <w:t>筛分</w:t>
                              </w:r>
                            </w:p>
                          </w:txbxContent>
                        </v:textbox>
                      </v:shape>
                      <v:shape id="_x0000_s1026" o:spid="_x0000_s1026" o:spt="32" type="#_x0000_t32" style="position:absolute;left:7060;top:13194;height:0;width:2343;" filled="f" stroked="t" coordsize="21600,21600" o:gfxdata="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B5x1W/&#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_x0000_s1026" o:spid="_x0000_s1026" o:spt="202" type="#_x0000_t202" style="position:absolute;left:6096;top:13956;height:510;width:791;" filled="f" stroked="t" coordsize="21600,21600" o:gfxdata="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zZLBK&#10;wAAAANwAAAAPAAAAAAAAAAEAIAAAACIAAABkcnMvZG93bnJldi54bWxQSwECFAAUAAAACACHTuJA&#10;My8FnjsAAAA5AAAAEAAAAAAAAAABACAAAAAPAQAAZHJzL3NoYXBleG1sLnhtbFBLBQYAAAAABgAG&#10;AFsBAAC5AwAAAAA=&#10;">
                        <v:fill on="f" focussize="0,0"/>
                        <v:stroke weight="0.5pt" color="#000000" joinstyle="miter"/>
                        <v:imagedata o:title=""/>
                        <o:lock v:ext="edit" aspectratio="f"/>
                        <v:textbox>
                          <w:txbxContent>
                            <w:p w14:paraId="7D27D886">
                              <w:pPr>
                                <w:ind w:left="0" w:leftChars="0" w:firstLine="0" w:firstLineChars="0"/>
                                <w:jc w:val="both"/>
                              </w:pPr>
                              <w:r>
                                <w:rPr>
                                  <w:rFonts w:hint="eastAsia"/>
                                </w:rPr>
                                <w:t>包装</w:t>
                              </w:r>
                            </w:p>
                          </w:txbxContent>
                        </v:textbox>
                      </v:shape>
                      <v:shape id="_x0000_s1026" o:spid="_x0000_s1026" o:spt="32" type="#_x0000_t32" style="position:absolute;left:6887;top:14194;flip:y;height:17;width:739;" filled="f" stroked="t" coordsize="21600,21600" o:gfxdata="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UwTr4A&#10;AADc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shape>
                      <v:shape id="_x0000_s1026" o:spid="_x0000_s1026" o:spt="32" type="#_x0000_t32" style="position:absolute;left:3362;top:7467;flip:x;height:0;width:2501;" filled="f" stroked="t" coordsize="21600,21600" o:gfxdata="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xyVrbsAAADc&#10;AAAADwAAAAAAAAABACAAAAAiAAAAZHJzL2Rvd25yZXYueG1sUEsBAhQAFAAAAAgAh07iQDMvBZ47&#10;AAAAOQAAABAAAAAAAAAAAQAgAAAACgEAAGRycy9zaGFwZXhtbC54bWxQSwUGAAAAAAYABgBbAQAA&#10;tAMAAAAA&#10;">
                        <v:fill on="f" focussize="0,0"/>
                        <v:stroke color="#000000" joinstyle="round" dashstyle="dash" endarrow="block"/>
                        <v:imagedata o:title=""/>
                        <o:lock v:ext="edit" aspectratio="f"/>
                      </v:shape>
                      <v:shape id="_x0000_s1026" o:spid="_x0000_s1026" o:spt="32" type="#_x0000_t32" style="position:absolute;left:3362;top:8448;flip:x;height:0;width:2537;" filled="f" stroked="t" coordsize="21600,21600" o:gfxdata="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FAwNrsAAADc&#10;AAAADwAAAAAAAAABACAAAAAiAAAAZHJzL2Rvd25yZXYueG1sUEsBAhQAFAAAAAgAh07iQDMvBZ47&#10;AAAAOQAAABAAAAAAAAAAAQAgAAAACgEAAGRycy9zaGFwZXhtbC54bWxQSwUGAAAAAAYABgBbAQAA&#10;tAMAAAAA&#10;">
                        <v:fill on="f" focussize="0,0"/>
                        <v:stroke color="#000000" joinstyle="round" dashstyle="dash" endarrow="block"/>
                        <v:imagedata o:title=""/>
                        <o:lock v:ext="edit" aspectratio="f"/>
                      </v:shape>
                      <v:shape id="_x0000_s1026" o:spid="_x0000_s1026" o:spt="32" type="#_x0000_t32" style="position:absolute;left:4355;top:9427;flip:x y;height:4;width:1472;" filled="f" stroked="t" coordsize="21600,21600" o:gfxdata="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p+/5C/&#10;AAAA3AAAAA8AAAAAAAAAAQAgAAAAIgAAAGRycy9kb3ducmV2LnhtbFBLAQIUABQAAAAIAIdO4kAz&#10;LwWeOwAAADkAAAAQAAAAAAAAAAEAIAAAAA4BAABkcnMvc2hhcGV4bWwueG1sUEsFBgAAAAAGAAYA&#10;WwEAALgDAAAAAA==&#10;">
                        <v:fill on="f" focussize="0,0"/>
                        <v:stroke color="#000000" joinstyle="round" dashstyle="dash" endarrow="block"/>
                        <v:imagedata o:title=""/>
                        <o:lock v:ext="edit" aspectratio="f"/>
                      </v:shape>
                      <v:shape id="_x0000_s1026" o:spid="_x0000_s1026" o:spt="32" type="#_x0000_t32" style="position:absolute;left:3362;top:10339;flip:x;height:0;width:2779;" filled="f" stroked="t" coordsize="21600,21600" o:gfxdata="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84L2rsAAADc&#10;AAAADwAAAAAAAAABACAAAAAiAAAAZHJzL2Rvd25yZXYueG1sUEsBAhQAFAAAAAgAh07iQDMvBZ47&#10;AAAAOQAAABAAAAAAAAAAAQAgAAAACgEAAGRycy9zaGFwZXhtbC54bWxQSwUGAAAAAAYABgBbAQAA&#10;tAMAAAAA&#10;">
                        <v:fill on="f" focussize="0,0"/>
                        <v:stroke color="#000000" joinstyle="round" dashstyle="dash" endarrow="block"/>
                        <v:imagedata o:title=""/>
                        <o:lock v:ext="edit" aspectratio="f"/>
                      </v:shape>
                      <v:shape id="_x0000_s1026" o:spid="_x0000_s1026" o:spt="32" type="#_x0000_t32" style="position:absolute;left:3366;top:12995;flip:x y;height:9;width:2502;" filled="f" stroked="t" coordsize="21600,21600" o:gfxdata="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ha+K/&#10;AAAA3AAAAA8AAAAAAAAAAQAgAAAAIgAAAGRycy9kb3ducmV2LnhtbFBLAQIUABQAAAAIAIdO4kAz&#10;LwWeOwAAADkAAAAQAAAAAAAAAAEAIAAAAA4BAABkcnMvc2hhcGV4bWwueG1sUEsFBgAAAAAGAAYA&#10;WwEAALgDAAAAAA==&#10;">
                        <v:fill on="f" focussize="0,0"/>
                        <v:stroke color="#000000" joinstyle="round" dashstyle="dash" endarrow="block"/>
                        <v:imagedata o:title=""/>
                        <o:lock v:ext="edit" aspectratio="f"/>
                      </v:shape>
                      <v:shape id="_x0000_s1026" o:spid="_x0000_s1026" o:spt="32" type="#_x0000_t32" style="position:absolute;left:7078;top:8427;flip:x;height:0;width:2416;" filled="f" stroked="t" coordsize="21600,21600" o:gfxdata="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sx3US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_x0000_s1026" o:spid="_x0000_s1026" o:spt="202" type="#_x0000_t202" style="position:absolute;left:6777;top:9802;height:532;width:1391;" filled="f" stroked="f" coordsize="21600,21600" o:gfxdata="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NyXCp&#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1C663772">
                              <w:pPr>
                                <w:ind w:left="0" w:leftChars="0" w:firstLine="0" w:firstLineChars="0"/>
                                <w:jc w:val="center"/>
                                <w:rPr>
                                  <w:szCs w:val="21"/>
                                </w:rPr>
                              </w:pPr>
                              <w:r>
                                <w:rPr>
                                  <w:rFonts w:hint="eastAsia"/>
                                  <w:szCs w:val="21"/>
                                </w:rPr>
                                <w:t>热空气</w:t>
                              </w:r>
                            </w:p>
                          </w:txbxContent>
                        </v:textbox>
                      </v:shape>
                      <v:shape id="_x0000_s1026" o:spid="_x0000_s1026" o:spt="202" type="#_x0000_t202" style="position:absolute;left:5928;top:6283;height:510;width:1180;" filled="f" stroked="t" coordsize="21600,21600" o:gfxdata="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rYsM3&#10;wAAAANwAAAAPAAAAAAAAAAEAIAAAACIAAABkcnMvZG93bnJldi54bWxQSwECFAAUAAAACACHTuJA&#10;My8FnjsAAAA5AAAAEAAAAAAAAAABACAAAAAPAQAAZHJzL3NoYXBleG1sLnhtbFBLBQYAAAAABgAG&#10;AFsBAAC5AwAAAAA=&#10;">
                        <v:fill on="f" focussize="0,0"/>
                        <v:stroke weight="0.5pt" color="#000000" joinstyle="miter"/>
                        <v:imagedata o:title=""/>
                        <o:lock v:ext="edit" aspectratio="f"/>
                        <v:textbox>
                          <w:txbxContent>
                            <w:p w14:paraId="47C79C89">
                              <w:pPr>
                                <w:ind w:left="0" w:leftChars="0" w:firstLine="0" w:firstLineChars="0"/>
                                <w:jc w:val="center"/>
                              </w:pPr>
                              <w:r>
                                <w:rPr>
                                  <w:rFonts w:hint="eastAsia"/>
                                </w:rPr>
                                <w:t>配料</w:t>
                              </w:r>
                            </w:p>
                          </w:txbxContent>
                        </v:textbox>
                      </v:shape>
                      <v:shape id="_x0000_s1026" o:spid="_x0000_s1026" o:spt="32" type="#_x0000_t32" style="position:absolute;left:9482;top:8367;flip:y;height:4870;width:12;" filled="f" stroked="t" coordsize="21600,21600" o:gfxdata="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vjQzO/&#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_x0000_s1026" o:spid="_x0000_s1026" o:spt="202" type="#_x0000_t202" style="position:absolute;left:4203;top:10309;height:541;width:2326;" filled="f" stroked="f" coordsize="21600,21600" o:gfxdata="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1sTUa/&#10;AAAA3A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787EB867">
                              <w:pPr>
                                <w:ind w:left="0" w:leftChars="0" w:firstLine="0" w:firstLineChars="0"/>
                                <w:jc w:val="center"/>
                              </w:pPr>
                              <w:r>
                                <w:rPr>
                                  <w:rFonts w:hint="eastAsia"/>
                                </w:rPr>
                                <w:t>烘干废气</w:t>
                              </w:r>
                            </w:p>
                          </w:txbxContent>
                        </v:textbox>
                      </v:shape>
                      <v:shape id="_x0000_s1026" o:spid="_x0000_s1026" o:spt="32" type="#_x0000_t32" style="position:absolute;left:6893;top:10237;flip:x;height:0;width:933;" filled="f" stroked="t" coordsize="21600,21600" o:gfxdata="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H0UK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_x0000_s1026" o:spid="_x0000_s1026" o:spt="32" type="#_x0000_t32" style="position:absolute;left:6527;top:8731;height:462;width:0;" filled="f" stroked="t" coordsize="21600,21600" o:gfxdata="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YJuC6/&#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_x0000_s1026" o:spid="_x0000_s1026" o:spt="32" type="#_x0000_t32" style="position:absolute;left:6527;top:9685;height:462;width:0;" filled="f" stroked="t" coordsize="21600,21600" o:gfxdata="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qh268AAAA&#10;3A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shape>
                      <v:shape id="_x0000_s1026" o:spid="_x0000_s1026" o:spt="32" type="#_x0000_t32" style="position:absolute;left:6527;top:10677;height:462;width:0;" filled="f" stroked="t" coordsize="21600,21600" o:gfxdata="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2mIvW/&#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_x0000_s1026" o:spid="_x0000_s1026" o:spt="32" type="#_x0000_t32" style="position:absolute;left:6527;top:11680;height:327;width:15;" filled="f" stroked="t" coordsize="21600,21600" o:gfxdata="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10vIK/&#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_x0000_s1026" o:spid="_x0000_s1026" o:spt="32" type="#_x0000_t32" style="position:absolute;left:6530;top:12553;height:339;width:12;" filled="f" stroked="t" coordsize="21600,21600" o:gfxdata="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I4GRm/&#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_x0000_s1026" o:spid="_x0000_s1026" o:spt="202" type="#_x0000_t202" style="position:absolute;left:2762;top:13310;height:880;width:1230;" fillcolor="#C4BC96" filled="t" stroked="t" coordsize="21600,21600" o:gfxdata="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NMNe2/&#10;AAAA3AAAAA8AAAAAAAAAAQAgAAAAIgAAAGRycy9kb3ducmV2LnhtbFBLAQIUABQAAAAIAIdO4kAz&#10;LwWeOwAAADkAAAAQAAAAAAAAAAEAIAAAAA4BAABkcnMvc2hhcGV4bWwueG1sUEsFBgAAAAAGAAYA&#10;WwEAALgDAAAAAA==&#10;">
                        <v:fill on="t" opacity="32768f" focussize="0,0"/>
                        <v:stroke weight="0.5pt" color="#000000" joinstyle="miter"/>
                        <v:imagedata o:title=""/>
                        <o:lock v:ext="edit" aspectratio="f"/>
                        <v:textbox>
                          <w:txbxContent>
                            <w:p w14:paraId="3E61F483">
                              <w:pPr>
                                <w:keepNext w:val="0"/>
                                <w:keepLines w:val="0"/>
                                <w:pageBreakBefore w:val="0"/>
                                <w:widowControl w:val="0"/>
                                <w:kinsoku/>
                                <w:wordWrap/>
                                <w:overflowPunct/>
                                <w:topLinePunct w:val="0"/>
                                <w:bidi w:val="0"/>
                                <w:adjustRightInd/>
                                <w:snapToGrid/>
                                <w:spacing w:line="240" w:lineRule="auto"/>
                                <w:ind w:left="0" w:leftChars="0" w:firstLine="0" w:firstLineChars="0"/>
                                <w:jc w:val="both"/>
                                <w:textAlignment w:val="auto"/>
                                <w:rPr>
                                  <w:rFonts w:hint="default" w:eastAsia="宋体"/>
                                  <w:sz w:val="21"/>
                                  <w:szCs w:val="21"/>
                                  <w:lang w:val="en-US" w:eastAsia="zh-CN"/>
                                </w:rPr>
                              </w:pPr>
                              <w:r>
                                <w:rPr>
                                  <w:rFonts w:hint="eastAsia"/>
                                  <w:sz w:val="21"/>
                                  <w:szCs w:val="21"/>
                                  <w:lang w:val="en-US" w:eastAsia="zh-CN"/>
                                </w:rPr>
                                <w:t>旋风+布袋+喷淋</w:t>
                              </w:r>
                            </w:p>
                          </w:txbxContent>
                        </v:textbox>
                      </v:shape>
                      <v:shape id="_x0000_s1026" o:spid="_x0000_s1026" o:spt="32" type="#_x0000_t32" style="position:absolute;left:4580;top:11396;flip:x;height:4;width:1561;" filled="f" stroked="t" coordsize="21600,21600" o:gfxdata="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V1L4bsAAADc&#10;AAAADwAAAAAAAAABACAAAAAiAAAAZHJzL2Rvd25yZXYueG1sUEsBAhQAFAAAAAgAh07iQDMvBZ47&#10;AAAAOQAAABAAAAAAAAAAAQAgAAAACgEAAGRycy9zaGFwZXhtbC54bWxQSwUGAAAAAAYABgBbAQAA&#10;tAMAAAAA&#10;">
                        <v:fill on="f" focussize="0,0"/>
                        <v:stroke color="#000000" joinstyle="round" dashstyle="dash" endarrow="block"/>
                        <v:imagedata o:title=""/>
                        <o:lock v:ext="edit" aspectratio="f"/>
                      </v:shape>
                      <v:shape id="_x0000_s1026" o:spid="_x0000_s1026" o:spt="202" type="#_x0000_t202" style="position:absolute;left:4546;top:9331;height:611;width:1353;" filled="f" stroked="f" coordsize="21600,21600" o:gfxdata="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Kk/pvQAA&#10;ANw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6494021F">
                              <w:pPr>
                                <w:ind w:left="0" w:leftChars="0" w:firstLine="0" w:firstLineChars="0"/>
                                <w:jc w:val="both"/>
                                <w:rPr>
                                  <w:szCs w:val="21"/>
                                </w:rPr>
                              </w:pPr>
                              <w:r>
                                <w:rPr>
                                  <w:rFonts w:hint="eastAsia"/>
                                  <w:szCs w:val="21"/>
                                </w:rPr>
                                <w:t>造粒废气</w:t>
                              </w:r>
                            </w:p>
                          </w:txbxContent>
                        </v:textbox>
                      </v:shape>
                      <v:shape id="_x0000_s1026" o:spid="_x0000_s1026" o:spt="202" type="#_x0000_t202" style="position:absolute;left:4246;top:8359;height:642;width:1488;" filled="f" stroked="f" coordsize="21600,21600" o:gfxdata="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2Zupy&#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7CA0B463">
                              <w:pPr>
                                <w:ind w:left="0" w:leftChars="0" w:firstLine="0" w:firstLineChars="0"/>
                                <w:jc w:val="both"/>
                                <w:rPr>
                                  <w:szCs w:val="21"/>
                                </w:rPr>
                              </w:pPr>
                              <w:r>
                                <w:rPr>
                                  <w:rFonts w:hint="eastAsia"/>
                                  <w:szCs w:val="21"/>
                                </w:rPr>
                                <w:t>粉碎废气</w:t>
                              </w:r>
                            </w:p>
                          </w:txbxContent>
                        </v:textbox>
                      </v:shape>
                      <v:shape id="_x0000_s1026" o:spid="_x0000_s1026" o:spt="202" type="#_x0000_t202" style="position:absolute;left:4696;top:12866;height:552;width:1459;" filled="f" stroked="f" coordsize="21600,21600" o:gfxdata="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TCJUrsAAADc&#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4C4A48BA">
                              <w:pPr>
                                <w:ind w:left="0" w:leftChars="0" w:firstLine="0" w:firstLineChars="0"/>
                                <w:jc w:val="both"/>
                                <w:rPr>
                                  <w:szCs w:val="21"/>
                                </w:rPr>
                              </w:pPr>
                              <w:r>
                                <w:rPr>
                                  <w:rFonts w:hint="eastAsia"/>
                                  <w:szCs w:val="21"/>
                                </w:rPr>
                                <w:t>筛分废气</w:t>
                              </w:r>
                            </w:p>
                          </w:txbxContent>
                        </v:textbox>
                      </v:shape>
                      <v:shape id="_x0000_s1026" o:spid="_x0000_s1026" o:spt="32" type="#_x0000_t32" style="position:absolute;left:7149;top:9437;flip:x;height:0;width:748;" filled="f" stroked="t" coordsize="21600,21600" o:gfxdata="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yCS/vQAA&#10;ANw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shape>
                      <v:shape id="_x0000_s1026" o:spid="_x0000_s1026" o:spt="202" type="#_x0000_t202" style="position:absolute;left:7421;top:12614;height:929;width:2104;" filled="f" stroked="f" coordsize="21600,21600" o:gfxdata="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2rrK+&#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04C424D9">
                              <w:pPr>
                                <w:ind w:left="0" w:leftChars="0" w:firstLine="0" w:firstLineChars="0"/>
                                <w:jc w:val="both"/>
                                <w:rPr>
                                  <w:sz w:val="21"/>
                                  <w:szCs w:val="21"/>
                                </w:rPr>
                              </w:pPr>
                              <w:r>
                                <w:rPr>
                                  <w:rFonts w:hint="eastAsia"/>
                                  <w:sz w:val="21"/>
                                  <w:szCs w:val="21"/>
                                </w:rPr>
                                <w:t>筛下不合格物料</w:t>
                              </w:r>
                            </w:p>
                          </w:txbxContent>
                        </v:textbox>
                      </v:shape>
                      <v:shape id="_x0000_s1026" o:spid="_x0000_s1026" o:spt="202" type="#_x0000_t202" style="position:absolute;left:4276;top:7407;height:791;width:1323;" filled="f" stroked="f" coordsize="21600,21600" o:gfxdata="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WC49R&#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4CB8F091">
                              <w:pPr>
                                <w:ind w:left="0" w:leftChars="0" w:firstLine="0" w:firstLineChars="0"/>
                                <w:jc w:val="both"/>
                                <w:rPr>
                                  <w:szCs w:val="21"/>
                                </w:rPr>
                              </w:pPr>
                              <w:r>
                                <w:rPr>
                                  <w:rFonts w:hint="eastAsia"/>
                                  <w:szCs w:val="21"/>
                                </w:rPr>
                                <w:t>搅拌废气</w:t>
                              </w:r>
                            </w:p>
                          </w:txbxContent>
                        </v:textbox>
                      </v:shape>
                      <v:shape id="_x0000_s1026" o:spid="_x0000_s1026" o:spt="32" type="#_x0000_t32" style="position:absolute;left:3405;top:14221;flip:x;height:314;width:17;" filled="f" stroked="t" coordsize="21600,21600" o:gfxdata="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DzIry/&#10;AAAA3A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shape>
                      <v:shape id="_x0000_s1026" o:spid="_x0000_s1026" o:spt="202" type="#_x0000_t202" style="position:absolute;left:2562;top:14372;height:747;width:2277;" filled="f" stroked="f" coordsize="21600,21600" o:gfxdata="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JlbS9&#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1D64DC7B">
                              <w:pPr>
                                <w:ind w:left="0" w:leftChars="0" w:firstLine="0" w:firstLineChars="0"/>
                                <w:jc w:val="center"/>
                                <w:rPr>
                                  <w:szCs w:val="21"/>
                                </w:rPr>
                              </w:pPr>
                              <w:r>
                                <w:rPr>
                                  <w:rFonts w:hint="eastAsia"/>
                                  <w:szCs w:val="21"/>
                                </w:rPr>
                                <w:t>DA001排气筒</w:t>
                              </w:r>
                            </w:p>
                          </w:txbxContent>
                        </v:textbox>
                      </v:shape>
                      <v:shape id="_x0000_s1026" o:spid="_x0000_s1026" o:spt="202" type="#_x0000_t202" style="position:absolute;left:4295;top:11361;height:509;width:2116;" filled="f" stroked="f" coordsize="21600,21600" o:gfxdata="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2REm&#10;wAAAANw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754FFBA3">
                              <w:pPr>
                                <w:ind w:left="0" w:leftChars="0" w:firstLine="0" w:firstLineChars="0"/>
                                <w:jc w:val="center"/>
                              </w:pPr>
                              <w:r>
                                <w:rPr>
                                  <w:rFonts w:hint="eastAsia"/>
                                </w:rPr>
                                <w:t>冷却废气</w:t>
                              </w:r>
                            </w:p>
                          </w:txbxContent>
                        </v:textbox>
                      </v:shape>
                      <w10:wrap type="none"/>
                      <w10:anchorlock/>
                    </v:group>
                  </w:pict>
                </mc:Fallback>
              </mc:AlternateContent>
            </w:r>
          </w:p>
          <w:p w14:paraId="02580158">
            <w:pPr>
              <w:pStyle w:val="23"/>
              <w:bidi w:val="0"/>
              <w:jc w:val="center"/>
              <w:rPr>
                <w:rFonts w:hint="eastAsia"/>
                <w:color w:val="auto"/>
                <w:highlight w:val="none"/>
                <w:u w:val="single" w:color="auto"/>
              </w:rPr>
            </w:pPr>
            <w:r>
              <w:rPr>
                <w:rFonts w:hint="eastAsia"/>
                <w:color w:val="auto"/>
                <w:highlight w:val="none"/>
                <w:u w:val="single" w:color="auto"/>
              </w:rPr>
              <w:t>图2-</w:t>
            </w:r>
            <w:r>
              <w:rPr>
                <w:rFonts w:hint="eastAsia"/>
                <w:color w:val="auto"/>
                <w:highlight w:val="none"/>
                <w:u w:val="single" w:color="auto"/>
                <w:lang w:val="en-US" w:eastAsia="zh-CN"/>
              </w:rPr>
              <w:t>2</w:t>
            </w:r>
            <w:r>
              <w:rPr>
                <w:rFonts w:hint="eastAsia"/>
                <w:color w:val="auto"/>
                <w:highlight w:val="none"/>
                <w:u w:val="single" w:color="auto"/>
              </w:rPr>
              <w:t xml:space="preserve">  </w:t>
            </w:r>
            <w:r>
              <w:rPr>
                <w:rFonts w:hint="eastAsia"/>
                <w:color w:val="auto"/>
                <w:highlight w:val="none"/>
                <w:u w:val="single" w:color="auto"/>
                <w:lang w:val="en-US" w:eastAsia="zh-CN"/>
              </w:rPr>
              <w:t>复合肥</w:t>
            </w:r>
            <w:r>
              <w:rPr>
                <w:rFonts w:hint="eastAsia"/>
                <w:color w:val="auto"/>
                <w:highlight w:val="none"/>
                <w:u w:val="single" w:color="auto"/>
              </w:rPr>
              <w:t>生产</w:t>
            </w:r>
            <w:r>
              <w:rPr>
                <w:rFonts w:hint="eastAsia"/>
                <w:color w:val="auto"/>
                <w:highlight w:val="none"/>
                <w:u w:val="single" w:color="auto"/>
                <w:lang w:val="en-US" w:eastAsia="zh-CN"/>
              </w:rPr>
              <w:t>主要</w:t>
            </w:r>
            <w:r>
              <w:rPr>
                <w:rFonts w:hint="eastAsia"/>
                <w:color w:val="auto"/>
                <w:highlight w:val="none"/>
                <w:u w:val="single" w:color="auto"/>
              </w:rPr>
              <w:t>工艺流程</w:t>
            </w:r>
            <w:r>
              <w:rPr>
                <w:rFonts w:hint="eastAsia"/>
                <w:color w:val="auto"/>
                <w:highlight w:val="none"/>
                <w:u w:val="single" w:color="auto"/>
                <w:lang w:val="en-US" w:eastAsia="zh-CN"/>
              </w:rPr>
              <w:t>及产污节点</w:t>
            </w:r>
            <w:r>
              <w:rPr>
                <w:rFonts w:hint="eastAsia"/>
                <w:color w:val="auto"/>
                <w:highlight w:val="none"/>
                <w:u w:val="single" w:color="auto"/>
              </w:rPr>
              <w:t>图</w:t>
            </w:r>
          </w:p>
          <w:p w14:paraId="57C7532B">
            <w:pPr>
              <w:pStyle w:val="22"/>
              <w:bidi w:val="0"/>
              <w:jc w:val="center"/>
              <w:rPr>
                <w:rFonts w:hint="eastAsia" w:ascii="Times New Roman" w:hAnsi="Times New Roman" w:eastAsia="宋体" w:cs="Times New Roman"/>
                <w:color w:val="4874CB" w:themeColor="accent1"/>
                <w:szCs w:val="24"/>
                <w:highlight w:val="none"/>
                <w:u w:val="none" w:color="auto"/>
                <w14:textFill>
                  <w14:solidFill>
                    <w14:schemeClr w14:val="accent1"/>
                  </w14:solidFill>
                </w14:textFill>
              </w:rPr>
            </w:pPr>
            <w:r>
              <w:drawing>
                <wp:inline distT="0" distB="0" distL="114300" distR="114300">
                  <wp:extent cx="3168650" cy="1905000"/>
                  <wp:effectExtent l="0" t="0" r="12700" b="0"/>
                  <wp:docPr id="15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6"/>
                          <pic:cNvPicPr>
                            <a:picLocks noChangeAspect="1"/>
                          </pic:cNvPicPr>
                        </pic:nvPicPr>
                        <pic:blipFill>
                          <a:blip r:embed="rId9"/>
                          <a:stretch>
                            <a:fillRect/>
                          </a:stretch>
                        </pic:blipFill>
                        <pic:spPr>
                          <a:xfrm>
                            <a:off x="0" y="0"/>
                            <a:ext cx="3168650" cy="1905000"/>
                          </a:xfrm>
                          <a:prstGeom prst="rect">
                            <a:avLst/>
                          </a:prstGeom>
                          <a:noFill/>
                          <a:ln>
                            <a:noFill/>
                          </a:ln>
                        </pic:spPr>
                      </pic:pic>
                    </a:graphicData>
                  </a:graphic>
                </wp:inline>
              </w:drawing>
            </w:r>
          </w:p>
          <w:p w14:paraId="0DB9746C">
            <w:pPr>
              <w:pStyle w:val="22"/>
              <w:bidi w:val="0"/>
              <w:jc w:val="center"/>
              <w:rPr>
                <w:rFonts w:hint="eastAsia" w:ascii="Times New Roman" w:hAnsi="Times New Roman" w:eastAsia="宋体" w:cs="Times New Roman"/>
                <w:b/>
                <w:bCs/>
                <w:color w:val="auto"/>
                <w:sz w:val="21"/>
                <w:szCs w:val="21"/>
                <w:highlight w:val="none"/>
                <w:u w:val="none" w:color="auto"/>
              </w:rPr>
            </w:pPr>
            <w:r>
              <w:rPr>
                <w:rFonts w:hint="eastAsia"/>
                <w:b/>
                <w:bCs/>
                <w:color w:val="auto"/>
                <w:sz w:val="21"/>
                <w:szCs w:val="21"/>
                <w:highlight w:val="none"/>
              </w:rPr>
              <w:t xml:space="preserve">图2-3  </w:t>
            </w:r>
            <w:r>
              <w:rPr>
                <w:rFonts w:hint="eastAsia"/>
                <w:b/>
                <w:bCs/>
                <w:color w:val="auto"/>
                <w:sz w:val="21"/>
                <w:szCs w:val="21"/>
                <w:highlight w:val="none"/>
                <w:lang w:val="en-US" w:eastAsia="zh-CN"/>
              </w:rPr>
              <w:t>掺混肥</w:t>
            </w:r>
            <w:r>
              <w:rPr>
                <w:rFonts w:hint="eastAsia"/>
                <w:b/>
                <w:bCs/>
                <w:color w:val="auto"/>
                <w:sz w:val="21"/>
                <w:szCs w:val="21"/>
                <w:highlight w:val="none"/>
              </w:rPr>
              <w:t>生产</w:t>
            </w:r>
            <w:r>
              <w:rPr>
                <w:rFonts w:hint="eastAsia"/>
                <w:b/>
                <w:bCs/>
                <w:color w:val="auto"/>
                <w:sz w:val="21"/>
                <w:szCs w:val="21"/>
                <w:highlight w:val="none"/>
                <w:lang w:val="en-US" w:eastAsia="zh-CN"/>
              </w:rPr>
              <w:t>主要</w:t>
            </w:r>
            <w:r>
              <w:rPr>
                <w:rFonts w:hint="eastAsia"/>
                <w:b/>
                <w:bCs/>
                <w:color w:val="auto"/>
                <w:sz w:val="21"/>
                <w:szCs w:val="21"/>
                <w:highlight w:val="none"/>
              </w:rPr>
              <w:t>工艺流程</w:t>
            </w:r>
            <w:r>
              <w:rPr>
                <w:rFonts w:hint="eastAsia"/>
                <w:b/>
                <w:bCs/>
                <w:color w:val="auto"/>
                <w:sz w:val="21"/>
                <w:szCs w:val="21"/>
                <w:highlight w:val="none"/>
                <w:lang w:val="en-US" w:eastAsia="zh-CN"/>
              </w:rPr>
              <w:t>及产污节点</w:t>
            </w:r>
            <w:r>
              <w:rPr>
                <w:rFonts w:hint="eastAsia"/>
                <w:b/>
                <w:bCs/>
                <w:color w:val="auto"/>
                <w:sz w:val="21"/>
                <w:szCs w:val="21"/>
                <w:highlight w:val="none"/>
              </w:rPr>
              <w:t>图</w:t>
            </w:r>
          </w:p>
          <w:p w14:paraId="4B1BBCC7">
            <w:pPr>
              <w:pStyle w:val="22"/>
              <w:bidi w:val="0"/>
              <w:rPr>
                <w:rFonts w:hint="eastAsia" w:ascii="Times New Roman" w:hAnsi="Times New Roman" w:eastAsia="宋体" w:cs="Times New Roman"/>
                <w:color w:val="4874CB" w:themeColor="accent1"/>
                <w:szCs w:val="24"/>
                <w:highlight w:val="none"/>
                <w:u w:val="none" w:color="auto"/>
                <w14:textFill>
                  <w14:solidFill>
                    <w14:schemeClr w14:val="accent1"/>
                  </w14:solidFill>
                </w14:textFill>
              </w:rPr>
            </w:pPr>
          </w:p>
          <w:p w14:paraId="3C3AD6A1">
            <w:pPr>
              <w:pStyle w:val="22"/>
              <w:bidi w:val="0"/>
              <w:rPr>
                <w:rFonts w:hint="eastAsia" w:ascii="Times New Roman" w:hAnsi="Times New Roman" w:eastAsia="宋体" w:cs="Times New Roman"/>
                <w:color w:val="auto"/>
                <w:szCs w:val="24"/>
                <w:highlight w:val="none"/>
                <w:u w:val="none" w:color="auto"/>
              </w:rPr>
            </w:pPr>
            <w:r>
              <w:rPr>
                <w:rFonts w:hint="eastAsia" w:ascii="Times New Roman" w:hAnsi="Times New Roman" w:eastAsia="宋体" w:cs="Times New Roman"/>
                <w:color w:val="auto"/>
                <w:szCs w:val="24"/>
                <w:highlight w:val="none"/>
                <w:u w:val="none" w:color="auto"/>
              </w:rPr>
              <w:t>生产工艺简述：</w:t>
            </w:r>
          </w:p>
          <w:p w14:paraId="03B08CC5">
            <w:pPr>
              <w:spacing w:line="360" w:lineRule="auto"/>
              <w:rPr>
                <w:rFonts w:ascii="宋体" w:hAnsi="宋体"/>
                <w:bCs/>
                <w:sz w:val="24"/>
              </w:rPr>
            </w:pPr>
            <w:r>
              <w:rPr>
                <w:rFonts w:hint="eastAsia" w:ascii="宋体" w:hAnsi="宋体"/>
                <w:bCs/>
                <w:sz w:val="24"/>
                <w:lang w:val="en-US" w:eastAsia="zh-CN"/>
              </w:rPr>
              <w:t>①：</w:t>
            </w:r>
            <w:r>
              <w:rPr>
                <w:rFonts w:hint="eastAsia" w:ascii="宋体" w:hAnsi="宋体"/>
                <w:bCs/>
                <w:sz w:val="24"/>
              </w:rPr>
              <w:t>复</w:t>
            </w:r>
            <w:r>
              <w:rPr>
                <w:rFonts w:hint="eastAsia" w:ascii="宋体" w:hAnsi="宋体"/>
                <w:bCs/>
                <w:sz w:val="24"/>
                <w:lang w:val="en-US" w:eastAsia="zh-CN"/>
              </w:rPr>
              <w:t>合</w:t>
            </w:r>
            <w:r>
              <w:rPr>
                <w:rFonts w:hint="eastAsia" w:ascii="宋体" w:hAnsi="宋体"/>
                <w:bCs/>
                <w:sz w:val="24"/>
              </w:rPr>
              <w:t>肥料生产工艺</w:t>
            </w:r>
          </w:p>
          <w:p w14:paraId="64BD8741">
            <w:pPr>
              <w:pStyle w:val="7"/>
              <w:snapToGrid/>
              <w:spacing w:before="0" w:after="0" w:line="360" w:lineRule="auto"/>
              <w:ind w:right="0" w:firstLine="480" w:firstLineChars="200"/>
              <w:contextualSpacing/>
              <w:jc w:val="both"/>
              <w:rPr>
                <w:rFonts w:hint="eastAsia" w:ascii="Times New Roman" w:hAnsi="Times New Roman"/>
                <w:sz w:val="24"/>
                <w:u w:val="single"/>
              </w:rPr>
            </w:pPr>
            <w:r>
              <w:rPr>
                <w:rFonts w:hint="eastAsia" w:ascii="Times New Roman" w:hAnsi="Times New Roman"/>
                <w:sz w:val="24"/>
                <w:u w:val="single"/>
              </w:rPr>
              <w:t>工艺路线为各种原辅材料经自动配料机配料—搅拌—粉碎—造粒—烘干—冷却—</w:t>
            </w:r>
            <w:r>
              <w:rPr>
                <w:rFonts w:hint="eastAsia" w:ascii="Times New Roman" w:hAnsi="Times New Roman"/>
                <w:sz w:val="24"/>
                <w:u w:val="single"/>
                <w:lang w:val="en-US" w:eastAsia="zh-CN"/>
              </w:rPr>
              <w:t>包膜</w:t>
            </w:r>
            <w:r>
              <w:rPr>
                <w:rFonts w:hint="eastAsia" w:ascii="Times New Roman" w:hAnsi="Times New Roman"/>
                <w:sz w:val="24"/>
                <w:u w:val="single"/>
              </w:rPr>
              <w:t>—筛分等工序后制得的产品包装入库。</w:t>
            </w:r>
          </w:p>
          <w:p w14:paraId="7C18CB3A">
            <w:pPr>
              <w:pStyle w:val="7"/>
              <w:snapToGrid/>
              <w:spacing w:before="0" w:after="0" w:line="360" w:lineRule="auto"/>
              <w:ind w:right="0" w:firstLine="480" w:firstLineChars="200"/>
              <w:contextualSpacing/>
              <w:jc w:val="both"/>
              <w:rPr>
                <w:rFonts w:hint="eastAsia" w:ascii="Times New Roman" w:hAnsi="Times New Roman"/>
                <w:sz w:val="24"/>
                <w:u w:val="single"/>
              </w:rPr>
            </w:pPr>
            <w:r>
              <w:rPr>
                <w:rFonts w:hint="eastAsia" w:ascii="Times New Roman" w:hAnsi="Times New Roman"/>
                <w:sz w:val="24"/>
                <w:u w:val="single"/>
              </w:rPr>
              <w:t>生产复混肥的各原料均经计量后加入自动配料机，再经运输机送至搅拌机，搅拌均匀后的物料与筛分机筛选出的粗料一并经运输机送入粉碎机粉碎。根据粉碎后物料的湿度，适当加入少量水调节物料湿度，再经造粒机制成均匀尺寸的颗粒，粒度一般在1~2mm；颗粒经皮带运输至烘干</w:t>
            </w:r>
            <w:r>
              <w:rPr>
                <w:rFonts w:hint="eastAsia"/>
                <w:sz w:val="24"/>
                <w:u w:val="single"/>
                <w:lang w:val="en-US" w:eastAsia="zh-CN"/>
              </w:rPr>
              <w:t>滚筒</w:t>
            </w:r>
            <w:r>
              <w:rPr>
                <w:rFonts w:hint="eastAsia" w:ascii="Times New Roman" w:hAnsi="Times New Roman"/>
                <w:sz w:val="24"/>
                <w:u w:val="single"/>
              </w:rPr>
              <w:t>，烘干</w:t>
            </w:r>
            <w:r>
              <w:rPr>
                <w:rFonts w:hint="eastAsia"/>
                <w:sz w:val="24"/>
                <w:u w:val="single"/>
                <w:lang w:val="en-US" w:eastAsia="zh-CN"/>
              </w:rPr>
              <w:t>滚筒</w:t>
            </w:r>
            <w:r>
              <w:rPr>
                <w:rFonts w:hint="eastAsia" w:ascii="Times New Roman" w:hAnsi="Times New Roman"/>
                <w:sz w:val="24"/>
                <w:u w:val="single"/>
              </w:rPr>
              <w:t>热</w:t>
            </w:r>
            <w:r>
              <w:rPr>
                <w:rFonts w:hint="eastAsia"/>
                <w:sz w:val="24"/>
                <w:u w:val="single"/>
                <w:lang w:val="en-US" w:eastAsia="zh-CN"/>
              </w:rPr>
              <w:t>风</w:t>
            </w:r>
            <w:r>
              <w:rPr>
                <w:rFonts w:hint="eastAsia" w:ascii="Times New Roman" w:hAnsi="Times New Roman"/>
                <w:sz w:val="24"/>
                <w:u w:val="single"/>
              </w:rPr>
              <w:t>来自热风炉（采用</w:t>
            </w:r>
            <w:r>
              <w:rPr>
                <w:color w:val="auto"/>
                <w:szCs w:val="21"/>
                <w:u w:val="single"/>
              </w:rPr>
              <w:t>轻质柴油</w:t>
            </w:r>
            <w:r>
              <w:rPr>
                <w:rFonts w:hint="eastAsia" w:ascii="Times New Roman" w:hAnsi="Times New Roman"/>
                <w:sz w:val="24"/>
                <w:u w:val="single"/>
              </w:rPr>
              <w:t>为燃料），</w:t>
            </w:r>
            <w:r>
              <w:rPr>
                <w:rFonts w:hint="eastAsia" w:ascii="Times New Roman" w:hAnsi="Times New Roman"/>
                <w:sz w:val="24"/>
                <w:u w:val="single"/>
                <w:lang w:val="en-US" w:eastAsia="zh-CN"/>
              </w:rPr>
              <w:t>通过热风与物料接触来实现烘干，</w:t>
            </w:r>
            <w:r>
              <w:rPr>
                <w:rFonts w:hint="eastAsia" w:ascii="Times New Roman" w:hAnsi="Times New Roman"/>
                <w:sz w:val="24"/>
                <w:u w:val="single"/>
              </w:rPr>
              <w:t>烘干温度</w:t>
            </w:r>
            <w:r>
              <w:rPr>
                <w:rFonts w:hint="eastAsia" w:ascii="Times New Roman" w:hAnsi="Times New Roman"/>
                <w:sz w:val="24"/>
                <w:u w:val="single"/>
                <w:lang w:val="en-US" w:eastAsia="zh-CN"/>
              </w:rPr>
              <w:t>为70~</w:t>
            </w:r>
            <w:r>
              <w:rPr>
                <w:rFonts w:hint="eastAsia" w:ascii="Times New Roman" w:hAnsi="Times New Roman"/>
                <w:sz w:val="24"/>
                <w:u w:val="single"/>
              </w:rPr>
              <w:t>1</w:t>
            </w:r>
            <w:r>
              <w:rPr>
                <w:rFonts w:hint="eastAsia" w:ascii="Times New Roman" w:hAnsi="Times New Roman"/>
                <w:sz w:val="24"/>
                <w:u w:val="single"/>
                <w:lang w:val="en-US" w:eastAsia="zh-CN"/>
              </w:rPr>
              <w:t>0</w:t>
            </w:r>
            <w:r>
              <w:rPr>
                <w:rFonts w:hint="eastAsia" w:ascii="Times New Roman" w:hAnsi="Times New Roman"/>
                <w:sz w:val="24"/>
                <w:u w:val="single"/>
              </w:rPr>
              <w:t>0℃；烘干后的颗粒经冷却机（冷却方式为风冷）冷却，</w:t>
            </w:r>
            <w:r>
              <w:rPr>
                <w:rFonts w:hint="eastAsia" w:ascii="Times New Roman" w:hAnsi="Times New Roman"/>
                <w:sz w:val="24"/>
                <w:u w:val="single"/>
                <w:lang w:val="en-US" w:eastAsia="zh-CN"/>
              </w:rPr>
              <w:t>冷却</w:t>
            </w:r>
            <w:r>
              <w:rPr>
                <w:rFonts w:hint="eastAsia" w:ascii="宋体" w:hAnsi="宋体" w:cs="宋体"/>
                <w:sz w:val="24"/>
                <w:szCs w:val="24"/>
                <w:u w:val="single"/>
              </w:rPr>
              <w:t>后</w:t>
            </w:r>
            <w:r>
              <w:rPr>
                <w:rFonts w:ascii="宋体" w:hAnsi="宋体" w:cs="宋体"/>
                <w:sz w:val="24"/>
                <w:szCs w:val="24"/>
                <w:u w:val="single"/>
              </w:rPr>
              <w:t>送入</w:t>
            </w:r>
            <w:r>
              <w:rPr>
                <w:rFonts w:hint="eastAsia" w:ascii="宋体" w:hAnsi="宋体" w:cs="宋体"/>
                <w:sz w:val="24"/>
                <w:szCs w:val="24"/>
                <w:u w:val="single"/>
              </w:rPr>
              <w:t>包膜机</w:t>
            </w:r>
            <w:r>
              <w:rPr>
                <w:rFonts w:ascii="宋体" w:hAnsi="宋体" w:cs="宋体"/>
                <w:sz w:val="24"/>
                <w:szCs w:val="24"/>
                <w:u w:val="single"/>
              </w:rPr>
              <w:t>，将防结块剂包裹</w:t>
            </w:r>
            <w:r>
              <w:rPr>
                <w:rFonts w:hint="eastAsia" w:ascii="宋体" w:hAnsi="宋体" w:cs="宋体"/>
                <w:sz w:val="24"/>
                <w:szCs w:val="24"/>
                <w:u w:val="single"/>
              </w:rPr>
              <w:t>在</w:t>
            </w:r>
            <w:r>
              <w:rPr>
                <w:rFonts w:ascii="宋体" w:hAnsi="宋体" w:cs="宋体"/>
                <w:sz w:val="24"/>
                <w:szCs w:val="24"/>
                <w:u w:val="single"/>
              </w:rPr>
              <w:t>肥料</w:t>
            </w:r>
            <w:r>
              <w:rPr>
                <w:rFonts w:hint="eastAsia" w:ascii="宋体" w:hAnsi="宋体" w:cs="宋体"/>
                <w:sz w:val="24"/>
                <w:szCs w:val="24"/>
                <w:u w:val="single"/>
              </w:rPr>
              <w:t>表面</w:t>
            </w:r>
            <w:r>
              <w:rPr>
                <w:rFonts w:hint="eastAsia" w:ascii="宋体" w:hAnsi="宋体" w:cs="宋体"/>
                <w:sz w:val="24"/>
                <w:szCs w:val="24"/>
                <w:u w:val="single"/>
                <w:lang w:eastAsia="zh-CN"/>
              </w:rPr>
              <w:t>，</w:t>
            </w:r>
            <w:r>
              <w:rPr>
                <w:rFonts w:hint="eastAsia" w:ascii="Times New Roman" w:hAnsi="Times New Roman"/>
                <w:sz w:val="24"/>
                <w:u w:val="single"/>
              </w:rPr>
              <w:t>再经筛分机筛选，不合格颗粒返回粉碎机再利用，合格颗粒经包装后入库。</w:t>
            </w:r>
          </w:p>
          <w:p w14:paraId="342382F1">
            <w:pPr>
              <w:spacing w:line="360" w:lineRule="auto"/>
              <w:rPr>
                <w:rFonts w:ascii="宋体" w:hAnsi="宋体" w:cs="宋体"/>
                <w:sz w:val="24"/>
                <w:szCs w:val="24"/>
              </w:rPr>
            </w:pPr>
            <w:r>
              <w:rPr>
                <w:rFonts w:hint="eastAsia" w:ascii="宋体" w:hAnsi="宋体" w:cs="宋体"/>
                <w:sz w:val="24"/>
                <w:szCs w:val="24"/>
                <w:lang w:val="en-US" w:eastAsia="zh-CN"/>
              </w:rPr>
              <w:t>②：</w:t>
            </w:r>
            <w:r>
              <w:rPr>
                <w:rFonts w:hint="eastAsia" w:ascii="宋体" w:hAnsi="宋体" w:cs="宋体"/>
                <w:sz w:val="24"/>
                <w:szCs w:val="24"/>
              </w:rPr>
              <w:t>掺混肥料生产工艺</w:t>
            </w:r>
          </w:p>
          <w:p w14:paraId="1061FB5F">
            <w:pPr>
              <w:spacing w:line="360" w:lineRule="auto"/>
              <w:rPr>
                <w:rFonts w:hint="eastAsia" w:ascii="宋体" w:hAnsi="宋体" w:cs="宋体"/>
                <w:sz w:val="24"/>
                <w:szCs w:val="24"/>
              </w:rPr>
            </w:pPr>
            <w:r>
              <w:rPr>
                <w:rFonts w:hint="eastAsia" w:ascii="宋体" w:hAnsi="宋体"/>
                <w:b/>
                <w:sz w:val="24"/>
              </w:rPr>
              <w:t>掺混搅拌</w:t>
            </w:r>
            <w:r>
              <w:rPr>
                <w:rFonts w:hint="eastAsia" w:ascii="宋体" w:hAnsi="宋体"/>
                <w:b/>
                <w:sz w:val="24"/>
                <w:u w:val="single"/>
              </w:rPr>
              <w:t>：</w:t>
            </w:r>
            <w:r>
              <w:rPr>
                <w:rFonts w:hint="eastAsia" w:ascii="宋体" w:hAnsi="宋体"/>
                <w:sz w:val="24"/>
                <w:u w:val="single"/>
              </w:rPr>
              <w:t>掺混肥料与复</w:t>
            </w:r>
            <w:r>
              <w:rPr>
                <w:rFonts w:hint="eastAsia" w:ascii="宋体" w:hAnsi="宋体"/>
                <w:sz w:val="24"/>
                <w:u w:val="single"/>
                <w:lang w:val="en-US" w:eastAsia="zh-CN"/>
              </w:rPr>
              <w:t>合</w:t>
            </w:r>
            <w:r>
              <w:rPr>
                <w:rFonts w:hint="eastAsia" w:ascii="宋体" w:hAnsi="宋体"/>
                <w:sz w:val="24"/>
                <w:u w:val="single"/>
              </w:rPr>
              <w:t>肥料合用同一条生产线，掺混肥料在生产线前段即完成生产</w:t>
            </w:r>
            <w:r>
              <w:rPr>
                <w:rFonts w:hint="eastAsia" w:ascii="宋体" w:hAnsi="宋体"/>
                <w:sz w:val="24"/>
                <w:u w:val="single"/>
                <w:lang w:eastAsia="zh-CN"/>
              </w:rPr>
              <w:t>，</w:t>
            </w:r>
            <w:r>
              <w:rPr>
                <w:rFonts w:hint="eastAsia" w:ascii="宋体" w:hAnsi="宋体"/>
                <w:sz w:val="24"/>
                <w:u w:val="single"/>
                <w:lang w:val="en-US" w:eastAsia="zh-CN"/>
              </w:rPr>
              <w:t>不需经过造粒工序</w:t>
            </w:r>
            <w:r>
              <w:rPr>
                <w:rFonts w:hint="eastAsia" w:ascii="宋体" w:hAnsi="宋体"/>
                <w:sz w:val="24"/>
                <w:u w:val="single"/>
              </w:rPr>
              <w:t>。</w:t>
            </w:r>
            <w:r>
              <w:rPr>
                <w:rFonts w:ascii="宋体" w:hAnsi="宋体" w:cs="宋体"/>
                <w:sz w:val="24"/>
                <w:szCs w:val="24"/>
                <w:u w:val="single"/>
              </w:rPr>
              <w:t>根据</w:t>
            </w:r>
            <w:r>
              <w:rPr>
                <w:rFonts w:hint="eastAsia" w:ascii="宋体" w:hAnsi="宋体" w:cs="宋体"/>
                <w:sz w:val="24"/>
                <w:szCs w:val="24"/>
                <w:u w:val="single"/>
              </w:rPr>
              <w:t>掺</w:t>
            </w:r>
            <w:r>
              <w:rPr>
                <w:rFonts w:ascii="宋体" w:hAnsi="宋体" w:cs="宋体"/>
                <w:sz w:val="24"/>
                <w:szCs w:val="24"/>
                <w:u w:val="single"/>
              </w:rPr>
              <w:t>混肥料不同配方的需求，将</w:t>
            </w:r>
            <w:r>
              <w:rPr>
                <w:rFonts w:hint="eastAsia" w:ascii="宋体" w:hAnsi="宋体" w:cs="宋体"/>
                <w:sz w:val="24"/>
                <w:szCs w:val="24"/>
                <w:u w:val="single"/>
              </w:rPr>
              <w:t>颗粒氮肥、颗粒磷肥、颗粒钾肥和颗粒填料进行搅拌均匀混合，然后封包入库。</w:t>
            </w:r>
          </w:p>
          <w:p w14:paraId="4E841498">
            <w:pPr>
              <w:pStyle w:val="21"/>
              <w:numPr>
                <w:ilvl w:val="0"/>
                <w:numId w:val="0"/>
              </w:numPr>
              <w:bidi w:val="0"/>
              <w:ind w:leftChars="200"/>
              <w:rPr>
                <w:rFonts w:hint="eastAsia"/>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（2）项目物料平衡</w:t>
            </w:r>
          </w:p>
          <w:p w14:paraId="0AE34B8D">
            <w:pPr>
              <w:pStyle w:val="23"/>
              <w:bidi w:val="0"/>
              <w:rPr>
                <w:rFonts w:hint="default"/>
                <w:color w:val="000000" w:themeColor="text1"/>
                <w:lang w:val="en-US" w:eastAsia="zh-CN"/>
                <w14:textFill>
                  <w14:solidFill>
                    <w14:schemeClr w14:val="tx1"/>
                  </w14:solidFill>
                </w14:textFill>
              </w:rPr>
            </w:pPr>
            <w:r>
              <w:rPr>
                <w:rFonts w:hint="eastAsia"/>
                <w:color w:val="auto"/>
                <w:lang w:val="en-US" w:eastAsia="zh-CN"/>
              </w:rPr>
              <w:t>表2-10  项目物料平衡表</w:t>
            </w:r>
          </w:p>
          <w:tbl>
            <w:tblPr>
              <w:tblStyle w:val="16"/>
              <w:tblW w:w="7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4"/>
              <w:gridCol w:w="1964"/>
              <w:gridCol w:w="1965"/>
              <w:gridCol w:w="1965"/>
            </w:tblGrid>
            <w:tr w14:paraId="4E638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28" w:type="dxa"/>
                  <w:gridSpan w:val="2"/>
                  <w:vAlign w:val="center"/>
                </w:tcPr>
                <w:p w14:paraId="473459F4">
                  <w:pPr>
                    <w:pStyle w:val="22"/>
                    <w:bidi w:val="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入方（吨）</w:t>
                  </w:r>
                </w:p>
              </w:tc>
              <w:tc>
                <w:tcPr>
                  <w:tcW w:w="3930" w:type="dxa"/>
                  <w:gridSpan w:val="2"/>
                  <w:vAlign w:val="center"/>
                </w:tcPr>
                <w:p w14:paraId="6FBB59FF">
                  <w:pPr>
                    <w:pStyle w:val="22"/>
                    <w:bidi w:val="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出方（吨）</w:t>
                  </w:r>
                </w:p>
              </w:tc>
            </w:tr>
            <w:tr w14:paraId="1971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Align w:val="center"/>
                </w:tcPr>
                <w:p w14:paraId="2F3EC490">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物料名称</w:t>
                  </w:r>
                </w:p>
              </w:tc>
              <w:tc>
                <w:tcPr>
                  <w:tcW w:w="1964" w:type="dxa"/>
                  <w:vAlign w:val="center"/>
                </w:tcPr>
                <w:p w14:paraId="65AC5539">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数量</w:t>
                  </w:r>
                </w:p>
              </w:tc>
              <w:tc>
                <w:tcPr>
                  <w:tcW w:w="1965" w:type="dxa"/>
                  <w:vAlign w:val="center"/>
                </w:tcPr>
                <w:p w14:paraId="2F611F8D">
                  <w:pPr>
                    <w:pStyle w:val="22"/>
                    <w:bidi w:val="0"/>
                    <w:ind w:left="0" w:leftChars="0" w:firstLine="0" w:firstLineChars="0"/>
                    <w:jc w:val="center"/>
                    <w:rPr>
                      <w:rFonts w:hint="eastAsia"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物料名称</w:t>
                  </w:r>
                </w:p>
              </w:tc>
              <w:tc>
                <w:tcPr>
                  <w:tcW w:w="1965" w:type="dxa"/>
                  <w:vAlign w:val="center"/>
                </w:tcPr>
                <w:p w14:paraId="56DFBFD7">
                  <w:pPr>
                    <w:pStyle w:val="22"/>
                    <w:bidi w:val="0"/>
                    <w:ind w:left="0" w:leftChars="0" w:firstLine="0" w:firstLineChars="0"/>
                    <w:jc w:val="center"/>
                    <w:rPr>
                      <w:rFonts w:hint="eastAsia"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数量</w:t>
                  </w:r>
                </w:p>
              </w:tc>
            </w:tr>
            <w:tr w14:paraId="7B207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Align w:val="center"/>
                </w:tcPr>
                <w:p w14:paraId="72615B35">
                  <w:pPr>
                    <w:pStyle w:val="24"/>
                    <w:bidi w:val="0"/>
                    <w:ind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有机肥料</w:t>
                  </w:r>
                </w:p>
              </w:tc>
              <w:tc>
                <w:tcPr>
                  <w:tcW w:w="1964" w:type="dxa"/>
                  <w:vAlign w:val="center"/>
                </w:tcPr>
                <w:p w14:paraId="40494DC2">
                  <w:pPr>
                    <w:pStyle w:val="24"/>
                    <w:bidi w:val="0"/>
                    <w:ind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897.45</w:t>
                  </w:r>
                </w:p>
              </w:tc>
              <w:tc>
                <w:tcPr>
                  <w:tcW w:w="1965" w:type="dxa"/>
                  <w:vAlign w:val="center"/>
                </w:tcPr>
                <w:p w14:paraId="38653ED1">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复合肥料</w:t>
                  </w:r>
                </w:p>
              </w:tc>
              <w:tc>
                <w:tcPr>
                  <w:tcW w:w="1965" w:type="dxa"/>
                  <w:vAlign w:val="center"/>
                </w:tcPr>
                <w:p w14:paraId="1149EBB8">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20000</w:t>
                  </w:r>
                </w:p>
              </w:tc>
            </w:tr>
            <w:tr w14:paraId="0B2C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Align w:val="center"/>
                </w:tcPr>
                <w:p w14:paraId="695DE6FA">
                  <w:pPr>
                    <w:pStyle w:val="24"/>
                    <w:bidi w:val="0"/>
                    <w:ind w:firstLine="0" w:firstLineChars="0"/>
                    <w:jc w:val="center"/>
                    <w:rPr>
                      <w:rFonts w:hint="eastAsia"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尿素</w:t>
                  </w:r>
                </w:p>
              </w:tc>
              <w:tc>
                <w:tcPr>
                  <w:tcW w:w="1964" w:type="dxa"/>
                  <w:vAlign w:val="center"/>
                </w:tcPr>
                <w:p w14:paraId="00594447">
                  <w:pPr>
                    <w:pStyle w:val="24"/>
                    <w:bidi w:val="0"/>
                    <w:ind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7800</w:t>
                  </w:r>
                </w:p>
              </w:tc>
              <w:tc>
                <w:tcPr>
                  <w:tcW w:w="1965" w:type="dxa"/>
                  <w:vAlign w:val="center"/>
                </w:tcPr>
                <w:p w14:paraId="43217DE3">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掺混肥料</w:t>
                  </w:r>
                </w:p>
              </w:tc>
              <w:tc>
                <w:tcPr>
                  <w:tcW w:w="1965" w:type="dxa"/>
                  <w:vAlign w:val="center"/>
                </w:tcPr>
                <w:p w14:paraId="219D537E">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30000</w:t>
                  </w:r>
                </w:p>
              </w:tc>
            </w:tr>
            <w:tr w14:paraId="2A968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Align w:val="center"/>
                </w:tcPr>
                <w:p w14:paraId="42756B52">
                  <w:pPr>
                    <w:pStyle w:val="24"/>
                    <w:bidi w:val="0"/>
                    <w:ind w:firstLine="0" w:firstLineChars="0"/>
                    <w:jc w:val="center"/>
                    <w:rPr>
                      <w:rFonts w:hint="eastAsia"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氯化铵</w:t>
                  </w:r>
                </w:p>
              </w:tc>
              <w:tc>
                <w:tcPr>
                  <w:tcW w:w="1964" w:type="dxa"/>
                  <w:vAlign w:val="center"/>
                </w:tcPr>
                <w:p w14:paraId="0358ABAE">
                  <w:pPr>
                    <w:pStyle w:val="24"/>
                    <w:bidi w:val="0"/>
                    <w:ind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16000</w:t>
                  </w:r>
                </w:p>
              </w:tc>
              <w:tc>
                <w:tcPr>
                  <w:tcW w:w="1965" w:type="dxa"/>
                  <w:vAlign w:val="center"/>
                </w:tcPr>
                <w:p w14:paraId="588FE835">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收集的粉尘</w:t>
                  </w:r>
                </w:p>
              </w:tc>
              <w:tc>
                <w:tcPr>
                  <w:tcW w:w="1965" w:type="dxa"/>
                  <w:vAlign w:val="center"/>
                </w:tcPr>
                <w:p w14:paraId="16571986">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405.33</w:t>
                  </w:r>
                </w:p>
              </w:tc>
            </w:tr>
            <w:tr w14:paraId="3C67D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Align w:val="center"/>
                </w:tcPr>
                <w:p w14:paraId="5F5A0CE4">
                  <w:pPr>
                    <w:pStyle w:val="24"/>
                    <w:bidi w:val="0"/>
                    <w:ind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磷酸一铵</w:t>
                  </w:r>
                </w:p>
              </w:tc>
              <w:tc>
                <w:tcPr>
                  <w:tcW w:w="1964" w:type="dxa"/>
                  <w:vAlign w:val="center"/>
                </w:tcPr>
                <w:p w14:paraId="66361CD9">
                  <w:pPr>
                    <w:pStyle w:val="24"/>
                    <w:bidi w:val="0"/>
                    <w:ind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2800</w:t>
                  </w:r>
                </w:p>
              </w:tc>
              <w:tc>
                <w:tcPr>
                  <w:tcW w:w="1965" w:type="dxa"/>
                  <w:vAlign w:val="center"/>
                </w:tcPr>
                <w:p w14:paraId="1F170E31">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沉淀池沉渣</w:t>
                  </w:r>
                </w:p>
              </w:tc>
              <w:tc>
                <w:tcPr>
                  <w:tcW w:w="1965" w:type="dxa"/>
                  <w:vAlign w:val="center"/>
                </w:tcPr>
                <w:p w14:paraId="73E0B405">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80</w:t>
                  </w:r>
                </w:p>
              </w:tc>
            </w:tr>
            <w:tr w14:paraId="6670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Align w:val="center"/>
                </w:tcPr>
                <w:p w14:paraId="179D3319">
                  <w:pPr>
                    <w:pStyle w:val="24"/>
                    <w:bidi w:val="0"/>
                    <w:ind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磷酸氢钙</w:t>
                  </w:r>
                </w:p>
              </w:tc>
              <w:tc>
                <w:tcPr>
                  <w:tcW w:w="1964" w:type="dxa"/>
                  <w:vAlign w:val="center"/>
                </w:tcPr>
                <w:p w14:paraId="32D0FD44">
                  <w:pPr>
                    <w:pStyle w:val="24"/>
                    <w:bidi w:val="0"/>
                    <w:ind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9700</w:t>
                  </w:r>
                </w:p>
              </w:tc>
              <w:tc>
                <w:tcPr>
                  <w:tcW w:w="1965" w:type="dxa"/>
                </w:tcPr>
                <w:p w14:paraId="7B36742C">
                  <w:pPr>
                    <w:pStyle w:val="22"/>
                    <w:bidi w:val="0"/>
                    <w:ind w:left="0" w:leftChars="0" w:firstLine="0" w:firstLineChars="0"/>
                    <w:jc w:val="center"/>
                    <w:rPr>
                      <w:rFonts w:hint="eastAsia"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氨气</w:t>
                  </w:r>
                </w:p>
              </w:tc>
              <w:tc>
                <w:tcPr>
                  <w:tcW w:w="1965" w:type="dxa"/>
                </w:tcPr>
                <w:p w14:paraId="0483C6C5">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0.57</w:t>
                  </w:r>
                </w:p>
              </w:tc>
            </w:tr>
            <w:tr w14:paraId="0952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Align w:val="center"/>
                </w:tcPr>
                <w:p w14:paraId="6FD0A3AD">
                  <w:pPr>
                    <w:pStyle w:val="24"/>
                    <w:bidi w:val="0"/>
                    <w:ind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氯化钾</w:t>
                  </w:r>
                </w:p>
              </w:tc>
              <w:tc>
                <w:tcPr>
                  <w:tcW w:w="1964" w:type="dxa"/>
                  <w:vAlign w:val="center"/>
                </w:tcPr>
                <w:p w14:paraId="2FC788DF">
                  <w:pPr>
                    <w:pStyle w:val="24"/>
                    <w:bidi w:val="0"/>
                    <w:ind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10000</w:t>
                  </w:r>
                </w:p>
              </w:tc>
              <w:tc>
                <w:tcPr>
                  <w:tcW w:w="1965" w:type="dxa"/>
                </w:tcPr>
                <w:p w14:paraId="0B362A18">
                  <w:pPr>
                    <w:pStyle w:val="22"/>
                    <w:bidi w:val="0"/>
                    <w:ind w:left="0" w:leftChars="0" w:firstLine="0" w:firstLineChars="0"/>
                    <w:jc w:val="center"/>
                    <w:rPr>
                      <w:rFonts w:hint="eastAsia"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氯化氢</w:t>
                  </w:r>
                </w:p>
              </w:tc>
              <w:tc>
                <w:tcPr>
                  <w:tcW w:w="1965" w:type="dxa"/>
                </w:tcPr>
                <w:p w14:paraId="3C8417FE">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0.0045</w:t>
                  </w:r>
                </w:p>
              </w:tc>
            </w:tr>
            <w:tr w14:paraId="3F874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Align w:val="center"/>
                </w:tcPr>
                <w:p w14:paraId="2E37D6D6">
                  <w:pPr>
                    <w:pStyle w:val="24"/>
                    <w:bidi w:val="0"/>
                    <w:ind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硫酸钾</w:t>
                  </w:r>
                </w:p>
              </w:tc>
              <w:tc>
                <w:tcPr>
                  <w:tcW w:w="1964" w:type="dxa"/>
                  <w:vAlign w:val="center"/>
                </w:tcPr>
                <w:p w14:paraId="48AD7C3E">
                  <w:pPr>
                    <w:pStyle w:val="24"/>
                    <w:bidi w:val="0"/>
                    <w:ind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2800</w:t>
                  </w:r>
                </w:p>
              </w:tc>
              <w:tc>
                <w:tcPr>
                  <w:tcW w:w="1965" w:type="dxa"/>
                  <w:vAlign w:val="center"/>
                </w:tcPr>
                <w:p w14:paraId="0BAA8CAC">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排放的粉尘</w:t>
                  </w:r>
                </w:p>
              </w:tc>
              <w:tc>
                <w:tcPr>
                  <w:tcW w:w="1965" w:type="dxa"/>
                  <w:vAlign w:val="center"/>
                </w:tcPr>
                <w:p w14:paraId="44354B53">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16.88</w:t>
                  </w:r>
                </w:p>
              </w:tc>
            </w:tr>
            <w:tr w14:paraId="7D9A7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Align w:val="center"/>
                </w:tcPr>
                <w:p w14:paraId="68CB2D18">
                  <w:pPr>
                    <w:pStyle w:val="24"/>
                    <w:bidi w:val="0"/>
                    <w:ind w:firstLine="0" w:firstLineChars="0"/>
                    <w:jc w:val="center"/>
                    <w:rPr>
                      <w:rFonts w:hint="eastAsia"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防结块剂</w:t>
                  </w:r>
                </w:p>
              </w:tc>
              <w:tc>
                <w:tcPr>
                  <w:tcW w:w="1964" w:type="dxa"/>
                  <w:vAlign w:val="center"/>
                </w:tcPr>
                <w:p w14:paraId="050E8C0B">
                  <w:pPr>
                    <w:pStyle w:val="24"/>
                    <w:bidi w:val="0"/>
                    <w:ind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olor w:val="auto"/>
                      <w:sz w:val="21"/>
                      <w:szCs w:val="21"/>
                      <w:u w:val="single"/>
                      <w:vertAlign w:val="baseline"/>
                      <w:lang w:val="en-US" w:eastAsia="zh-CN"/>
                    </w:rPr>
                    <w:t>20</w:t>
                  </w:r>
                </w:p>
              </w:tc>
              <w:tc>
                <w:tcPr>
                  <w:tcW w:w="1965" w:type="dxa"/>
                  <w:vAlign w:val="center"/>
                </w:tcPr>
                <w:p w14:paraId="66CF8A7D">
                  <w:pPr>
                    <w:pStyle w:val="22"/>
                    <w:bidi w:val="0"/>
                    <w:ind w:left="0" w:leftChars="0" w:firstLine="0" w:firstLineChars="0"/>
                    <w:jc w:val="center"/>
                    <w:rPr>
                      <w:rFonts w:hint="eastAsia" w:cs="Times New Roman"/>
                      <w:color w:val="000000" w:themeColor="text1"/>
                      <w:sz w:val="21"/>
                      <w:szCs w:val="21"/>
                      <w:u w:val="single" w:color="auto"/>
                      <w:vertAlign w:val="baseline"/>
                      <w:lang w:val="en-US" w:eastAsia="zh-CN"/>
                      <w14:textFill>
                        <w14:solidFill>
                          <w14:schemeClr w14:val="tx1"/>
                        </w14:solidFill>
                      </w14:textFill>
                    </w:rPr>
                  </w:pPr>
                </w:p>
              </w:tc>
              <w:tc>
                <w:tcPr>
                  <w:tcW w:w="1965" w:type="dxa"/>
                  <w:vAlign w:val="center"/>
                </w:tcPr>
                <w:p w14:paraId="6DECA18B">
                  <w:pPr>
                    <w:pStyle w:val="22"/>
                    <w:bidi w:val="0"/>
                    <w:ind w:left="0" w:leftChars="0" w:firstLine="0" w:firstLineChars="0"/>
                    <w:jc w:val="center"/>
                    <w:rPr>
                      <w:rFonts w:hint="eastAsia" w:cs="Times New Roman"/>
                      <w:color w:val="000000" w:themeColor="text1"/>
                      <w:sz w:val="21"/>
                      <w:szCs w:val="21"/>
                      <w:u w:val="single" w:color="auto"/>
                      <w:vertAlign w:val="baseline"/>
                      <w:lang w:val="en-US" w:eastAsia="zh-CN"/>
                      <w14:textFill>
                        <w14:solidFill>
                          <w14:schemeClr w14:val="tx1"/>
                        </w14:solidFill>
                      </w14:textFill>
                    </w:rPr>
                  </w:pPr>
                </w:p>
              </w:tc>
            </w:tr>
            <w:tr w14:paraId="4A1BF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Align w:val="center"/>
                </w:tcPr>
                <w:p w14:paraId="1E991015">
                  <w:pPr>
                    <w:pStyle w:val="24"/>
                    <w:bidi w:val="0"/>
                    <w:ind w:firstLine="0" w:firstLineChars="0"/>
                    <w:jc w:val="center"/>
                    <w:rPr>
                      <w:rFonts w:hint="default"/>
                      <w:color w:val="auto"/>
                      <w:sz w:val="21"/>
                      <w:szCs w:val="21"/>
                      <w:u w:val="single"/>
                      <w:vertAlign w:val="baseline"/>
                      <w:lang w:val="en-US" w:eastAsia="zh-CN"/>
                    </w:rPr>
                  </w:pPr>
                  <w:r>
                    <w:rPr>
                      <w:rFonts w:hint="eastAsia"/>
                      <w:color w:val="auto"/>
                      <w:sz w:val="21"/>
                      <w:szCs w:val="21"/>
                      <w:u w:val="single"/>
                      <w:vertAlign w:val="baseline"/>
                      <w:lang w:val="en-US" w:eastAsia="zh-CN"/>
                    </w:rPr>
                    <w:t>回用的粉尘</w:t>
                  </w:r>
                </w:p>
              </w:tc>
              <w:tc>
                <w:tcPr>
                  <w:tcW w:w="1964" w:type="dxa"/>
                  <w:vAlign w:val="center"/>
                </w:tcPr>
                <w:p w14:paraId="6D138A92">
                  <w:pPr>
                    <w:pStyle w:val="24"/>
                    <w:bidi w:val="0"/>
                    <w:ind w:firstLine="0" w:firstLineChars="0"/>
                    <w:jc w:val="center"/>
                    <w:rPr>
                      <w:rFonts w:hint="default"/>
                      <w:color w:val="auto"/>
                      <w:sz w:val="21"/>
                      <w:szCs w:val="21"/>
                      <w:u w:val="single"/>
                      <w:vertAlign w:val="baseline"/>
                      <w:lang w:val="en-US" w:eastAsia="zh-CN"/>
                    </w:rPr>
                  </w:pPr>
                  <w:r>
                    <w:rPr>
                      <w:rFonts w:hint="eastAsia" w:cs="Times New Roman"/>
                      <w:color w:val="000000" w:themeColor="text1"/>
                      <w:sz w:val="21"/>
                      <w:szCs w:val="21"/>
                      <w:u w:val="single" w:color="auto"/>
                      <w:vertAlign w:val="baseline"/>
                      <w:lang w:val="en-US" w:eastAsia="zh-CN"/>
                      <w14:textFill>
                        <w14:solidFill>
                          <w14:schemeClr w14:val="tx1"/>
                        </w14:solidFill>
                      </w14:textFill>
                    </w:rPr>
                    <w:t>405.33</w:t>
                  </w:r>
                </w:p>
              </w:tc>
              <w:tc>
                <w:tcPr>
                  <w:tcW w:w="1965" w:type="dxa"/>
                  <w:vAlign w:val="center"/>
                </w:tcPr>
                <w:p w14:paraId="2FD3A449">
                  <w:pPr>
                    <w:pStyle w:val="22"/>
                    <w:bidi w:val="0"/>
                    <w:ind w:left="0" w:leftChars="0" w:firstLine="0" w:firstLineChars="0"/>
                    <w:jc w:val="center"/>
                    <w:rPr>
                      <w:rFonts w:hint="eastAsia" w:cs="Times New Roman"/>
                      <w:color w:val="000000" w:themeColor="text1"/>
                      <w:sz w:val="21"/>
                      <w:szCs w:val="21"/>
                      <w:u w:val="single" w:color="auto"/>
                      <w:vertAlign w:val="baseline"/>
                      <w:lang w:val="en-US" w:eastAsia="zh-CN"/>
                      <w14:textFill>
                        <w14:solidFill>
                          <w14:schemeClr w14:val="tx1"/>
                        </w14:solidFill>
                      </w14:textFill>
                    </w:rPr>
                  </w:pPr>
                </w:p>
              </w:tc>
              <w:tc>
                <w:tcPr>
                  <w:tcW w:w="1965" w:type="dxa"/>
                  <w:vAlign w:val="center"/>
                </w:tcPr>
                <w:p w14:paraId="0C2EF2CD">
                  <w:pPr>
                    <w:pStyle w:val="22"/>
                    <w:bidi w:val="0"/>
                    <w:ind w:left="0" w:leftChars="0" w:firstLine="0" w:firstLineChars="0"/>
                    <w:jc w:val="center"/>
                    <w:rPr>
                      <w:rFonts w:hint="eastAsia" w:cs="Times New Roman"/>
                      <w:color w:val="000000" w:themeColor="text1"/>
                      <w:sz w:val="21"/>
                      <w:szCs w:val="21"/>
                      <w:u w:val="single" w:color="auto"/>
                      <w:vertAlign w:val="baseline"/>
                      <w:lang w:val="en-US" w:eastAsia="zh-CN"/>
                      <w14:textFill>
                        <w14:solidFill>
                          <w14:schemeClr w14:val="tx1"/>
                        </w14:solidFill>
                      </w14:textFill>
                    </w:rPr>
                  </w:pPr>
                </w:p>
              </w:tc>
            </w:tr>
            <w:tr w14:paraId="375E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Align w:val="center"/>
                </w:tcPr>
                <w:p w14:paraId="485A9FD8">
                  <w:pPr>
                    <w:pStyle w:val="24"/>
                    <w:bidi w:val="0"/>
                    <w:ind w:firstLine="0" w:firstLineChars="0"/>
                    <w:jc w:val="center"/>
                    <w:rPr>
                      <w:rFonts w:hint="default"/>
                      <w:color w:val="auto"/>
                      <w:sz w:val="21"/>
                      <w:szCs w:val="21"/>
                      <w:u w:val="single"/>
                      <w:vertAlign w:val="baseline"/>
                      <w:lang w:val="en-US" w:eastAsia="zh-CN"/>
                    </w:rPr>
                  </w:pPr>
                  <w:r>
                    <w:rPr>
                      <w:rFonts w:hint="eastAsia"/>
                      <w:color w:val="auto"/>
                      <w:sz w:val="21"/>
                      <w:szCs w:val="21"/>
                      <w:u w:val="single"/>
                      <w:vertAlign w:val="baseline"/>
                      <w:lang w:val="en-US" w:eastAsia="zh-CN"/>
                    </w:rPr>
                    <w:t>回用的沉渣</w:t>
                  </w:r>
                </w:p>
              </w:tc>
              <w:tc>
                <w:tcPr>
                  <w:tcW w:w="1964" w:type="dxa"/>
                  <w:vAlign w:val="center"/>
                </w:tcPr>
                <w:p w14:paraId="2ED7070A">
                  <w:pPr>
                    <w:pStyle w:val="24"/>
                    <w:bidi w:val="0"/>
                    <w:ind w:firstLine="0" w:firstLineChars="0"/>
                    <w:jc w:val="center"/>
                    <w:rPr>
                      <w:rFonts w:hint="default"/>
                      <w:color w:val="auto"/>
                      <w:sz w:val="21"/>
                      <w:szCs w:val="21"/>
                      <w:u w:val="single"/>
                      <w:vertAlign w:val="baseline"/>
                      <w:lang w:val="en-US" w:eastAsia="zh-CN"/>
                    </w:rPr>
                  </w:pPr>
                  <w:r>
                    <w:rPr>
                      <w:rFonts w:hint="eastAsia"/>
                      <w:color w:val="auto"/>
                      <w:sz w:val="21"/>
                      <w:szCs w:val="21"/>
                      <w:u w:val="single"/>
                      <w:vertAlign w:val="baseline"/>
                      <w:lang w:val="en-US" w:eastAsia="zh-CN"/>
                    </w:rPr>
                    <w:t>80</w:t>
                  </w:r>
                </w:p>
              </w:tc>
              <w:tc>
                <w:tcPr>
                  <w:tcW w:w="1965" w:type="dxa"/>
                  <w:vAlign w:val="center"/>
                </w:tcPr>
                <w:p w14:paraId="0125E551">
                  <w:pPr>
                    <w:pStyle w:val="22"/>
                    <w:bidi w:val="0"/>
                    <w:ind w:left="0" w:leftChars="0" w:firstLine="0" w:firstLineChars="0"/>
                    <w:jc w:val="center"/>
                    <w:rPr>
                      <w:rFonts w:hint="eastAsia" w:cs="Times New Roman"/>
                      <w:color w:val="000000" w:themeColor="text1"/>
                      <w:sz w:val="21"/>
                      <w:szCs w:val="21"/>
                      <w:u w:val="single" w:color="auto"/>
                      <w:vertAlign w:val="baseline"/>
                      <w:lang w:val="en-US" w:eastAsia="zh-CN"/>
                      <w14:textFill>
                        <w14:solidFill>
                          <w14:schemeClr w14:val="tx1"/>
                        </w14:solidFill>
                      </w14:textFill>
                    </w:rPr>
                  </w:pPr>
                </w:p>
              </w:tc>
              <w:tc>
                <w:tcPr>
                  <w:tcW w:w="1965" w:type="dxa"/>
                  <w:vAlign w:val="center"/>
                </w:tcPr>
                <w:p w14:paraId="39DB704B">
                  <w:pPr>
                    <w:pStyle w:val="22"/>
                    <w:bidi w:val="0"/>
                    <w:ind w:left="0" w:leftChars="0" w:firstLine="0" w:firstLineChars="0"/>
                    <w:jc w:val="center"/>
                    <w:rPr>
                      <w:rFonts w:hint="eastAsia" w:cs="Times New Roman"/>
                      <w:color w:val="000000" w:themeColor="text1"/>
                      <w:sz w:val="21"/>
                      <w:szCs w:val="21"/>
                      <w:u w:val="single" w:color="auto"/>
                      <w:vertAlign w:val="baseline"/>
                      <w:lang w:val="en-US" w:eastAsia="zh-CN"/>
                      <w14:textFill>
                        <w14:solidFill>
                          <w14:schemeClr w14:val="tx1"/>
                        </w14:solidFill>
                      </w14:textFill>
                    </w:rPr>
                  </w:pPr>
                </w:p>
              </w:tc>
            </w:tr>
            <w:tr w14:paraId="60058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64" w:type="dxa"/>
                  <w:vAlign w:val="center"/>
                </w:tcPr>
                <w:p w14:paraId="157693C1">
                  <w:pPr>
                    <w:pStyle w:val="22"/>
                    <w:bidi w:val="0"/>
                    <w:ind w:left="0" w:leftChars="0" w:firstLine="0" w:firstLineChars="0"/>
                    <w:jc w:val="center"/>
                    <w:rPr>
                      <w:rFonts w:hint="eastAsia"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合计</w:t>
                  </w:r>
                </w:p>
              </w:tc>
              <w:tc>
                <w:tcPr>
                  <w:tcW w:w="1964" w:type="dxa"/>
                  <w:vAlign w:val="center"/>
                </w:tcPr>
                <w:p w14:paraId="0C568D1E">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50502.78</w:t>
                  </w:r>
                </w:p>
              </w:tc>
              <w:tc>
                <w:tcPr>
                  <w:tcW w:w="1965" w:type="dxa"/>
                  <w:vAlign w:val="center"/>
                </w:tcPr>
                <w:p w14:paraId="2C1146BE">
                  <w:pPr>
                    <w:pStyle w:val="22"/>
                    <w:bidi w:val="0"/>
                    <w:ind w:left="0" w:leftChars="0" w:firstLine="0" w:firstLineChars="0"/>
                    <w:jc w:val="center"/>
                    <w:rPr>
                      <w:rFonts w:hint="eastAsia"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合计</w:t>
                  </w:r>
                </w:p>
              </w:tc>
              <w:tc>
                <w:tcPr>
                  <w:tcW w:w="1965" w:type="dxa"/>
                  <w:vAlign w:val="center"/>
                </w:tcPr>
                <w:p w14:paraId="220EFD81">
                  <w:pPr>
                    <w:pStyle w:val="22"/>
                    <w:bidi w:val="0"/>
                    <w:ind w:left="0" w:leftChars="0" w:firstLine="0" w:firstLineChars="0"/>
                    <w:jc w:val="center"/>
                    <w:rPr>
                      <w:rFonts w:hint="default" w:cs="Times New Roman"/>
                      <w:color w:val="000000" w:themeColor="text1"/>
                      <w:sz w:val="21"/>
                      <w:szCs w:val="21"/>
                      <w:u w:val="single" w:color="auto"/>
                      <w:vertAlign w:val="baseline"/>
                      <w:lang w:val="en-US" w:eastAsia="zh-CN"/>
                      <w14:textFill>
                        <w14:solidFill>
                          <w14:schemeClr w14:val="tx1"/>
                        </w14:solidFill>
                      </w14:textFill>
                    </w:rPr>
                  </w:pPr>
                  <w:r>
                    <w:rPr>
                      <w:rFonts w:hint="eastAsia" w:cs="Times New Roman"/>
                      <w:color w:val="000000" w:themeColor="text1"/>
                      <w:sz w:val="21"/>
                      <w:szCs w:val="21"/>
                      <w:u w:val="single" w:color="auto"/>
                      <w:vertAlign w:val="baseline"/>
                      <w:lang w:val="en-US" w:eastAsia="zh-CN"/>
                      <w14:textFill>
                        <w14:solidFill>
                          <w14:schemeClr w14:val="tx1"/>
                        </w14:solidFill>
                      </w14:textFill>
                    </w:rPr>
                    <w:t>50502.78</w:t>
                  </w:r>
                </w:p>
              </w:tc>
            </w:tr>
          </w:tbl>
          <w:p w14:paraId="0C3C2FCB">
            <w:pPr>
              <w:pStyle w:val="22"/>
              <w:bidi w:val="0"/>
              <w:ind w:left="0" w:leftChars="0" w:firstLine="480" w:firstLineChars="200"/>
              <w:rPr>
                <w:rFonts w:hint="default"/>
                <w:color w:val="auto"/>
                <w:lang w:val="en-US" w:eastAsia="zh-CN"/>
              </w:rPr>
            </w:pPr>
            <w:r>
              <w:rPr>
                <w:rFonts w:hint="default"/>
                <w:color w:val="auto"/>
                <w:lang w:val="en-US" w:eastAsia="zh-CN"/>
              </w:rPr>
              <w:t>生产过程中的主要污染环节及污染因子</w:t>
            </w:r>
            <w:r>
              <w:rPr>
                <w:rFonts w:hint="eastAsia"/>
                <w:color w:val="auto"/>
                <w:lang w:val="en-US" w:eastAsia="zh-CN"/>
              </w:rPr>
              <w:t>详见下表。</w:t>
            </w:r>
          </w:p>
          <w:p w14:paraId="117EE4C7">
            <w:pPr>
              <w:pStyle w:val="23"/>
              <w:bidi w:val="0"/>
              <w:rPr>
                <w:rFonts w:hint="default"/>
                <w:color w:val="auto"/>
                <w:lang w:val="en-US" w:eastAsia="zh-CN"/>
              </w:rPr>
            </w:pPr>
            <w:r>
              <w:rPr>
                <w:rFonts w:hint="eastAsia"/>
                <w:color w:val="auto"/>
                <w:lang w:val="en-US" w:eastAsia="zh-CN"/>
              </w:rPr>
              <w:t>表2-11  运营期主要产污环节一览表</w:t>
            </w:r>
          </w:p>
          <w:tbl>
            <w:tblPr>
              <w:tblStyle w:val="16"/>
              <w:tblW w:w="7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
              <w:gridCol w:w="1787"/>
              <w:gridCol w:w="1926"/>
              <w:gridCol w:w="3229"/>
            </w:tblGrid>
            <w:tr w14:paraId="1963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Align w:val="center"/>
                </w:tcPr>
                <w:p w14:paraId="2646A71F">
                  <w:pPr>
                    <w:pStyle w:val="24"/>
                    <w:bidi w:val="0"/>
                    <w:jc w:val="center"/>
                    <w:rPr>
                      <w:rFonts w:hint="default"/>
                      <w:color w:val="auto"/>
                      <w:u w:val="single"/>
                      <w:lang w:val="en-US" w:eastAsia="zh-CN"/>
                    </w:rPr>
                  </w:pPr>
                  <w:r>
                    <w:rPr>
                      <w:rFonts w:hint="eastAsia"/>
                      <w:color w:val="auto"/>
                      <w:u w:val="single"/>
                      <w:lang w:val="en-US" w:eastAsia="zh-CN"/>
                    </w:rPr>
                    <w:t>类别</w:t>
                  </w:r>
                </w:p>
              </w:tc>
              <w:tc>
                <w:tcPr>
                  <w:tcW w:w="1787" w:type="dxa"/>
                  <w:vAlign w:val="center"/>
                </w:tcPr>
                <w:p w14:paraId="303B2B61">
                  <w:pPr>
                    <w:pStyle w:val="24"/>
                    <w:bidi w:val="0"/>
                    <w:jc w:val="center"/>
                    <w:rPr>
                      <w:rFonts w:hint="default"/>
                      <w:color w:val="auto"/>
                      <w:u w:val="single"/>
                      <w:lang w:val="en-US" w:eastAsia="zh-CN"/>
                    </w:rPr>
                  </w:pPr>
                  <w:r>
                    <w:rPr>
                      <w:rFonts w:hint="eastAsia"/>
                      <w:color w:val="auto"/>
                      <w:u w:val="single"/>
                      <w:lang w:val="en-US" w:eastAsia="zh-CN"/>
                    </w:rPr>
                    <w:t>产污环节</w:t>
                  </w:r>
                </w:p>
              </w:tc>
              <w:tc>
                <w:tcPr>
                  <w:tcW w:w="1926" w:type="dxa"/>
                  <w:vAlign w:val="center"/>
                </w:tcPr>
                <w:p w14:paraId="0AF61884">
                  <w:pPr>
                    <w:pStyle w:val="24"/>
                    <w:bidi w:val="0"/>
                    <w:ind w:firstLine="0" w:firstLineChars="0"/>
                    <w:jc w:val="center"/>
                    <w:rPr>
                      <w:rFonts w:hint="default"/>
                      <w:color w:val="auto"/>
                      <w:u w:val="single"/>
                      <w:lang w:val="en-US" w:eastAsia="zh-CN"/>
                    </w:rPr>
                  </w:pPr>
                  <w:r>
                    <w:rPr>
                      <w:rFonts w:hint="eastAsia"/>
                      <w:color w:val="auto"/>
                      <w:u w:val="single"/>
                      <w:lang w:val="en-US" w:eastAsia="zh-CN"/>
                    </w:rPr>
                    <w:t>主要污染因子</w:t>
                  </w:r>
                </w:p>
              </w:tc>
              <w:tc>
                <w:tcPr>
                  <w:tcW w:w="3229" w:type="dxa"/>
                  <w:vAlign w:val="center"/>
                </w:tcPr>
                <w:p w14:paraId="6237287B">
                  <w:pPr>
                    <w:pStyle w:val="24"/>
                    <w:bidi w:val="0"/>
                    <w:ind w:firstLine="0" w:firstLineChars="0"/>
                    <w:jc w:val="center"/>
                    <w:rPr>
                      <w:rFonts w:hint="default"/>
                      <w:color w:val="auto"/>
                      <w:u w:val="single"/>
                      <w:lang w:val="en-US" w:eastAsia="zh-CN"/>
                    </w:rPr>
                  </w:pPr>
                  <w:r>
                    <w:rPr>
                      <w:rFonts w:hint="eastAsia"/>
                      <w:color w:val="auto"/>
                      <w:u w:val="single"/>
                      <w:lang w:val="en-US" w:eastAsia="zh-CN"/>
                    </w:rPr>
                    <w:t>治理措施及去向</w:t>
                  </w:r>
                </w:p>
              </w:tc>
            </w:tr>
            <w:tr w14:paraId="187E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restart"/>
                  <w:vAlign w:val="center"/>
                </w:tcPr>
                <w:p w14:paraId="5AA38603">
                  <w:pPr>
                    <w:pStyle w:val="24"/>
                    <w:bidi w:val="0"/>
                    <w:ind w:firstLine="0" w:firstLineChars="0"/>
                    <w:jc w:val="center"/>
                    <w:rPr>
                      <w:rFonts w:hint="default"/>
                      <w:color w:val="auto"/>
                      <w:u w:val="single"/>
                      <w:lang w:val="en-US" w:eastAsia="zh-CN"/>
                    </w:rPr>
                  </w:pPr>
                  <w:r>
                    <w:rPr>
                      <w:rFonts w:hint="eastAsia"/>
                      <w:color w:val="auto"/>
                      <w:u w:val="single"/>
                      <w:lang w:val="en-US" w:eastAsia="zh-CN"/>
                    </w:rPr>
                    <w:t>废气</w:t>
                  </w:r>
                </w:p>
              </w:tc>
              <w:tc>
                <w:tcPr>
                  <w:tcW w:w="1787" w:type="dxa"/>
                  <w:vMerge w:val="restart"/>
                  <w:vAlign w:val="center"/>
                </w:tcPr>
                <w:p w14:paraId="62B70D32">
                  <w:pPr>
                    <w:pStyle w:val="24"/>
                    <w:bidi w:val="0"/>
                    <w:ind w:firstLine="0" w:firstLineChars="0"/>
                    <w:jc w:val="center"/>
                    <w:rPr>
                      <w:rFonts w:hint="default"/>
                      <w:color w:val="auto"/>
                      <w:u w:val="single"/>
                      <w:lang w:val="en-US" w:eastAsia="zh-CN"/>
                    </w:rPr>
                  </w:pPr>
                  <w:r>
                    <w:rPr>
                      <w:rFonts w:hint="eastAsia"/>
                      <w:color w:val="auto"/>
                      <w:u w:val="single"/>
                      <w:lang w:val="en-US" w:eastAsia="zh-CN"/>
                    </w:rPr>
                    <w:t>工艺废气</w:t>
                  </w:r>
                </w:p>
              </w:tc>
              <w:tc>
                <w:tcPr>
                  <w:tcW w:w="1926" w:type="dxa"/>
                  <w:vAlign w:val="center"/>
                </w:tcPr>
                <w:p w14:paraId="47C40903">
                  <w:pPr>
                    <w:pStyle w:val="24"/>
                    <w:bidi w:val="0"/>
                    <w:jc w:val="center"/>
                    <w:rPr>
                      <w:rFonts w:hint="default"/>
                      <w:color w:val="auto"/>
                      <w:u w:val="single"/>
                      <w:lang w:val="en-US" w:eastAsia="zh-CN"/>
                    </w:rPr>
                  </w:pPr>
                  <w:r>
                    <w:rPr>
                      <w:rFonts w:hint="eastAsia"/>
                      <w:color w:val="auto"/>
                      <w:u w:val="single"/>
                      <w:lang w:val="en-US" w:eastAsia="zh-CN"/>
                    </w:rPr>
                    <w:t>颗粒物</w:t>
                  </w:r>
                </w:p>
              </w:tc>
              <w:tc>
                <w:tcPr>
                  <w:tcW w:w="3229" w:type="dxa"/>
                  <w:vMerge w:val="restart"/>
                  <w:vAlign w:val="center"/>
                </w:tcPr>
                <w:p w14:paraId="06FE23DB">
                  <w:pPr>
                    <w:pStyle w:val="24"/>
                    <w:bidi w:val="0"/>
                    <w:jc w:val="center"/>
                    <w:rPr>
                      <w:rFonts w:hint="default"/>
                      <w:color w:val="auto"/>
                      <w:u w:val="single"/>
                      <w:lang w:val="en-US" w:eastAsia="zh-CN"/>
                    </w:rPr>
                  </w:pPr>
                  <w:r>
                    <w:rPr>
                      <w:rFonts w:hint="eastAsia"/>
                      <w:color w:val="auto"/>
                      <w:u w:val="single"/>
                      <w:lang w:val="en-US" w:eastAsia="zh-CN"/>
                    </w:rPr>
                    <w:t>经旋风除尘器＋布袋除尘＋喷淋＋1</w:t>
                  </w:r>
                  <w:r>
                    <w:rPr>
                      <w:rFonts w:hint="default"/>
                      <w:color w:val="auto"/>
                      <w:u w:val="single"/>
                      <w:lang w:val="en-US" w:eastAsia="zh-CN"/>
                    </w:rPr>
                    <w:t>5</w:t>
                  </w:r>
                  <w:r>
                    <w:rPr>
                      <w:rFonts w:hint="eastAsia"/>
                      <w:color w:val="auto"/>
                      <w:u w:val="single"/>
                      <w:lang w:val="en-US" w:eastAsia="zh-CN"/>
                    </w:rPr>
                    <w:t>m排气筒处理后达标排放</w:t>
                  </w:r>
                </w:p>
              </w:tc>
            </w:tr>
            <w:tr w14:paraId="6F7A9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16" w:type="dxa"/>
                  <w:vMerge w:val="continue"/>
                  <w:vAlign w:val="center"/>
                </w:tcPr>
                <w:p w14:paraId="02C16F30">
                  <w:pPr>
                    <w:pStyle w:val="24"/>
                    <w:bidi w:val="0"/>
                    <w:ind w:firstLine="0" w:firstLineChars="0"/>
                    <w:jc w:val="center"/>
                    <w:rPr>
                      <w:rFonts w:hint="default"/>
                      <w:color w:val="auto"/>
                      <w:u w:val="single"/>
                      <w:lang w:val="en-US" w:eastAsia="zh-CN"/>
                    </w:rPr>
                  </w:pPr>
                </w:p>
              </w:tc>
              <w:tc>
                <w:tcPr>
                  <w:tcW w:w="1787" w:type="dxa"/>
                  <w:vMerge w:val="continue"/>
                  <w:vAlign w:val="center"/>
                </w:tcPr>
                <w:p w14:paraId="046B0076">
                  <w:pPr>
                    <w:pStyle w:val="24"/>
                    <w:bidi w:val="0"/>
                    <w:ind w:firstLine="0" w:firstLineChars="0"/>
                    <w:jc w:val="center"/>
                    <w:rPr>
                      <w:rFonts w:hint="default"/>
                      <w:color w:val="auto"/>
                      <w:u w:val="single"/>
                      <w:lang w:val="en-US" w:eastAsia="zh-CN"/>
                    </w:rPr>
                  </w:pPr>
                </w:p>
              </w:tc>
              <w:tc>
                <w:tcPr>
                  <w:tcW w:w="1926" w:type="dxa"/>
                  <w:vAlign w:val="center"/>
                </w:tcPr>
                <w:p w14:paraId="2387FE9D">
                  <w:pPr>
                    <w:pStyle w:val="24"/>
                    <w:bidi w:val="0"/>
                    <w:jc w:val="center"/>
                    <w:rPr>
                      <w:rFonts w:hint="default"/>
                      <w:color w:val="auto"/>
                      <w:u w:val="single"/>
                      <w:lang w:val="en-US" w:eastAsia="zh-CN"/>
                    </w:rPr>
                  </w:pPr>
                  <w:r>
                    <w:rPr>
                      <w:rFonts w:hint="eastAsia"/>
                      <w:color w:val="auto"/>
                      <w:u w:val="single"/>
                      <w:lang w:val="en-US" w:eastAsia="zh-CN"/>
                    </w:rPr>
                    <w:t>氨气</w:t>
                  </w:r>
                </w:p>
              </w:tc>
              <w:tc>
                <w:tcPr>
                  <w:tcW w:w="3229" w:type="dxa"/>
                  <w:vMerge w:val="continue"/>
                  <w:vAlign w:val="center"/>
                </w:tcPr>
                <w:p w14:paraId="3E45170C">
                  <w:pPr>
                    <w:pStyle w:val="24"/>
                    <w:bidi w:val="0"/>
                    <w:jc w:val="center"/>
                    <w:rPr>
                      <w:rFonts w:hint="default"/>
                      <w:color w:val="auto"/>
                      <w:u w:val="single"/>
                      <w:lang w:val="en-US" w:eastAsia="zh-CN"/>
                    </w:rPr>
                  </w:pPr>
                </w:p>
              </w:tc>
            </w:tr>
            <w:tr w14:paraId="0937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vAlign w:val="center"/>
                </w:tcPr>
                <w:p w14:paraId="77EE2456">
                  <w:pPr>
                    <w:pStyle w:val="24"/>
                    <w:bidi w:val="0"/>
                    <w:ind w:firstLine="0" w:firstLineChars="0"/>
                    <w:jc w:val="center"/>
                    <w:rPr>
                      <w:rFonts w:hint="default"/>
                      <w:color w:val="auto"/>
                      <w:u w:val="single"/>
                      <w:lang w:val="en-US" w:eastAsia="zh-CN"/>
                    </w:rPr>
                  </w:pPr>
                </w:p>
              </w:tc>
              <w:tc>
                <w:tcPr>
                  <w:tcW w:w="1787" w:type="dxa"/>
                  <w:vMerge w:val="continue"/>
                  <w:vAlign w:val="center"/>
                </w:tcPr>
                <w:p w14:paraId="203EC01C">
                  <w:pPr>
                    <w:pStyle w:val="24"/>
                    <w:bidi w:val="0"/>
                    <w:ind w:firstLine="0" w:firstLineChars="0"/>
                    <w:jc w:val="center"/>
                    <w:rPr>
                      <w:rFonts w:hint="eastAsia"/>
                      <w:color w:val="auto"/>
                      <w:u w:val="single"/>
                      <w:lang w:val="en-US" w:eastAsia="zh-CN"/>
                    </w:rPr>
                  </w:pPr>
                </w:p>
              </w:tc>
              <w:tc>
                <w:tcPr>
                  <w:tcW w:w="1926" w:type="dxa"/>
                  <w:vAlign w:val="center"/>
                </w:tcPr>
                <w:p w14:paraId="517035F2">
                  <w:pPr>
                    <w:pStyle w:val="24"/>
                    <w:bidi w:val="0"/>
                    <w:jc w:val="center"/>
                    <w:rPr>
                      <w:rFonts w:hint="default"/>
                      <w:color w:val="auto"/>
                      <w:u w:val="single"/>
                      <w:lang w:val="en-US" w:eastAsia="zh-CN"/>
                    </w:rPr>
                  </w:pPr>
                  <w:r>
                    <w:rPr>
                      <w:rFonts w:hint="eastAsia"/>
                      <w:color w:val="auto"/>
                      <w:u w:val="single"/>
                      <w:lang w:val="en-US" w:eastAsia="zh-CN"/>
                    </w:rPr>
                    <w:t>氯化氢</w:t>
                  </w:r>
                </w:p>
              </w:tc>
              <w:tc>
                <w:tcPr>
                  <w:tcW w:w="3229" w:type="dxa"/>
                  <w:vMerge w:val="continue"/>
                  <w:vAlign w:val="center"/>
                </w:tcPr>
                <w:p w14:paraId="3B5A6862">
                  <w:pPr>
                    <w:pStyle w:val="24"/>
                    <w:bidi w:val="0"/>
                    <w:jc w:val="center"/>
                    <w:rPr>
                      <w:rFonts w:hint="default"/>
                      <w:color w:val="auto"/>
                      <w:u w:val="single"/>
                      <w:lang w:val="en-US" w:eastAsia="zh-CN"/>
                    </w:rPr>
                  </w:pPr>
                </w:p>
              </w:tc>
            </w:tr>
            <w:tr w14:paraId="3CEED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vAlign w:val="center"/>
                </w:tcPr>
                <w:p w14:paraId="53F7212A">
                  <w:pPr>
                    <w:pStyle w:val="24"/>
                    <w:bidi w:val="0"/>
                    <w:ind w:firstLine="0" w:firstLineChars="0"/>
                    <w:jc w:val="center"/>
                    <w:rPr>
                      <w:rFonts w:hint="default"/>
                      <w:color w:val="auto"/>
                      <w:u w:val="single"/>
                      <w:lang w:val="en-US" w:eastAsia="zh-CN"/>
                    </w:rPr>
                  </w:pPr>
                </w:p>
              </w:tc>
              <w:tc>
                <w:tcPr>
                  <w:tcW w:w="1787" w:type="dxa"/>
                  <w:vMerge w:val="restart"/>
                  <w:vAlign w:val="center"/>
                </w:tcPr>
                <w:p w14:paraId="2DBF5C4B">
                  <w:pPr>
                    <w:pStyle w:val="24"/>
                    <w:bidi w:val="0"/>
                    <w:ind w:firstLine="0" w:firstLineChars="0"/>
                    <w:jc w:val="center"/>
                    <w:rPr>
                      <w:rFonts w:hint="default"/>
                      <w:color w:val="auto"/>
                      <w:u w:val="single"/>
                      <w:lang w:val="en-US" w:eastAsia="zh-CN"/>
                    </w:rPr>
                  </w:pPr>
                  <w:r>
                    <w:rPr>
                      <w:rFonts w:hint="eastAsia"/>
                      <w:color w:val="auto"/>
                      <w:u w:val="single"/>
                      <w:lang w:val="en-US" w:eastAsia="zh-CN"/>
                    </w:rPr>
                    <w:t>热风炉烟气</w:t>
                  </w:r>
                </w:p>
              </w:tc>
              <w:tc>
                <w:tcPr>
                  <w:tcW w:w="1926" w:type="dxa"/>
                  <w:vAlign w:val="center"/>
                </w:tcPr>
                <w:p w14:paraId="01B7C306">
                  <w:pPr>
                    <w:pStyle w:val="24"/>
                    <w:bidi w:val="0"/>
                    <w:jc w:val="center"/>
                    <w:rPr>
                      <w:rFonts w:hint="default"/>
                      <w:color w:val="auto"/>
                      <w:u w:val="single"/>
                      <w:lang w:val="en-US" w:eastAsia="zh-CN"/>
                    </w:rPr>
                  </w:pPr>
                  <w:r>
                    <w:rPr>
                      <w:rFonts w:hint="eastAsia"/>
                      <w:color w:val="auto"/>
                      <w:u w:val="single"/>
                      <w:lang w:val="en-US" w:eastAsia="zh-CN"/>
                    </w:rPr>
                    <w:t>颗粒物</w:t>
                  </w:r>
                </w:p>
              </w:tc>
              <w:tc>
                <w:tcPr>
                  <w:tcW w:w="3229" w:type="dxa"/>
                  <w:vMerge w:val="restart"/>
                  <w:vAlign w:val="center"/>
                </w:tcPr>
                <w:p w14:paraId="5D3D8BE2">
                  <w:pPr>
                    <w:pStyle w:val="24"/>
                    <w:bidi w:val="0"/>
                    <w:jc w:val="center"/>
                    <w:rPr>
                      <w:rFonts w:hint="default"/>
                      <w:color w:val="auto"/>
                      <w:u w:val="single"/>
                      <w:lang w:val="en-US" w:eastAsia="zh-CN"/>
                    </w:rPr>
                  </w:pPr>
                  <w:r>
                    <w:rPr>
                      <w:rFonts w:hint="eastAsia"/>
                      <w:color w:val="auto"/>
                      <w:u w:val="single"/>
                      <w:lang w:val="en-US" w:eastAsia="zh-CN"/>
                    </w:rPr>
                    <w:t>经1</w:t>
                  </w:r>
                  <w:r>
                    <w:rPr>
                      <w:rFonts w:hint="default"/>
                      <w:color w:val="auto"/>
                      <w:u w:val="single"/>
                      <w:lang w:val="en-US" w:eastAsia="zh-CN"/>
                    </w:rPr>
                    <w:t>5</w:t>
                  </w:r>
                  <w:r>
                    <w:rPr>
                      <w:rFonts w:hint="eastAsia"/>
                      <w:color w:val="auto"/>
                      <w:u w:val="single"/>
                      <w:lang w:val="en-US" w:eastAsia="zh-CN"/>
                    </w:rPr>
                    <w:t>m排气筒排放</w:t>
                  </w:r>
                </w:p>
              </w:tc>
            </w:tr>
            <w:tr w14:paraId="619EB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vAlign w:val="center"/>
                </w:tcPr>
                <w:p w14:paraId="54EA28FA">
                  <w:pPr>
                    <w:pStyle w:val="24"/>
                    <w:bidi w:val="0"/>
                    <w:ind w:firstLine="0" w:firstLineChars="0"/>
                    <w:jc w:val="center"/>
                    <w:rPr>
                      <w:rFonts w:hint="default"/>
                      <w:color w:val="auto"/>
                      <w:u w:val="single"/>
                      <w:lang w:val="en-US" w:eastAsia="zh-CN"/>
                    </w:rPr>
                  </w:pPr>
                </w:p>
              </w:tc>
              <w:tc>
                <w:tcPr>
                  <w:tcW w:w="1787" w:type="dxa"/>
                  <w:vMerge w:val="continue"/>
                  <w:vAlign w:val="center"/>
                </w:tcPr>
                <w:p w14:paraId="7925DE6D">
                  <w:pPr>
                    <w:pStyle w:val="24"/>
                    <w:bidi w:val="0"/>
                    <w:ind w:firstLine="0" w:firstLineChars="0"/>
                    <w:jc w:val="center"/>
                    <w:rPr>
                      <w:rFonts w:hint="eastAsia"/>
                      <w:color w:val="auto"/>
                      <w:u w:val="single"/>
                      <w:lang w:val="en-US" w:eastAsia="zh-CN"/>
                    </w:rPr>
                  </w:pPr>
                </w:p>
              </w:tc>
              <w:tc>
                <w:tcPr>
                  <w:tcW w:w="1926" w:type="dxa"/>
                  <w:vAlign w:val="center"/>
                </w:tcPr>
                <w:p w14:paraId="32A699DB">
                  <w:pPr>
                    <w:pStyle w:val="24"/>
                    <w:bidi w:val="0"/>
                    <w:jc w:val="center"/>
                    <w:rPr>
                      <w:rFonts w:hint="default"/>
                      <w:color w:val="auto"/>
                      <w:u w:val="single"/>
                      <w:lang w:val="en-US" w:eastAsia="zh-CN"/>
                    </w:rPr>
                  </w:pPr>
                  <w:r>
                    <w:rPr>
                      <w:rFonts w:hint="eastAsia"/>
                      <w:color w:val="auto"/>
                      <w:u w:val="single"/>
                      <w:lang w:val="en-US" w:eastAsia="zh-CN"/>
                    </w:rPr>
                    <w:t>SO</w:t>
                  </w:r>
                  <w:r>
                    <w:rPr>
                      <w:rFonts w:hint="eastAsia"/>
                      <w:color w:val="auto"/>
                      <w:u w:val="single"/>
                      <w:vertAlign w:val="subscript"/>
                      <w:lang w:val="en-US" w:eastAsia="zh-CN"/>
                    </w:rPr>
                    <w:t>2</w:t>
                  </w:r>
                </w:p>
              </w:tc>
              <w:tc>
                <w:tcPr>
                  <w:tcW w:w="3229" w:type="dxa"/>
                  <w:vMerge w:val="continue"/>
                  <w:vAlign w:val="center"/>
                </w:tcPr>
                <w:p w14:paraId="22EB1EA3">
                  <w:pPr>
                    <w:pStyle w:val="24"/>
                    <w:bidi w:val="0"/>
                    <w:jc w:val="center"/>
                    <w:rPr>
                      <w:rFonts w:hint="eastAsia"/>
                      <w:color w:val="auto"/>
                      <w:u w:val="single"/>
                      <w:vertAlign w:val="baseline"/>
                      <w:lang w:val="en-US" w:eastAsia="zh-CN"/>
                    </w:rPr>
                  </w:pPr>
                </w:p>
              </w:tc>
            </w:tr>
            <w:tr w14:paraId="05DA2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vAlign w:val="center"/>
                </w:tcPr>
                <w:p w14:paraId="27D88E66">
                  <w:pPr>
                    <w:pStyle w:val="24"/>
                    <w:bidi w:val="0"/>
                    <w:ind w:firstLine="0" w:firstLineChars="0"/>
                    <w:jc w:val="center"/>
                    <w:rPr>
                      <w:rFonts w:hint="default"/>
                      <w:color w:val="auto"/>
                      <w:u w:val="single"/>
                      <w:lang w:val="en-US" w:eastAsia="zh-CN"/>
                    </w:rPr>
                  </w:pPr>
                </w:p>
              </w:tc>
              <w:tc>
                <w:tcPr>
                  <w:tcW w:w="1787" w:type="dxa"/>
                  <w:vMerge w:val="continue"/>
                  <w:vAlign w:val="center"/>
                </w:tcPr>
                <w:p w14:paraId="3E6387C0">
                  <w:pPr>
                    <w:pStyle w:val="24"/>
                    <w:bidi w:val="0"/>
                    <w:ind w:firstLine="0" w:firstLineChars="0"/>
                    <w:jc w:val="center"/>
                    <w:rPr>
                      <w:rFonts w:hint="eastAsia"/>
                      <w:color w:val="auto"/>
                      <w:u w:val="single"/>
                      <w:lang w:val="en-US" w:eastAsia="zh-CN"/>
                    </w:rPr>
                  </w:pPr>
                </w:p>
              </w:tc>
              <w:tc>
                <w:tcPr>
                  <w:tcW w:w="1926" w:type="dxa"/>
                  <w:vAlign w:val="center"/>
                </w:tcPr>
                <w:p w14:paraId="6AC130EA">
                  <w:pPr>
                    <w:pStyle w:val="24"/>
                    <w:bidi w:val="0"/>
                    <w:jc w:val="center"/>
                    <w:rPr>
                      <w:rFonts w:hint="default"/>
                      <w:color w:val="auto"/>
                      <w:u w:val="single"/>
                      <w:lang w:val="en-US" w:eastAsia="zh-CN"/>
                    </w:rPr>
                  </w:pPr>
                  <w:r>
                    <w:rPr>
                      <w:rFonts w:hint="eastAsia"/>
                      <w:color w:val="auto"/>
                      <w:u w:val="single"/>
                      <w:lang w:val="en-US" w:eastAsia="zh-CN"/>
                    </w:rPr>
                    <w:t>NO</w:t>
                  </w:r>
                  <w:r>
                    <w:rPr>
                      <w:rFonts w:hint="eastAsia"/>
                      <w:color w:val="auto"/>
                      <w:u w:val="single"/>
                      <w:vertAlign w:val="subscript"/>
                      <w:lang w:val="en-US" w:eastAsia="zh-CN"/>
                    </w:rPr>
                    <w:t>X</w:t>
                  </w:r>
                </w:p>
              </w:tc>
              <w:tc>
                <w:tcPr>
                  <w:tcW w:w="3229" w:type="dxa"/>
                  <w:vMerge w:val="continue"/>
                  <w:vAlign w:val="center"/>
                </w:tcPr>
                <w:p w14:paraId="4204A05D">
                  <w:pPr>
                    <w:pStyle w:val="24"/>
                    <w:bidi w:val="0"/>
                    <w:jc w:val="center"/>
                    <w:rPr>
                      <w:rFonts w:hint="eastAsia"/>
                      <w:color w:val="auto"/>
                      <w:u w:val="single"/>
                      <w:vertAlign w:val="baseline"/>
                      <w:lang w:val="en-US" w:eastAsia="zh-CN"/>
                    </w:rPr>
                  </w:pPr>
                </w:p>
              </w:tc>
            </w:tr>
            <w:tr w14:paraId="4FB18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restart"/>
                  <w:vAlign w:val="center"/>
                </w:tcPr>
                <w:p w14:paraId="623B0520">
                  <w:pPr>
                    <w:pStyle w:val="24"/>
                    <w:bidi w:val="0"/>
                    <w:ind w:firstLine="0" w:firstLineChars="0"/>
                    <w:jc w:val="center"/>
                    <w:rPr>
                      <w:rFonts w:hint="default"/>
                      <w:color w:val="auto"/>
                      <w:u w:val="single"/>
                      <w:lang w:val="en-US" w:eastAsia="zh-CN"/>
                    </w:rPr>
                  </w:pPr>
                  <w:r>
                    <w:rPr>
                      <w:rFonts w:hint="eastAsia"/>
                      <w:color w:val="auto"/>
                      <w:u w:val="single"/>
                      <w:lang w:val="en-US" w:eastAsia="zh-CN"/>
                    </w:rPr>
                    <w:t>废水</w:t>
                  </w:r>
                </w:p>
              </w:tc>
              <w:tc>
                <w:tcPr>
                  <w:tcW w:w="1787" w:type="dxa"/>
                  <w:vAlign w:val="center"/>
                </w:tcPr>
                <w:p w14:paraId="6920992D">
                  <w:pPr>
                    <w:pStyle w:val="24"/>
                    <w:bidi w:val="0"/>
                    <w:ind w:firstLine="0" w:firstLineChars="0"/>
                    <w:jc w:val="center"/>
                    <w:rPr>
                      <w:rFonts w:hint="default"/>
                      <w:color w:val="auto"/>
                      <w:u w:val="single"/>
                      <w:lang w:val="en-US" w:eastAsia="zh-CN"/>
                    </w:rPr>
                  </w:pPr>
                  <w:r>
                    <w:rPr>
                      <w:rFonts w:hint="eastAsia"/>
                      <w:color w:val="auto"/>
                      <w:u w:val="single"/>
                      <w:lang w:val="en-US" w:eastAsia="zh-CN"/>
                    </w:rPr>
                    <w:t>喷淋废水</w:t>
                  </w:r>
                </w:p>
              </w:tc>
              <w:tc>
                <w:tcPr>
                  <w:tcW w:w="1926" w:type="dxa"/>
                  <w:vAlign w:val="center"/>
                </w:tcPr>
                <w:p w14:paraId="37EB227B">
                  <w:pPr>
                    <w:pStyle w:val="24"/>
                    <w:bidi w:val="0"/>
                    <w:jc w:val="center"/>
                    <w:rPr>
                      <w:rFonts w:hint="default"/>
                      <w:color w:val="auto"/>
                      <w:u w:val="single"/>
                      <w:lang w:val="en-US" w:eastAsia="zh-CN"/>
                    </w:rPr>
                  </w:pPr>
                  <w:r>
                    <w:rPr>
                      <w:rFonts w:hint="eastAsia"/>
                      <w:color w:val="auto"/>
                      <w:u w:val="single"/>
                      <w:lang w:val="en-US" w:eastAsia="zh-CN"/>
                    </w:rPr>
                    <w:t>SS</w:t>
                  </w:r>
                </w:p>
              </w:tc>
              <w:tc>
                <w:tcPr>
                  <w:tcW w:w="3229" w:type="dxa"/>
                  <w:vAlign w:val="center"/>
                </w:tcPr>
                <w:p w14:paraId="6ADE697A">
                  <w:pPr>
                    <w:pStyle w:val="24"/>
                    <w:bidi w:val="0"/>
                    <w:jc w:val="center"/>
                    <w:rPr>
                      <w:rFonts w:hint="default"/>
                      <w:color w:val="auto"/>
                      <w:u w:val="single"/>
                      <w:lang w:val="en-US" w:eastAsia="zh-CN"/>
                    </w:rPr>
                  </w:pPr>
                  <w:r>
                    <w:rPr>
                      <w:rFonts w:hint="eastAsia"/>
                      <w:color w:val="auto"/>
                      <w:u w:val="single"/>
                      <w:lang w:val="en-US" w:eastAsia="zh-CN"/>
                    </w:rPr>
                    <w:t>沉降槽沉淀后回用于生产工序</w:t>
                  </w:r>
                </w:p>
              </w:tc>
            </w:tr>
            <w:tr w14:paraId="71608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vAlign w:val="center"/>
                </w:tcPr>
                <w:p w14:paraId="26D79A75">
                  <w:pPr>
                    <w:pStyle w:val="24"/>
                    <w:bidi w:val="0"/>
                    <w:ind w:firstLine="0" w:firstLineChars="0"/>
                    <w:jc w:val="center"/>
                    <w:rPr>
                      <w:rFonts w:hint="eastAsia"/>
                      <w:color w:val="auto"/>
                      <w:u w:val="single"/>
                      <w:lang w:val="en-US" w:eastAsia="zh-CN"/>
                    </w:rPr>
                  </w:pPr>
                </w:p>
              </w:tc>
              <w:tc>
                <w:tcPr>
                  <w:tcW w:w="1787" w:type="dxa"/>
                  <w:vAlign w:val="center"/>
                </w:tcPr>
                <w:p w14:paraId="5875C506">
                  <w:pPr>
                    <w:pStyle w:val="24"/>
                    <w:bidi w:val="0"/>
                    <w:ind w:firstLine="0" w:firstLineChars="0"/>
                    <w:jc w:val="center"/>
                    <w:rPr>
                      <w:rFonts w:hint="default"/>
                      <w:color w:val="auto"/>
                      <w:u w:val="single"/>
                      <w:lang w:val="en-US" w:eastAsia="zh-CN"/>
                    </w:rPr>
                  </w:pPr>
                  <w:r>
                    <w:rPr>
                      <w:rFonts w:hint="eastAsia"/>
                      <w:color w:val="auto"/>
                      <w:u w:val="single"/>
                      <w:lang w:val="en-US" w:eastAsia="zh-CN"/>
                    </w:rPr>
                    <w:t>生活污水</w:t>
                  </w:r>
                </w:p>
              </w:tc>
              <w:tc>
                <w:tcPr>
                  <w:tcW w:w="1926" w:type="dxa"/>
                  <w:vAlign w:val="center"/>
                </w:tcPr>
                <w:p w14:paraId="1FA2026D">
                  <w:pPr>
                    <w:pStyle w:val="24"/>
                    <w:bidi w:val="0"/>
                    <w:jc w:val="center"/>
                    <w:rPr>
                      <w:rFonts w:hint="eastAsia"/>
                      <w:color w:val="auto"/>
                      <w:u w:val="single"/>
                      <w:lang w:val="en-US" w:eastAsia="zh-CN"/>
                    </w:rPr>
                  </w:pPr>
                  <w:r>
                    <w:rPr>
                      <w:rFonts w:hint="eastAsia"/>
                      <w:color w:val="auto"/>
                      <w:u w:val="single"/>
                      <w:lang w:val="en-US" w:eastAsia="zh-CN"/>
                    </w:rPr>
                    <w:t>COD、NH</w:t>
                  </w:r>
                  <w:r>
                    <w:rPr>
                      <w:rFonts w:hint="eastAsia"/>
                      <w:color w:val="auto"/>
                      <w:u w:val="single"/>
                      <w:vertAlign w:val="subscript"/>
                      <w:lang w:val="en-US" w:eastAsia="zh-CN"/>
                    </w:rPr>
                    <w:t>3</w:t>
                  </w:r>
                  <w:r>
                    <w:rPr>
                      <w:rFonts w:hint="eastAsia"/>
                      <w:color w:val="auto"/>
                      <w:u w:val="single"/>
                      <w:lang w:val="en-US" w:eastAsia="zh-CN"/>
                    </w:rPr>
                    <w:t>-N等</w:t>
                  </w:r>
                </w:p>
              </w:tc>
              <w:tc>
                <w:tcPr>
                  <w:tcW w:w="3229" w:type="dxa"/>
                  <w:vAlign w:val="center"/>
                </w:tcPr>
                <w:p w14:paraId="3693A188">
                  <w:pPr>
                    <w:pStyle w:val="24"/>
                    <w:bidi w:val="0"/>
                    <w:jc w:val="center"/>
                    <w:rPr>
                      <w:rFonts w:hint="default"/>
                      <w:color w:val="auto"/>
                      <w:u w:val="single"/>
                      <w:lang w:val="en-US" w:eastAsia="zh-CN"/>
                    </w:rPr>
                  </w:pPr>
                  <w:r>
                    <w:rPr>
                      <w:rFonts w:hint="eastAsia"/>
                      <w:color w:val="auto"/>
                      <w:u w:val="single"/>
                      <w:lang w:val="en-US" w:eastAsia="zh-CN"/>
                    </w:rPr>
                    <w:t>生活污水经化粪池处理后排入园区污水管网，最终进入岳阳高新技术产业园区长湖片污水处理厂集中处理。</w:t>
                  </w:r>
                </w:p>
              </w:tc>
            </w:tr>
            <w:tr w14:paraId="73FD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Align w:val="center"/>
                </w:tcPr>
                <w:p w14:paraId="1F6F69D8">
                  <w:pPr>
                    <w:pStyle w:val="24"/>
                    <w:bidi w:val="0"/>
                    <w:ind w:firstLine="0" w:firstLineChars="0"/>
                    <w:jc w:val="center"/>
                    <w:rPr>
                      <w:rFonts w:hint="default"/>
                      <w:color w:val="auto"/>
                      <w:u w:val="single"/>
                      <w:lang w:val="en-US" w:eastAsia="zh-CN"/>
                    </w:rPr>
                  </w:pPr>
                  <w:r>
                    <w:rPr>
                      <w:rFonts w:hint="eastAsia"/>
                      <w:color w:val="auto"/>
                      <w:u w:val="single"/>
                      <w:lang w:val="en-US" w:eastAsia="zh-CN"/>
                    </w:rPr>
                    <w:t>噪声</w:t>
                  </w:r>
                </w:p>
              </w:tc>
              <w:tc>
                <w:tcPr>
                  <w:tcW w:w="1787" w:type="dxa"/>
                  <w:vAlign w:val="center"/>
                </w:tcPr>
                <w:p w14:paraId="5B116E84">
                  <w:pPr>
                    <w:pStyle w:val="24"/>
                    <w:bidi w:val="0"/>
                    <w:ind w:firstLine="0" w:firstLineChars="0"/>
                    <w:jc w:val="center"/>
                    <w:rPr>
                      <w:rFonts w:hint="default"/>
                      <w:color w:val="auto"/>
                      <w:u w:val="single"/>
                      <w:lang w:val="en-US" w:eastAsia="zh-CN"/>
                    </w:rPr>
                  </w:pPr>
                  <w:r>
                    <w:rPr>
                      <w:rFonts w:hint="eastAsia"/>
                      <w:color w:val="auto"/>
                      <w:u w:val="single"/>
                      <w:lang w:val="en-US" w:eastAsia="zh-CN"/>
                    </w:rPr>
                    <w:t>设备噪声</w:t>
                  </w:r>
                </w:p>
              </w:tc>
              <w:tc>
                <w:tcPr>
                  <w:tcW w:w="1926" w:type="dxa"/>
                  <w:vAlign w:val="center"/>
                </w:tcPr>
                <w:p w14:paraId="50E453ED">
                  <w:pPr>
                    <w:pStyle w:val="24"/>
                    <w:bidi w:val="0"/>
                    <w:jc w:val="center"/>
                    <w:rPr>
                      <w:rFonts w:hint="default"/>
                      <w:color w:val="auto"/>
                      <w:u w:val="single"/>
                      <w:lang w:val="en-US" w:eastAsia="zh-CN"/>
                    </w:rPr>
                  </w:pPr>
                  <w:r>
                    <w:rPr>
                      <w:rFonts w:hint="default"/>
                      <w:color w:val="auto"/>
                      <w:u w:val="single"/>
                      <w:lang w:val="en-US" w:eastAsia="zh-CN"/>
                    </w:rPr>
                    <w:t>等效声级</w:t>
                  </w:r>
                </w:p>
              </w:tc>
              <w:tc>
                <w:tcPr>
                  <w:tcW w:w="3229" w:type="dxa"/>
                  <w:vAlign w:val="center"/>
                </w:tcPr>
                <w:p w14:paraId="298DAC9C">
                  <w:pPr>
                    <w:pStyle w:val="24"/>
                    <w:bidi w:val="0"/>
                    <w:jc w:val="center"/>
                    <w:rPr>
                      <w:rFonts w:hint="default"/>
                      <w:color w:val="auto"/>
                      <w:u w:val="single"/>
                      <w:lang w:val="en-US" w:eastAsia="zh-CN"/>
                    </w:rPr>
                  </w:pPr>
                  <w:r>
                    <w:rPr>
                      <w:rFonts w:hint="default"/>
                      <w:color w:val="auto"/>
                      <w:u w:val="single"/>
                      <w:lang w:val="en-US" w:eastAsia="zh-CN"/>
                    </w:rPr>
                    <w:t>基础减震、距离衰减、厂房隔声等</w:t>
                  </w:r>
                </w:p>
              </w:tc>
            </w:tr>
            <w:tr w14:paraId="540F1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916" w:type="dxa"/>
                  <w:vMerge w:val="restart"/>
                  <w:vAlign w:val="center"/>
                </w:tcPr>
                <w:p w14:paraId="15578E5A">
                  <w:pPr>
                    <w:pStyle w:val="24"/>
                    <w:bidi w:val="0"/>
                    <w:ind w:firstLine="0" w:firstLineChars="0"/>
                    <w:jc w:val="center"/>
                    <w:rPr>
                      <w:rFonts w:hint="default"/>
                      <w:color w:val="auto"/>
                      <w:u w:val="single"/>
                      <w:lang w:val="en-US" w:eastAsia="zh-CN"/>
                    </w:rPr>
                  </w:pPr>
                  <w:r>
                    <w:rPr>
                      <w:rFonts w:hint="eastAsia"/>
                      <w:color w:val="auto"/>
                      <w:u w:val="single"/>
                      <w:lang w:val="en-US" w:eastAsia="zh-CN"/>
                    </w:rPr>
                    <w:t>固废</w:t>
                  </w:r>
                </w:p>
              </w:tc>
              <w:tc>
                <w:tcPr>
                  <w:tcW w:w="1787" w:type="dxa"/>
                  <w:vMerge w:val="restart"/>
                  <w:vAlign w:val="center"/>
                </w:tcPr>
                <w:p w14:paraId="5698B4B9">
                  <w:pPr>
                    <w:pStyle w:val="24"/>
                    <w:bidi w:val="0"/>
                    <w:ind w:firstLine="0" w:firstLineChars="0"/>
                    <w:jc w:val="center"/>
                    <w:rPr>
                      <w:rFonts w:hint="default"/>
                      <w:color w:val="auto"/>
                      <w:u w:val="single"/>
                      <w:lang w:val="en-US" w:eastAsia="zh-CN"/>
                    </w:rPr>
                  </w:pPr>
                  <w:r>
                    <w:rPr>
                      <w:rFonts w:hint="eastAsia"/>
                      <w:color w:val="auto"/>
                      <w:u w:val="single"/>
                      <w:lang w:val="en-US" w:eastAsia="zh-CN"/>
                    </w:rPr>
                    <w:t>生产运行过程</w:t>
                  </w:r>
                </w:p>
              </w:tc>
              <w:tc>
                <w:tcPr>
                  <w:tcW w:w="1926" w:type="dxa"/>
                  <w:vAlign w:val="center"/>
                </w:tcPr>
                <w:p w14:paraId="33749701">
                  <w:pPr>
                    <w:pStyle w:val="24"/>
                    <w:bidi w:val="0"/>
                    <w:jc w:val="center"/>
                    <w:rPr>
                      <w:rFonts w:hint="eastAsia"/>
                      <w:color w:val="auto"/>
                      <w:u w:val="single"/>
                      <w:lang w:val="en-US" w:eastAsia="zh-CN"/>
                    </w:rPr>
                  </w:pPr>
                  <w:r>
                    <w:rPr>
                      <w:rFonts w:hint="eastAsia"/>
                      <w:color w:val="auto"/>
                      <w:u w:val="single"/>
                      <w:lang w:val="en-US" w:eastAsia="zh-CN"/>
                    </w:rPr>
                    <w:t>废气除尘系统收集</w:t>
                  </w:r>
                  <w:r>
                    <w:rPr>
                      <w:rFonts w:hint="default"/>
                      <w:color w:val="auto"/>
                      <w:u w:val="single"/>
                      <w:lang w:val="en-US" w:eastAsia="zh-CN"/>
                    </w:rPr>
                    <w:t>的</w:t>
                  </w:r>
                  <w:r>
                    <w:rPr>
                      <w:rFonts w:hint="eastAsia"/>
                      <w:color w:val="auto"/>
                      <w:u w:val="single"/>
                      <w:lang w:val="en-US" w:eastAsia="zh-CN"/>
                    </w:rPr>
                    <w:t>粉</w:t>
                  </w:r>
                  <w:r>
                    <w:rPr>
                      <w:rFonts w:hint="default"/>
                      <w:color w:val="auto"/>
                      <w:u w:val="single"/>
                      <w:lang w:val="en-US" w:eastAsia="zh-CN"/>
                    </w:rPr>
                    <w:t>尘</w:t>
                  </w:r>
                </w:p>
              </w:tc>
              <w:tc>
                <w:tcPr>
                  <w:tcW w:w="3229" w:type="dxa"/>
                  <w:vAlign w:val="center"/>
                </w:tcPr>
                <w:p w14:paraId="1A3509B1">
                  <w:pPr>
                    <w:pStyle w:val="24"/>
                    <w:bidi w:val="0"/>
                    <w:jc w:val="center"/>
                    <w:rPr>
                      <w:rFonts w:hint="default"/>
                      <w:color w:val="auto"/>
                      <w:u w:val="single"/>
                      <w:lang w:val="en-US" w:eastAsia="zh-CN"/>
                    </w:rPr>
                  </w:pPr>
                  <w:r>
                    <w:rPr>
                      <w:rFonts w:hint="eastAsia"/>
                      <w:color w:val="auto"/>
                      <w:highlight w:val="none"/>
                      <w:u w:val="single" w:color="auto"/>
                      <w:lang w:val="en-US" w:eastAsia="zh-CN"/>
                    </w:rPr>
                    <w:t>收集后回用于生产</w:t>
                  </w:r>
                </w:p>
              </w:tc>
            </w:tr>
            <w:tr w14:paraId="2B5E6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trPr>
              <w:tc>
                <w:tcPr>
                  <w:tcW w:w="916" w:type="dxa"/>
                  <w:vMerge w:val="continue"/>
                  <w:vAlign w:val="center"/>
                </w:tcPr>
                <w:p w14:paraId="6C131176">
                  <w:pPr>
                    <w:pStyle w:val="24"/>
                    <w:bidi w:val="0"/>
                    <w:ind w:firstLine="0" w:firstLineChars="0"/>
                    <w:jc w:val="center"/>
                    <w:rPr>
                      <w:rFonts w:hint="eastAsia"/>
                      <w:color w:val="auto"/>
                      <w:u w:val="single"/>
                      <w:lang w:val="en-US" w:eastAsia="zh-CN"/>
                    </w:rPr>
                  </w:pPr>
                </w:p>
              </w:tc>
              <w:tc>
                <w:tcPr>
                  <w:tcW w:w="1787" w:type="dxa"/>
                  <w:vMerge w:val="continue"/>
                  <w:vAlign w:val="center"/>
                </w:tcPr>
                <w:p w14:paraId="1F52C7F3">
                  <w:pPr>
                    <w:pStyle w:val="24"/>
                    <w:bidi w:val="0"/>
                    <w:ind w:firstLine="0" w:firstLineChars="0"/>
                    <w:jc w:val="center"/>
                    <w:rPr>
                      <w:rFonts w:hint="eastAsia"/>
                      <w:color w:val="auto"/>
                      <w:u w:val="single"/>
                      <w:lang w:val="en-US" w:eastAsia="zh-CN"/>
                    </w:rPr>
                  </w:pPr>
                </w:p>
              </w:tc>
              <w:tc>
                <w:tcPr>
                  <w:tcW w:w="1926" w:type="dxa"/>
                  <w:vAlign w:val="center"/>
                </w:tcPr>
                <w:p w14:paraId="630D3843">
                  <w:pPr>
                    <w:pStyle w:val="24"/>
                    <w:bidi w:val="0"/>
                    <w:jc w:val="center"/>
                    <w:rPr>
                      <w:rFonts w:hint="default"/>
                      <w:color w:val="auto"/>
                      <w:u w:val="single"/>
                      <w:lang w:val="en-US" w:eastAsia="zh-CN"/>
                    </w:rPr>
                  </w:pPr>
                  <w:r>
                    <w:rPr>
                      <w:rFonts w:hint="eastAsia"/>
                      <w:color w:val="auto"/>
                      <w:u w:val="single"/>
                      <w:lang w:val="en-US" w:eastAsia="zh-CN"/>
                    </w:rPr>
                    <w:t>沉淀池</w:t>
                  </w:r>
                  <w:r>
                    <w:rPr>
                      <w:rFonts w:hint="default"/>
                      <w:color w:val="auto"/>
                      <w:u w:val="single"/>
                      <w:lang w:val="en-US" w:eastAsia="zh-CN"/>
                    </w:rPr>
                    <w:t>的</w:t>
                  </w:r>
                  <w:r>
                    <w:rPr>
                      <w:rFonts w:hint="eastAsia"/>
                      <w:color w:val="auto"/>
                      <w:u w:val="single"/>
                      <w:lang w:val="en-US" w:eastAsia="zh-CN"/>
                    </w:rPr>
                    <w:t>沉渣</w:t>
                  </w:r>
                </w:p>
              </w:tc>
              <w:tc>
                <w:tcPr>
                  <w:tcW w:w="3229" w:type="dxa"/>
                  <w:vAlign w:val="center"/>
                </w:tcPr>
                <w:p w14:paraId="2F5DC9FA">
                  <w:pPr>
                    <w:pStyle w:val="24"/>
                    <w:bidi w:val="0"/>
                    <w:jc w:val="center"/>
                    <w:rPr>
                      <w:rFonts w:hint="eastAsia"/>
                      <w:color w:val="auto"/>
                      <w:highlight w:val="none"/>
                      <w:u w:val="single" w:color="auto"/>
                      <w:lang w:val="en-US" w:eastAsia="zh-CN"/>
                    </w:rPr>
                  </w:pPr>
                  <w:r>
                    <w:rPr>
                      <w:rFonts w:hint="eastAsia"/>
                      <w:color w:val="auto"/>
                      <w:highlight w:val="none"/>
                      <w:u w:val="single" w:color="auto"/>
                      <w:lang w:val="en-US" w:eastAsia="zh-CN"/>
                    </w:rPr>
                    <w:t>收集后回用于生产</w:t>
                  </w:r>
                </w:p>
              </w:tc>
            </w:tr>
            <w:tr w14:paraId="25A39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vAlign w:val="center"/>
                </w:tcPr>
                <w:p w14:paraId="4B2F368F">
                  <w:pPr>
                    <w:pStyle w:val="24"/>
                    <w:bidi w:val="0"/>
                    <w:ind w:firstLine="0" w:firstLineChars="0"/>
                    <w:jc w:val="center"/>
                    <w:rPr>
                      <w:rFonts w:hint="eastAsia"/>
                      <w:color w:val="auto"/>
                      <w:u w:val="single"/>
                      <w:lang w:val="en-US" w:eastAsia="zh-CN"/>
                    </w:rPr>
                  </w:pPr>
                </w:p>
              </w:tc>
              <w:tc>
                <w:tcPr>
                  <w:tcW w:w="1787" w:type="dxa"/>
                  <w:vMerge w:val="continue"/>
                  <w:vAlign w:val="center"/>
                </w:tcPr>
                <w:p w14:paraId="3541887B">
                  <w:pPr>
                    <w:pStyle w:val="24"/>
                    <w:bidi w:val="0"/>
                    <w:ind w:firstLine="0" w:firstLineChars="0"/>
                    <w:jc w:val="center"/>
                    <w:rPr>
                      <w:rFonts w:hint="eastAsia"/>
                      <w:color w:val="auto"/>
                      <w:u w:val="single"/>
                      <w:lang w:val="en-US" w:eastAsia="zh-CN"/>
                    </w:rPr>
                  </w:pPr>
                </w:p>
              </w:tc>
              <w:tc>
                <w:tcPr>
                  <w:tcW w:w="1926" w:type="dxa"/>
                  <w:vAlign w:val="center"/>
                </w:tcPr>
                <w:p w14:paraId="326088A8">
                  <w:pPr>
                    <w:pStyle w:val="24"/>
                    <w:bidi w:val="0"/>
                    <w:jc w:val="center"/>
                    <w:rPr>
                      <w:rFonts w:hint="default"/>
                      <w:color w:val="auto"/>
                      <w:u w:val="single"/>
                      <w:lang w:val="en-US" w:eastAsia="zh-CN"/>
                    </w:rPr>
                  </w:pPr>
                  <w:r>
                    <w:rPr>
                      <w:rFonts w:hint="eastAsia"/>
                      <w:color w:val="auto"/>
                      <w:u w:val="single"/>
                      <w:lang w:val="en-US" w:eastAsia="zh-CN"/>
                    </w:rPr>
                    <w:t>废编织袋</w:t>
                  </w:r>
                </w:p>
              </w:tc>
              <w:tc>
                <w:tcPr>
                  <w:tcW w:w="3229" w:type="dxa"/>
                  <w:vAlign w:val="center"/>
                </w:tcPr>
                <w:p w14:paraId="4A2C68F8">
                  <w:pPr>
                    <w:pStyle w:val="24"/>
                    <w:bidi w:val="0"/>
                    <w:jc w:val="center"/>
                    <w:rPr>
                      <w:rFonts w:hint="default"/>
                      <w:color w:val="auto"/>
                      <w:u w:val="single"/>
                      <w:lang w:val="en-US" w:eastAsia="zh-CN"/>
                    </w:rPr>
                  </w:pPr>
                  <w:r>
                    <w:rPr>
                      <w:rFonts w:hint="eastAsia"/>
                      <w:color w:val="auto"/>
                      <w:u w:val="single"/>
                      <w:lang w:val="en-US" w:eastAsia="zh-CN"/>
                    </w:rPr>
                    <w:t>作为可回收垃圾外售</w:t>
                  </w:r>
                </w:p>
              </w:tc>
            </w:tr>
            <w:tr w14:paraId="0CF1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vAlign w:val="center"/>
                </w:tcPr>
                <w:p w14:paraId="2B8514E8">
                  <w:pPr>
                    <w:pStyle w:val="24"/>
                    <w:bidi w:val="0"/>
                    <w:ind w:firstLine="0" w:firstLineChars="0"/>
                    <w:jc w:val="center"/>
                    <w:rPr>
                      <w:rFonts w:hint="eastAsia"/>
                      <w:color w:val="auto"/>
                      <w:u w:val="single"/>
                      <w:lang w:val="en-US" w:eastAsia="zh-CN"/>
                    </w:rPr>
                  </w:pPr>
                </w:p>
              </w:tc>
              <w:tc>
                <w:tcPr>
                  <w:tcW w:w="1787" w:type="dxa"/>
                  <w:vMerge w:val="continue"/>
                  <w:vAlign w:val="center"/>
                </w:tcPr>
                <w:p w14:paraId="50C590A9">
                  <w:pPr>
                    <w:pStyle w:val="24"/>
                    <w:bidi w:val="0"/>
                    <w:ind w:firstLine="0" w:firstLineChars="0"/>
                    <w:jc w:val="center"/>
                    <w:rPr>
                      <w:rFonts w:hint="eastAsia"/>
                      <w:color w:val="auto"/>
                      <w:u w:val="single"/>
                      <w:lang w:val="en-US" w:eastAsia="zh-CN"/>
                    </w:rPr>
                  </w:pPr>
                </w:p>
              </w:tc>
              <w:tc>
                <w:tcPr>
                  <w:tcW w:w="1926" w:type="dxa"/>
                  <w:vAlign w:val="center"/>
                </w:tcPr>
                <w:p w14:paraId="2FC40F87">
                  <w:pPr>
                    <w:pStyle w:val="24"/>
                    <w:bidi w:val="0"/>
                    <w:jc w:val="center"/>
                    <w:rPr>
                      <w:rFonts w:hint="eastAsia"/>
                      <w:color w:val="auto"/>
                      <w:u w:val="single"/>
                      <w:lang w:val="en-US" w:eastAsia="zh-CN"/>
                    </w:rPr>
                  </w:pPr>
                  <w:r>
                    <w:rPr>
                      <w:rFonts w:hint="eastAsia"/>
                      <w:color w:val="auto"/>
                      <w:u w:val="single"/>
                      <w:lang w:val="en-US" w:eastAsia="zh-CN"/>
                    </w:rPr>
                    <w:t>废含油抹布及手套、废矿物油及包装桶</w:t>
                  </w:r>
                </w:p>
              </w:tc>
              <w:tc>
                <w:tcPr>
                  <w:tcW w:w="3229" w:type="dxa"/>
                  <w:vAlign w:val="center"/>
                </w:tcPr>
                <w:p w14:paraId="6150278E">
                  <w:pPr>
                    <w:pStyle w:val="24"/>
                    <w:bidi w:val="0"/>
                    <w:jc w:val="center"/>
                    <w:rPr>
                      <w:rFonts w:hint="eastAsia"/>
                      <w:color w:val="auto"/>
                      <w:u w:val="single"/>
                      <w:lang w:val="en-US" w:eastAsia="zh-CN"/>
                    </w:rPr>
                  </w:pPr>
                  <w:r>
                    <w:rPr>
                      <w:rFonts w:hint="eastAsia"/>
                      <w:color w:val="auto"/>
                      <w:u w:val="single"/>
                      <w:lang w:val="en-US" w:eastAsia="zh-CN"/>
                    </w:rPr>
                    <w:t>暂存于危废暂存间，定期交由有资质的单位处置。</w:t>
                  </w:r>
                </w:p>
              </w:tc>
            </w:tr>
            <w:tr w14:paraId="2B078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 w:type="dxa"/>
                  <w:vMerge w:val="continue"/>
                  <w:vAlign w:val="center"/>
                </w:tcPr>
                <w:p w14:paraId="78E2511A">
                  <w:pPr>
                    <w:pStyle w:val="24"/>
                    <w:bidi w:val="0"/>
                    <w:ind w:firstLine="0" w:firstLineChars="0"/>
                    <w:jc w:val="center"/>
                    <w:rPr>
                      <w:rFonts w:hint="eastAsia"/>
                      <w:color w:val="auto"/>
                      <w:u w:val="single"/>
                      <w:lang w:val="en-US" w:eastAsia="zh-CN"/>
                    </w:rPr>
                  </w:pPr>
                </w:p>
              </w:tc>
              <w:tc>
                <w:tcPr>
                  <w:tcW w:w="1787" w:type="dxa"/>
                  <w:vAlign w:val="center"/>
                </w:tcPr>
                <w:p w14:paraId="6FB6E505">
                  <w:pPr>
                    <w:pStyle w:val="24"/>
                    <w:bidi w:val="0"/>
                    <w:ind w:firstLine="0" w:firstLineChars="0"/>
                    <w:jc w:val="center"/>
                    <w:rPr>
                      <w:rFonts w:hint="default"/>
                      <w:color w:val="auto"/>
                      <w:u w:val="single"/>
                      <w:lang w:val="en-US" w:eastAsia="zh-CN"/>
                    </w:rPr>
                  </w:pPr>
                  <w:r>
                    <w:rPr>
                      <w:rFonts w:hint="eastAsia"/>
                      <w:color w:val="auto"/>
                      <w:u w:val="single"/>
                      <w:lang w:val="en-US" w:eastAsia="zh-CN"/>
                    </w:rPr>
                    <w:t>员工生活</w:t>
                  </w:r>
                </w:p>
              </w:tc>
              <w:tc>
                <w:tcPr>
                  <w:tcW w:w="1926" w:type="dxa"/>
                  <w:vAlign w:val="center"/>
                </w:tcPr>
                <w:p w14:paraId="0FCCF2D8">
                  <w:pPr>
                    <w:pStyle w:val="24"/>
                    <w:bidi w:val="0"/>
                    <w:jc w:val="center"/>
                    <w:rPr>
                      <w:rFonts w:hint="default"/>
                      <w:color w:val="auto"/>
                      <w:u w:val="single"/>
                      <w:lang w:val="en-US" w:eastAsia="zh-CN"/>
                    </w:rPr>
                  </w:pPr>
                  <w:r>
                    <w:rPr>
                      <w:rFonts w:hint="eastAsia"/>
                      <w:color w:val="auto"/>
                      <w:u w:val="single"/>
                      <w:lang w:val="en-US" w:eastAsia="zh-CN"/>
                    </w:rPr>
                    <w:t>生活垃圾</w:t>
                  </w:r>
                </w:p>
              </w:tc>
              <w:tc>
                <w:tcPr>
                  <w:tcW w:w="3229" w:type="dxa"/>
                  <w:vAlign w:val="center"/>
                </w:tcPr>
                <w:p w14:paraId="71416163">
                  <w:pPr>
                    <w:pStyle w:val="24"/>
                    <w:bidi w:val="0"/>
                    <w:jc w:val="center"/>
                    <w:rPr>
                      <w:rFonts w:hint="default"/>
                      <w:color w:val="auto"/>
                      <w:u w:val="single"/>
                      <w:lang w:val="en-US" w:eastAsia="zh-CN"/>
                    </w:rPr>
                  </w:pPr>
                  <w:r>
                    <w:rPr>
                      <w:rFonts w:hint="eastAsia"/>
                      <w:color w:val="auto"/>
                      <w:u w:val="single"/>
                      <w:lang w:val="en-US" w:eastAsia="zh-CN"/>
                    </w:rPr>
                    <w:t>交由环卫部门清运处置</w:t>
                  </w:r>
                </w:p>
              </w:tc>
            </w:tr>
          </w:tbl>
          <w:p w14:paraId="2BA0E3B0">
            <w:pPr>
              <w:pStyle w:val="22"/>
              <w:bidi w:val="0"/>
              <w:rPr>
                <w:rFonts w:hint="default" w:cs="Times New Roman"/>
                <w:color w:val="4874CB" w:themeColor="accent1"/>
                <w:szCs w:val="24"/>
                <w:u w:val="none" w:color="auto"/>
                <w:lang w:val="en-US" w:eastAsia="zh-CN"/>
                <w14:textFill>
                  <w14:solidFill>
                    <w14:schemeClr w14:val="accent1"/>
                  </w14:solidFill>
                </w14:textFill>
              </w:rPr>
            </w:pPr>
          </w:p>
        </w:tc>
      </w:tr>
      <w:tr w14:paraId="0DD1B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8" w:hRule="atLeast"/>
        </w:trPr>
        <w:tc>
          <w:tcPr>
            <w:tcW w:w="448" w:type="dxa"/>
            <w:vAlign w:val="center"/>
          </w:tcPr>
          <w:p w14:paraId="3BAD172A">
            <w:pPr>
              <w:bidi w:val="0"/>
              <w:spacing w:line="240" w:lineRule="auto"/>
              <w:ind w:left="0" w:leftChars="0" w:firstLine="0" w:firstLineChars="0"/>
              <w:jc w:val="center"/>
              <w:rPr>
                <w:rFonts w:hint="eastAsia"/>
                <w:color w:val="4874CB" w:themeColor="accent1"/>
                <w:lang w:val="en-US" w:eastAsia="zh-CN"/>
                <w14:textFill>
                  <w14:solidFill>
                    <w14:schemeClr w14:val="accent1"/>
                  </w14:solidFill>
                </w14:textFill>
              </w:rPr>
            </w:pPr>
            <w:r>
              <w:rPr>
                <w:rFonts w:hint="eastAsia"/>
                <w:color w:val="auto"/>
                <w:lang w:val="en-US" w:eastAsia="zh-CN"/>
              </w:rPr>
              <w:t>与项目有关的原有环境污染问题</w:t>
            </w:r>
          </w:p>
        </w:tc>
        <w:tc>
          <w:tcPr>
            <w:tcW w:w="8074" w:type="dxa"/>
            <w:vAlign w:val="center"/>
          </w:tcPr>
          <w:p w14:paraId="534ACB75">
            <w:pPr>
              <w:pStyle w:val="22"/>
              <w:bidi w:val="0"/>
              <w:jc w:val="both"/>
              <w:rPr>
                <w:rFonts w:hint="default"/>
                <w:color w:val="4874CB" w:themeColor="accent1"/>
                <w:highlight w:val="none"/>
                <w:u w:val="none"/>
                <w:lang w:val="en-US" w:eastAsia="zh-CN"/>
                <w14:textFill>
                  <w14:solidFill>
                    <w14:schemeClr w14:val="accent1"/>
                  </w14:solidFill>
                </w14:textFill>
              </w:rPr>
            </w:pPr>
            <w:r>
              <w:rPr>
                <w:rFonts w:hint="eastAsia"/>
                <w:color w:val="auto"/>
                <w:highlight w:val="none"/>
                <w:u w:val="none"/>
                <w:lang w:val="en-US" w:eastAsia="zh-CN"/>
              </w:rPr>
              <w:t>建设地点为工业园区规划用地，无原有环境污染问题。</w:t>
            </w:r>
          </w:p>
        </w:tc>
      </w:tr>
    </w:tbl>
    <w:p w14:paraId="7955D443">
      <w:pPr>
        <w:rPr>
          <w:rStyle w:val="17"/>
          <w:rFonts w:hint="eastAsia"/>
          <w:color w:val="4874CB" w:themeColor="accent1"/>
          <w:lang w:val="en-US" w:eastAsia="zh-CN"/>
          <w14:textFill>
            <w14:solidFill>
              <w14:schemeClr w14:val="accent1"/>
            </w14:solidFill>
          </w14:textFill>
        </w:rPr>
      </w:pPr>
      <w:r>
        <w:rPr>
          <w:rStyle w:val="17"/>
          <w:rFonts w:hint="eastAsia"/>
          <w:color w:val="4874CB" w:themeColor="accent1"/>
          <w:lang w:val="en-US" w:eastAsia="zh-CN"/>
          <w14:textFill>
            <w14:solidFill>
              <w14:schemeClr w14:val="accent1"/>
            </w14:solidFill>
          </w14:textFill>
        </w:rPr>
        <w:br w:type="page"/>
      </w:r>
    </w:p>
    <w:p w14:paraId="7D37C415">
      <w:pPr>
        <w:pStyle w:val="2"/>
        <w:numPr>
          <w:ilvl w:val="0"/>
          <w:numId w:val="4"/>
        </w:numPr>
        <w:bidi w:val="0"/>
        <w:jc w:val="center"/>
        <w:rPr>
          <w:rFonts w:hint="default" w:ascii="Times New Roman" w:hAnsi="Times New Roman" w:eastAsia="宋体" w:cs="Times New Roman"/>
          <w:color w:val="auto"/>
          <w:u w:val="none" w:color="auto"/>
        </w:rPr>
      </w:pPr>
      <w:bookmarkStart w:id="9" w:name="_Toc20279"/>
      <w:bookmarkStart w:id="10" w:name="_Toc30241"/>
      <w:r>
        <w:rPr>
          <w:rFonts w:hint="default" w:ascii="Times New Roman" w:hAnsi="Times New Roman" w:eastAsia="宋体" w:cs="Times New Roman"/>
          <w:color w:val="auto"/>
          <w:u w:val="none" w:color="auto"/>
        </w:rPr>
        <w:t>区域环境质量现状、环境保护目标及评价标准</w:t>
      </w:r>
      <w:bookmarkEnd w:id="9"/>
      <w:bookmarkEnd w:id="10"/>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
        <w:gridCol w:w="8115"/>
      </w:tblGrid>
      <w:tr w14:paraId="4FA20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dxa"/>
            <w:vAlign w:val="center"/>
          </w:tcPr>
          <w:p w14:paraId="6A5A3150">
            <w:pPr>
              <w:numPr>
                <w:ilvl w:val="0"/>
                <w:numId w:val="0"/>
              </w:numPr>
              <w:jc w:val="center"/>
              <w:rPr>
                <w:rFonts w:hint="eastAsia"/>
                <w:color w:val="auto"/>
                <w:vertAlign w:val="baseline"/>
                <w:lang w:val="en-US" w:eastAsia="zh-CN"/>
              </w:rPr>
            </w:pPr>
            <w:r>
              <w:rPr>
                <w:rFonts w:hint="eastAsia"/>
                <w:color w:val="auto"/>
                <w:vertAlign w:val="baseline"/>
                <w:lang w:val="en-US" w:eastAsia="zh-CN"/>
              </w:rPr>
              <w:t>区域环境质量现状</w:t>
            </w:r>
          </w:p>
        </w:tc>
        <w:tc>
          <w:tcPr>
            <w:tcW w:w="8115" w:type="dxa"/>
          </w:tcPr>
          <w:p w14:paraId="28AE8ED0">
            <w:pPr>
              <w:pStyle w:val="21"/>
              <w:bidi w:val="0"/>
              <w:rPr>
                <w:rFonts w:hint="eastAsia"/>
                <w:color w:val="auto"/>
                <w:lang w:val="en-US" w:eastAsia="zh-CN"/>
              </w:rPr>
            </w:pPr>
            <w:r>
              <w:rPr>
                <w:rFonts w:hint="eastAsia"/>
                <w:color w:val="auto"/>
                <w:lang w:val="en-US" w:eastAsia="zh-CN"/>
              </w:rPr>
              <w:t>1、环境空气质量现状</w:t>
            </w:r>
          </w:p>
          <w:p w14:paraId="3AB669F9">
            <w:pPr>
              <w:pStyle w:val="21"/>
              <w:bidi w:val="0"/>
              <w:rPr>
                <w:rFonts w:hint="eastAsia"/>
                <w:color w:val="auto"/>
                <w:lang w:val="en-US" w:eastAsia="zh-CN"/>
              </w:rPr>
            </w:pPr>
            <w:r>
              <w:rPr>
                <w:rFonts w:hint="eastAsia"/>
                <w:color w:val="auto"/>
                <w:lang w:val="en-US" w:eastAsia="zh-CN"/>
              </w:rPr>
              <w:t>1.1 常规监测因子</w:t>
            </w:r>
          </w:p>
          <w:p w14:paraId="0641D628">
            <w:pPr>
              <w:pStyle w:val="22"/>
              <w:bidi w:val="0"/>
              <w:rPr>
                <w:rFonts w:hint="eastAsia"/>
                <w:color w:val="auto"/>
                <w:lang w:val="en-US" w:eastAsia="zh-CN"/>
              </w:rPr>
            </w:pPr>
            <w:r>
              <w:rPr>
                <w:rFonts w:hint="eastAsia"/>
                <w:color w:val="auto"/>
                <w:lang w:val="en-US" w:eastAsia="zh-CN"/>
              </w:rPr>
              <w:t>根据生态环境部办公厅2020年12月24日印发的《建设项目环境影响报告表编制技术指南（污染影响类）（试行）》中具体编制要求，常规污染物引用与建设项目距离近的有效数据，包括近3年的规划环境影响评价的监测数据，国家、地方环境空气质量监测网数据或生态环境主管部门公开发布的质量数据等。排放国家、地方环境空气质量标准中有标准限值要求的特征污染物时，引用建设项目周边5千米范围内近3年的现有监测数据。</w:t>
            </w:r>
          </w:p>
          <w:p w14:paraId="5B15E083">
            <w:pPr>
              <w:pStyle w:val="22"/>
              <w:ind w:firstLine="480"/>
              <w:rPr>
                <w:color w:val="auto"/>
              </w:rPr>
            </w:pPr>
            <w:r>
              <w:rPr>
                <w:rFonts w:hint="eastAsia"/>
                <w:color w:val="auto"/>
                <w:lang w:val="en-US" w:eastAsia="zh-CN"/>
              </w:rPr>
              <w:t>根据《环境影响评价技术导则 大气环境》（HJ2.2-2018）中“6.21项目所在区域达标判定，优先采用评价基准年国家或地方生态环境主管部门公布的数据质量公告或环境质量报告中的数据或结论”。</w:t>
            </w:r>
            <w:r>
              <w:rPr>
                <w:rFonts w:hint="eastAsia"/>
                <w:color w:val="auto"/>
              </w:rPr>
              <w:t>本次评价引用岳阳市生态环境主管部门已公布的岳阳市202</w:t>
            </w:r>
            <w:r>
              <w:rPr>
                <w:rFonts w:hint="eastAsia"/>
                <w:color w:val="auto"/>
                <w:lang w:val="en-US" w:eastAsia="zh-CN"/>
              </w:rPr>
              <w:t>4</w:t>
            </w:r>
            <w:r>
              <w:rPr>
                <w:rFonts w:hint="eastAsia"/>
                <w:color w:val="auto"/>
              </w:rPr>
              <w:t>年度生态环境质量公报中岳阳县监测数据，具体监测数据统计详见下表。</w:t>
            </w:r>
          </w:p>
          <w:p w14:paraId="721E1424">
            <w:pPr>
              <w:pStyle w:val="23"/>
              <w:rPr>
                <w:color w:val="auto"/>
              </w:rPr>
            </w:pPr>
            <w:r>
              <w:rPr>
                <w:rFonts w:hint="eastAsia"/>
                <w:color w:val="auto"/>
              </w:rPr>
              <w:t>表3-1  基本污染物环境质量现状统计表</w:t>
            </w:r>
          </w:p>
          <w:tbl>
            <w:tblPr>
              <w:tblStyle w:val="15"/>
              <w:tblW w:w="497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3112"/>
              <w:gridCol w:w="1184"/>
              <w:gridCol w:w="1069"/>
              <w:gridCol w:w="873"/>
              <w:gridCol w:w="758"/>
            </w:tblGrid>
            <w:tr w14:paraId="25FB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47" w:type="pct"/>
                  <w:vMerge w:val="restart"/>
                  <w:tcBorders>
                    <w:top w:val="single" w:color="auto" w:sz="4" w:space="0"/>
                    <w:left w:val="single" w:color="auto" w:sz="4" w:space="0"/>
                    <w:bottom w:val="single" w:color="auto" w:sz="4" w:space="0"/>
                    <w:right w:val="single" w:color="auto" w:sz="4" w:space="0"/>
                  </w:tcBorders>
                  <w:vAlign w:val="center"/>
                </w:tcPr>
                <w:p w14:paraId="363EAAF2">
                  <w:pPr>
                    <w:pStyle w:val="24"/>
                    <w:rPr>
                      <w:color w:val="auto"/>
                    </w:rPr>
                  </w:pPr>
                  <w:r>
                    <w:rPr>
                      <w:rFonts w:hint="eastAsia"/>
                      <w:color w:val="auto"/>
                    </w:rPr>
                    <w:t>污染物</w:t>
                  </w:r>
                </w:p>
              </w:tc>
              <w:tc>
                <w:tcPr>
                  <w:tcW w:w="1979" w:type="pct"/>
                  <w:vMerge w:val="restart"/>
                  <w:tcBorders>
                    <w:top w:val="single" w:color="auto" w:sz="4" w:space="0"/>
                    <w:left w:val="single" w:color="auto" w:sz="4" w:space="0"/>
                    <w:bottom w:val="single" w:color="auto" w:sz="4" w:space="0"/>
                    <w:right w:val="single" w:color="auto" w:sz="4" w:space="0"/>
                  </w:tcBorders>
                  <w:vAlign w:val="center"/>
                </w:tcPr>
                <w:p w14:paraId="7492389C">
                  <w:pPr>
                    <w:pStyle w:val="24"/>
                    <w:rPr>
                      <w:color w:val="auto"/>
                    </w:rPr>
                  </w:pPr>
                  <w:r>
                    <w:rPr>
                      <w:rFonts w:hint="eastAsia"/>
                      <w:color w:val="auto"/>
                    </w:rPr>
                    <w:t>年评价指标</w:t>
                  </w:r>
                </w:p>
              </w:tc>
              <w:tc>
                <w:tcPr>
                  <w:tcW w:w="753" w:type="pct"/>
                  <w:vMerge w:val="restart"/>
                  <w:tcBorders>
                    <w:top w:val="single" w:color="auto" w:sz="4" w:space="0"/>
                    <w:left w:val="single" w:color="auto" w:sz="4" w:space="0"/>
                    <w:bottom w:val="single" w:color="auto" w:sz="4" w:space="0"/>
                    <w:right w:val="single" w:color="auto" w:sz="4" w:space="0"/>
                  </w:tcBorders>
                  <w:vAlign w:val="center"/>
                </w:tcPr>
                <w:p w14:paraId="29AE809E">
                  <w:pPr>
                    <w:pStyle w:val="24"/>
                    <w:rPr>
                      <w:color w:val="auto"/>
                    </w:rPr>
                  </w:pPr>
                  <w:r>
                    <w:rPr>
                      <w:rFonts w:hint="eastAsia"/>
                      <w:color w:val="auto"/>
                    </w:rPr>
                    <w:t>现状浓度（</w:t>
                  </w:r>
                  <w:r>
                    <w:rPr>
                      <w:color w:val="auto"/>
                    </w:rPr>
                    <w:t>ug/m</w:t>
                  </w:r>
                  <w:r>
                    <w:rPr>
                      <w:color w:val="auto"/>
                      <w:vertAlign w:val="superscript"/>
                    </w:rPr>
                    <w:t>3</w:t>
                  </w:r>
                  <w:r>
                    <w:rPr>
                      <w:rFonts w:hint="eastAsia"/>
                      <w:color w:val="auto"/>
                    </w:rPr>
                    <w:t>）</w:t>
                  </w:r>
                </w:p>
              </w:tc>
              <w:tc>
                <w:tcPr>
                  <w:tcW w:w="680" w:type="pct"/>
                  <w:vMerge w:val="restart"/>
                  <w:tcBorders>
                    <w:top w:val="single" w:color="auto" w:sz="4" w:space="0"/>
                    <w:left w:val="single" w:color="auto" w:sz="4" w:space="0"/>
                    <w:bottom w:val="single" w:color="auto" w:sz="4" w:space="0"/>
                    <w:right w:val="single" w:color="auto" w:sz="4" w:space="0"/>
                  </w:tcBorders>
                  <w:vAlign w:val="center"/>
                </w:tcPr>
                <w:p w14:paraId="7AA45381">
                  <w:pPr>
                    <w:pStyle w:val="24"/>
                    <w:rPr>
                      <w:color w:val="auto"/>
                    </w:rPr>
                  </w:pPr>
                  <w:r>
                    <w:rPr>
                      <w:rFonts w:hint="eastAsia"/>
                      <w:color w:val="auto"/>
                    </w:rPr>
                    <w:t>标准值（</w:t>
                  </w:r>
                  <w:r>
                    <w:rPr>
                      <w:color w:val="auto"/>
                    </w:rPr>
                    <w:t>ug/m</w:t>
                  </w:r>
                  <w:r>
                    <w:rPr>
                      <w:color w:val="auto"/>
                      <w:vertAlign w:val="superscript"/>
                    </w:rPr>
                    <w:t>3</w:t>
                  </w:r>
                  <w:r>
                    <w:rPr>
                      <w:rFonts w:hint="eastAsia"/>
                      <w:color w:val="auto"/>
                    </w:rPr>
                    <w:t>）</w:t>
                  </w:r>
                </w:p>
              </w:tc>
              <w:tc>
                <w:tcPr>
                  <w:tcW w:w="555" w:type="pct"/>
                  <w:vMerge w:val="restart"/>
                  <w:tcBorders>
                    <w:top w:val="single" w:color="auto" w:sz="4" w:space="0"/>
                    <w:left w:val="single" w:color="auto" w:sz="4" w:space="0"/>
                    <w:bottom w:val="single" w:color="auto" w:sz="4" w:space="0"/>
                    <w:right w:val="single" w:color="auto" w:sz="4" w:space="0"/>
                  </w:tcBorders>
                  <w:vAlign w:val="center"/>
                </w:tcPr>
                <w:p w14:paraId="25C721FD">
                  <w:pPr>
                    <w:pStyle w:val="24"/>
                    <w:rPr>
                      <w:color w:val="auto"/>
                    </w:rPr>
                  </w:pPr>
                  <w:r>
                    <w:rPr>
                      <w:rFonts w:hint="eastAsia"/>
                      <w:color w:val="auto"/>
                    </w:rPr>
                    <w:t>占标率（</w:t>
                  </w:r>
                  <w:r>
                    <w:rPr>
                      <w:color w:val="auto"/>
                    </w:rPr>
                    <w:t>%</w:t>
                  </w:r>
                  <w:r>
                    <w:rPr>
                      <w:rFonts w:hint="eastAsia"/>
                      <w:color w:val="auto"/>
                    </w:rPr>
                    <w:t>）</w:t>
                  </w:r>
                </w:p>
              </w:tc>
              <w:tc>
                <w:tcPr>
                  <w:tcW w:w="482" w:type="pct"/>
                  <w:vMerge w:val="restart"/>
                  <w:tcBorders>
                    <w:top w:val="single" w:color="auto" w:sz="4" w:space="0"/>
                    <w:left w:val="single" w:color="auto" w:sz="4" w:space="0"/>
                    <w:bottom w:val="single" w:color="auto" w:sz="4" w:space="0"/>
                    <w:right w:val="single" w:color="auto" w:sz="4" w:space="0"/>
                  </w:tcBorders>
                  <w:vAlign w:val="center"/>
                </w:tcPr>
                <w:p w14:paraId="1C72C5DB">
                  <w:pPr>
                    <w:pStyle w:val="24"/>
                    <w:rPr>
                      <w:color w:val="auto"/>
                    </w:rPr>
                  </w:pPr>
                  <w:r>
                    <w:rPr>
                      <w:rFonts w:hint="eastAsia"/>
                      <w:color w:val="auto"/>
                    </w:rPr>
                    <w:t>达标情况</w:t>
                  </w:r>
                </w:p>
              </w:tc>
            </w:tr>
            <w:tr w14:paraId="70B4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547" w:type="pct"/>
                  <w:vMerge w:val="continue"/>
                  <w:tcBorders>
                    <w:top w:val="single" w:color="auto" w:sz="4" w:space="0"/>
                    <w:left w:val="single" w:color="auto" w:sz="4" w:space="0"/>
                    <w:bottom w:val="single" w:color="auto" w:sz="4" w:space="0"/>
                    <w:right w:val="single" w:color="auto" w:sz="4" w:space="0"/>
                  </w:tcBorders>
                  <w:vAlign w:val="center"/>
                </w:tcPr>
                <w:p w14:paraId="6AB64A1D">
                  <w:pPr>
                    <w:pStyle w:val="24"/>
                    <w:rPr>
                      <w:color w:val="auto"/>
                    </w:rPr>
                  </w:pPr>
                </w:p>
              </w:tc>
              <w:tc>
                <w:tcPr>
                  <w:tcW w:w="1979" w:type="pct"/>
                  <w:vMerge w:val="continue"/>
                  <w:tcBorders>
                    <w:top w:val="single" w:color="auto" w:sz="4" w:space="0"/>
                    <w:left w:val="single" w:color="auto" w:sz="4" w:space="0"/>
                    <w:bottom w:val="single" w:color="auto" w:sz="4" w:space="0"/>
                    <w:right w:val="single" w:color="auto" w:sz="4" w:space="0"/>
                  </w:tcBorders>
                  <w:vAlign w:val="center"/>
                </w:tcPr>
                <w:p w14:paraId="75CACCC6">
                  <w:pPr>
                    <w:pStyle w:val="24"/>
                    <w:rPr>
                      <w:color w:val="auto"/>
                    </w:rPr>
                  </w:pPr>
                </w:p>
              </w:tc>
              <w:tc>
                <w:tcPr>
                  <w:tcW w:w="753" w:type="pct"/>
                  <w:vMerge w:val="continue"/>
                  <w:tcBorders>
                    <w:top w:val="single" w:color="auto" w:sz="4" w:space="0"/>
                    <w:left w:val="single" w:color="auto" w:sz="4" w:space="0"/>
                    <w:bottom w:val="single" w:color="auto" w:sz="4" w:space="0"/>
                    <w:right w:val="single" w:color="auto" w:sz="4" w:space="0"/>
                  </w:tcBorders>
                  <w:vAlign w:val="center"/>
                </w:tcPr>
                <w:p w14:paraId="6AB78D5D">
                  <w:pPr>
                    <w:pStyle w:val="24"/>
                    <w:rPr>
                      <w:color w:val="auto"/>
                    </w:rPr>
                  </w:pPr>
                </w:p>
              </w:tc>
              <w:tc>
                <w:tcPr>
                  <w:tcW w:w="680" w:type="pct"/>
                  <w:vMerge w:val="continue"/>
                  <w:tcBorders>
                    <w:top w:val="single" w:color="auto" w:sz="4" w:space="0"/>
                    <w:left w:val="single" w:color="auto" w:sz="4" w:space="0"/>
                    <w:bottom w:val="single" w:color="auto" w:sz="4" w:space="0"/>
                    <w:right w:val="single" w:color="auto" w:sz="4" w:space="0"/>
                  </w:tcBorders>
                  <w:vAlign w:val="center"/>
                </w:tcPr>
                <w:p w14:paraId="48E01DA1">
                  <w:pPr>
                    <w:pStyle w:val="24"/>
                    <w:rPr>
                      <w:color w:val="auto"/>
                    </w:rPr>
                  </w:pPr>
                </w:p>
              </w:tc>
              <w:tc>
                <w:tcPr>
                  <w:tcW w:w="555" w:type="pct"/>
                  <w:vMerge w:val="continue"/>
                  <w:tcBorders>
                    <w:top w:val="single" w:color="auto" w:sz="4" w:space="0"/>
                    <w:left w:val="single" w:color="auto" w:sz="4" w:space="0"/>
                    <w:bottom w:val="single" w:color="auto" w:sz="4" w:space="0"/>
                    <w:right w:val="single" w:color="auto" w:sz="4" w:space="0"/>
                  </w:tcBorders>
                  <w:vAlign w:val="center"/>
                </w:tcPr>
                <w:p w14:paraId="5F2C6F9E">
                  <w:pPr>
                    <w:pStyle w:val="24"/>
                    <w:rPr>
                      <w:color w:val="auto"/>
                    </w:rPr>
                  </w:pPr>
                </w:p>
              </w:tc>
              <w:tc>
                <w:tcPr>
                  <w:tcW w:w="482" w:type="pct"/>
                  <w:vMerge w:val="continue"/>
                  <w:tcBorders>
                    <w:top w:val="single" w:color="auto" w:sz="4" w:space="0"/>
                    <w:left w:val="single" w:color="auto" w:sz="4" w:space="0"/>
                    <w:bottom w:val="single" w:color="auto" w:sz="4" w:space="0"/>
                    <w:right w:val="single" w:color="auto" w:sz="4" w:space="0"/>
                  </w:tcBorders>
                  <w:vAlign w:val="center"/>
                </w:tcPr>
                <w:p w14:paraId="0404B770">
                  <w:pPr>
                    <w:pStyle w:val="24"/>
                    <w:rPr>
                      <w:color w:val="auto"/>
                    </w:rPr>
                  </w:pPr>
                </w:p>
              </w:tc>
            </w:tr>
            <w:tr w14:paraId="196F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47" w:type="pct"/>
                  <w:tcBorders>
                    <w:top w:val="single" w:color="auto" w:sz="4" w:space="0"/>
                    <w:left w:val="single" w:color="auto" w:sz="4" w:space="0"/>
                    <w:bottom w:val="single" w:color="auto" w:sz="4" w:space="0"/>
                    <w:right w:val="single" w:color="auto" w:sz="4" w:space="0"/>
                  </w:tcBorders>
                  <w:vAlign w:val="center"/>
                </w:tcPr>
                <w:p w14:paraId="7D240593">
                  <w:pPr>
                    <w:pStyle w:val="24"/>
                    <w:rPr>
                      <w:color w:val="auto"/>
                      <w:szCs w:val="21"/>
                    </w:rPr>
                  </w:pPr>
                  <w:r>
                    <w:rPr>
                      <w:color w:val="auto"/>
                    </w:rPr>
                    <w:t>PM</w:t>
                  </w:r>
                  <w:r>
                    <w:rPr>
                      <w:color w:val="auto"/>
                      <w:vertAlign w:val="subscript"/>
                    </w:rPr>
                    <w:t>2.5</w:t>
                  </w:r>
                </w:p>
              </w:tc>
              <w:tc>
                <w:tcPr>
                  <w:tcW w:w="1979" w:type="pct"/>
                  <w:tcBorders>
                    <w:top w:val="single" w:color="auto" w:sz="4" w:space="0"/>
                    <w:left w:val="single" w:color="auto" w:sz="4" w:space="0"/>
                    <w:bottom w:val="single" w:color="auto" w:sz="4" w:space="0"/>
                    <w:right w:val="single" w:color="auto" w:sz="4" w:space="0"/>
                  </w:tcBorders>
                  <w:vAlign w:val="center"/>
                </w:tcPr>
                <w:p w14:paraId="0A28B08A">
                  <w:pPr>
                    <w:pStyle w:val="24"/>
                    <w:rPr>
                      <w:color w:val="auto"/>
                      <w:szCs w:val="21"/>
                    </w:rPr>
                  </w:pPr>
                  <w:r>
                    <w:rPr>
                      <w:rFonts w:hint="eastAsia"/>
                      <w:color w:val="auto"/>
                    </w:rPr>
                    <w:t>年平均质量浓度</w:t>
                  </w:r>
                </w:p>
              </w:tc>
              <w:tc>
                <w:tcPr>
                  <w:tcW w:w="753" w:type="pct"/>
                  <w:tcBorders>
                    <w:top w:val="single" w:color="auto" w:sz="4" w:space="0"/>
                    <w:left w:val="single" w:color="auto" w:sz="4" w:space="0"/>
                    <w:bottom w:val="single" w:color="auto" w:sz="4" w:space="0"/>
                    <w:right w:val="single" w:color="auto" w:sz="4" w:space="0"/>
                  </w:tcBorders>
                  <w:vAlign w:val="center"/>
                </w:tcPr>
                <w:p w14:paraId="69129E61">
                  <w:pPr>
                    <w:pStyle w:val="24"/>
                    <w:rPr>
                      <w:rFonts w:hint="eastAsia" w:eastAsia="宋体"/>
                      <w:color w:val="auto"/>
                      <w:lang w:val="en-US" w:eastAsia="zh-CN"/>
                    </w:rPr>
                  </w:pPr>
                  <w:r>
                    <w:rPr>
                      <w:rFonts w:hint="eastAsia"/>
                      <w:color w:val="auto"/>
                    </w:rPr>
                    <w:t>3</w:t>
                  </w:r>
                  <w:r>
                    <w:rPr>
                      <w:rFonts w:hint="eastAsia"/>
                      <w:color w:val="auto"/>
                      <w:lang w:val="en-US" w:eastAsia="zh-CN"/>
                    </w:rPr>
                    <w:t>3</w:t>
                  </w:r>
                </w:p>
              </w:tc>
              <w:tc>
                <w:tcPr>
                  <w:tcW w:w="680" w:type="pct"/>
                  <w:tcBorders>
                    <w:top w:val="single" w:color="auto" w:sz="4" w:space="0"/>
                    <w:left w:val="single" w:color="auto" w:sz="4" w:space="0"/>
                    <w:bottom w:val="single" w:color="auto" w:sz="4" w:space="0"/>
                    <w:right w:val="single" w:color="auto" w:sz="4" w:space="0"/>
                  </w:tcBorders>
                  <w:vAlign w:val="center"/>
                </w:tcPr>
                <w:p w14:paraId="237BC0B3">
                  <w:pPr>
                    <w:pStyle w:val="24"/>
                    <w:rPr>
                      <w:color w:val="auto"/>
                    </w:rPr>
                  </w:pPr>
                  <w:r>
                    <w:rPr>
                      <w:color w:val="auto"/>
                    </w:rPr>
                    <w:t>35</w:t>
                  </w:r>
                </w:p>
              </w:tc>
              <w:tc>
                <w:tcPr>
                  <w:tcW w:w="555" w:type="pct"/>
                  <w:tcBorders>
                    <w:top w:val="single" w:color="auto" w:sz="4" w:space="0"/>
                    <w:left w:val="single" w:color="auto" w:sz="4" w:space="0"/>
                    <w:bottom w:val="single" w:color="auto" w:sz="4" w:space="0"/>
                    <w:right w:val="single" w:color="auto" w:sz="4" w:space="0"/>
                  </w:tcBorders>
                  <w:vAlign w:val="center"/>
                </w:tcPr>
                <w:p w14:paraId="3DA198EB">
                  <w:pPr>
                    <w:pStyle w:val="24"/>
                    <w:rPr>
                      <w:rFonts w:hint="eastAsia" w:eastAsia="宋体"/>
                      <w:color w:val="auto"/>
                      <w:lang w:val="en-US" w:eastAsia="zh-CN"/>
                    </w:rPr>
                  </w:pPr>
                  <w:r>
                    <w:rPr>
                      <w:rFonts w:hint="eastAsia"/>
                      <w:color w:val="auto"/>
                    </w:rPr>
                    <w:t>9</w:t>
                  </w:r>
                  <w:r>
                    <w:rPr>
                      <w:rFonts w:hint="eastAsia"/>
                      <w:color w:val="auto"/>
                      <w:lang w:val="en-US" w:eastAsia="zh-CN"/>
                    </w:rPr>
                    <w:t>4</w:t>
                  </w:r>
                  <w:r>
                    <w:rPr>
                      <w:rFonts w:hint="eastAsia"/>
                      <w:color w:val="auto"/>
                    </w:rPr>
                    <w:t>.</w:t>
                  </w:r>
                  <w:r>
                    <w:rPr>
                      <w:rFonts w:hint="eastAsia"/>
                      <w:color w:val="auto"/>
                      <w:lang w:val="en-US" w:eastAsia="zh-CN"/>
                    </w:rPr>
                    <w:t>3</w:t>
                  </w:r>
                </w:p>
              </w:tc>
              <w:tc>
                <w:tcPr>
                  <w:tcW w:w="482" w:type="pct"/>
                  <w:tcBorders>
                    <w:top w:val="single" w:color="auto" w:sz="4" w:space="0"/>
                    <w:left w:val="single" w:color="auto" w:sz="4" w:space="0"/>
                    <w:bottom w:val="single" w:color="auto" w:sz="4" w:space="0"/>
                    <w:right w:val="single" w:color="auto" w:sz="4" w:space="0"/>
                  </w:tcBorders>
                  <w:vAlign w:val="center"/>
                </w:tcPr>
                <w:p w14:paraId="38DC7AD3">
                  <w:pPr>
                    <w:pStyle w:val="24"/>
                    <w:rPr>
                      <w:color w:val="auto"/>
                    </w:rPr>
                  </w:pPr>
                  <w:r>
                    <w:rPr>
                      <w:rFonts w:hint="eastAsia"/>
                      <w:color w:val="auto"/>
                    </w:rPr>
                    <w:t>达标</w:t>
                  </w:r>
                </w:p>
              </w:tc>
            </w:tr>
            <w:tr w14:paraId="36953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47" w:type="pct"/>
                  <w:tcBorders>
                    <w:top w:val="single" w:color="auto" w:sz="4" w:space="0"/>
                    <w:left w:val="single" w:color="auto" w:sz="4" w:space="0"/>
                    <w:bottom w:val="single" w:color="auto" w:sz="4" w:space="0"/>
                    <w:right w:val="single" w:color="auto" w:sz="4" w:space="0"/>
                  </w:tcBorders>
                  <w:vAlign w:val="center"/>
                </w:tcPr>
                <w:p w14:paraId="0107B19D">
                  <w:pPr>
                    <w:pStyle w:val="24"/>
                    <w:rPr>
                      <w:color w:val="auto"/>
                      <w:szCs w:val="21"/>
                    </w:rPr>
                  </w:pPr>
                  <w:r>
                    <w:rPr>
                      <w:color w:val="auto"/>
                    </w:rPr>
                    <w:t>PM</w:t>
                  </w:r>
                  <w:r>
                    <w:rPr>
                      <w:color w:val="auto"/>
                      <w:vertAlign w:val="subscript"/>
                    </w:rPr>
                    <w:t>10</w:t>
                  </w:r>
                </w:p>
              </w:tc>
              <w:tc>
                <w:tcPr>
                  <w:tcW w:w="1979" w:type="pct"/>
                  <w:tcBorders>
                    <w:top w:val="single" w:color="auto" w:sz="4" w:space="0"/>
                    <w:left w:val="single" w:color="auto" w:sz="4" w:space="0"/>
                    <w:bottom w:val="single" w:color="auto" w:sz="4" w:space="0"/>
                    <w:right w:val="single" w:color="auto" w:sz="4" w:space="0"/>
                  </w:tcBorders>
                  <w:vAlign w:val="center"/>
                </w:tcPr>
                <w:p w14:paraId="3DBE8B3E">
                  <w:pPr>
                    <w:pStyle w:val="24"/>
                    <w:rPr>
                      <w:color w:val="auto"/>
                      <w:szCs w:val="21"/>
                    </w:rPr>
                  </w:pPr>
                  <w:r>
                    <w:rPr>
                      <w:rFonts w:hint="eastAsia"/>
                      <w:color w:val="auto"/>
                    </w:rPr>
                    <w:t>年平均质量浓度</w:t>
                  </w:r>
                </w:p>
              </w:tc>
              <w:tc>
                <w:tcPr>
                  <w:tcW w:w="753" w:type="pct"/>
                  <w:tcBorders>
                    <w:top w:val="single" w:color="auto" w:sz="4" w:space="0"/>
                    <w:left w:val="single" w:color="auto" w:sz="4" w:space="0"/>
                    <w:bottom w:val="single" w:color="auto" w:sz="4" w:space="0"/>
                    <w:right w:val="single" w:color="auto" w:sz="4" w:space="0"/>
                  </w:tcBorders>
                  <w:vAlign w:val="center"/>
                </w:tcPr>
                <w:p w14:paraId="1EED178A">
                  <w:pPr>
                    <w:pStyle w:val="24"/>
                    <w:rPr>
                      <w:rFonts w:hint="eastAsia" w:eastAsia="宋体"/>
                      <w:color w:val="auto"/>
                      <w:szCs w:val="21"/>
                      <w:lang w:val="en-US" w:eastAsia="zh-CN"/>
                    </w:rPr>
                  </w:pPr>
                  <w:r>
                    <w:rPr>
                      <w:rFonts w:hint="eastAsia"/>
                      <w:color w:val="auto"/>
                      <w:szCs w:val="21"/>
                    </w:rPr>
                    <w:t>4</w:t>
                  </w:r>
                  <w:r>
                    <w:rPr>
                      <w:rFonts w:hint="eastAsia"/>
                      <w:color w:val="auto"/>
                      <w:szCs w:val="21"/>
                      <w:lang w:val="en-US" w:eastAsia="zh-CN"/>
                    </w:rPr>
                    <w:t>5</w:t>
                  </w:r>
                </w:p>
              </w:tc>
              <w:tc>
                <w:tcPr>
                  <w:tcW w:w="680" w:type="pct"/>
                  <w:tcBorders>
                    <w:top w:val="single" w:color="auto" w:sz="4" w:space="0"/>
                    <w:left w:val="single" w:color="auto" w:sz="4" w:space="0"/>
                    <w:bottom w:val="single" w:color="auto" w:sz="4" w:space="0"/>
                    <w:right w:val="single" w:color="auto" w:sz="4" w:space="0"/>
                  </w:tcBorders>
                  <w:vAlign w:val="center"/>
                </w:tcPr>
                <w:p w14:paraId="2A2FD312">
                  <w:pPr>
                    <w:pStyle w:val="24"/>
                    <w:rPr>
                      <w:color w:val="auto"/>
                      <w:szCs w:val="21"/>
                    </w:rPr>
                  </w:pPr>
                  <w:r>
                    <w:rPr>
                      <w:color w:val="auto"/>
                    </w:rPr>
                    <w:t>70</w:t>
                  </w:r>
                </w:p>
              </w:tc>
              <w:tc>
                <w:tcPr>
                  <w:tcW w:w="555" w:type="pct"/>
                  <w:tcBorders>
                    <w:top w:val="single" w:color="auto" w:sz="4" w:space="0"/>
                    <w:left w:val="single" w:color="auto" w:sz="4" w:space="0"/>
                    <w:bottom w:val="single" w:color="auto" w:sz="4" w:space="0"/>
                    <w:right w:val="single" w:color="auto" w:sz="4" w:space="0"/>
                  </w:tcBorders>
                  <w:vAlign w:val="center"/>
                </w:tcPr>
                <w:p w14:paraId="164BBC9F">
                  <w:pPr>
                    <w:pStyle w:val="24"/>
                    <w:rPr>
                      <w:rFonts w:hint="default" w:eastAsia="宋体"/>
                      <w:color w:val="auto"/>
                      <w:szCs w:val="21"/>
                      <w:lang w:val="en-US" w:eastAsia="zh-CN"/>
                    </w:rPr>
                  </w:pPr>
                  <w:r>
                    <w:rPr>
                      <w:rFonts w:hint="eastAsia"/>
                      <w:color w:val="auto"/>
                      <w:lang w:val="en-US" w:eastAsia="zh-CN"/>
                    </w:rPr>
                    <w:t>64.3</w:t>
                  </w:r>
                </w:p>
              </w:tc>
              <w:tc>
                <w:tcPr>
                  <w:tcW w:w="482" w:type="pct"/>
                  <w:tcBorders>
                    <w:top w:val="single" w:color="auto" w:sz="4" w:space="0"/>
                    <w:left w:val="single" w:color="auto" w:sz="4" w:space="0"/>
                    <w:bottom w:val="single" w:color="auto" w:sz="4" w:space="0"/>
                    <w:right w:val="single" w:color="auto" w:sz="4" w:space="0"/>
                  </w:tcBorders>
                  <w:vAlign w:val="center"/>
                </w:tcPr>
                <w:p w14:paraId="14F076DA">
                  <w:pPr>
                    <w:pStyle w:val="24"/>
                    <w:rPr>
                      <w:color w:val="auto"/>
                      <w:szCs w:val="21"/>
                    </w:rPr>
                  </w:pPr>
                  <w:r>
                    <w:rPr>
                      <w:rFonts w:hint="eastAsia"/>
                      <w:color w:val="auto"/>
                    </w:rPr>
                    <w:t>达标</w:t>
                  </w:r>
                </w:p>
              </w:tc>
            </w:tr>
            <w:tr w14:paraId="6B5F8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47" w:type="pct"/>
                  <w:tcBorders>
                    <w:top w:val="single" w:color="auto" w:sz="4" w:space="0"/>
                    <w:left w:val="single" w:color="auto" w:sz="4" w:space="0"/>
                    <w:bottom w:val="single" w:color="auto" w:sz="4" w:space="0"/>
                    <w:right w:val="single" w:color="auto" w:sz="4" w:space="0"/>
                  </w:tcBorders>
                  <w:vAlign w:val="center"/>
                </w:tcPr>
                <w:p w14:paraId="786420DF">
                  <w:pPr>
                    <w:pStyle w:val="24"/>
                    <w:rPr>
                      <w:color w:val="auto"/>
                      <w:szCs w:val="21"/>
                    </w:rPr>
                  </w:pPr>
                  <w:r>
                    <w:rPr>
                      <w:color w:val="auto"/>
                    </w:rPr>
                    <w:t>O</w:t>
                  </w:r>
                  <w:r>
                    <w:rPr>
                      <w:color w:val="auto"/>
                      <w:vertAlign w:val="subscript"/>
                    </w:rPr>
                    <w:t>3</w:t>
                  </w:r>
                </w:p>
              </w:tc>
              <w:tc>
                <w:tcPr>
                  <w:tcW w:w="1979" w:type="pct"/>
                  <w:tcBorders>
                    <w:top w:val="single" w:color="auto" w:sz="4" w:space="0"/>
                    <w:left w:val="single" w:color="auto" w:sz="4" w:space="0"/>
                    <w:bottom w:val="single" w:color="auto" w:sz="4" w:space="0"/>
                    <w:right w:val="single" w:color="auto" w:sz="4" w:space="0"/>
                  </w:tcBorders>
                  <w:vAlign w:val="center"/>
                </w:tcPr>
                <w:p w14:paraId="2ABC3F25">
                  <w:pPr>
                    <w:pStyle w:val="24"/>
                    <w:rPr>
                      <w:color w:val="auto"/>
                      <w:szCs w:val="21"/>
                    </w:rPr>
                  </w:pPr>
                  <w:r>
                    <w:rPr>
                      <w:color w:val="auto"/>
                    </w:rPr>
                    <w:t>90</w:t>
                  </w:r>
                  <w:r>
                    <w:rPr>
                      <w:rFonts w:hint="eastAsia"/>
                      <w:color w:val="auto"/>
                    </w:rPr>
                    <w:t>百分位数</w:t>
                  </w:r>
                  <w:r>
                    <w:rPr>
                      <w:color w:val="auto"/>
                    </w:rPr>
                    <w:t>8</w:t>
                  </w:r>
                  <w:r>
                    <w:rPr>
                      <w:rFonts w:hint="eastAsia"/>
                      <w:color w:val="auto"/>
                    </w:rPr>
                    <w:t>小时平均质量浓度</w:t>
                  </w:r>
                </w:p>
              </w:tc>
              <w:tc>
                <w:tcPr>
                  <w:tcW w:w="753" w:type="pct"/>
                  <w:tcBorders>
                    <w:top w:val="single" w:color="auto" w:sz="4" w:space="0"/>
                    <w:left w:val="single" w:color="auto" w:sz="4" w:space="0"/>
                    <w:bottom w:val="single" w:color="auto" w:sz="4" w:space="0"/>
                    <w:right w:val="single" w:color="auto" w:sz="4" w:space="0"/>
                  </w:tcBorders>
                  <w:vAlign w:val="center"/>
                </w:tcPr>
                <w:p w14:paraId="08F3FD77">
                  <w:pPr>
                    <w:pStyle w:val="24"/>
                    <w:rPr>
                      <w:rFonts w:hint="default" w:eastAsia="宋体"/>
                      <w:color w:val="auto"/>
                      <w:szCs w:val="21"/>
                      <w:lang w:val="en-US" w:eastAsia="zh-CN"/>
                    </w:rPr>
                  </w:pPr>
                  <w:r>
                    <w:rPr>
                      <w:rFonts w:hint="eastAsia"/>
                      <w:color w:val="auto"/>
                      <w:lang w:val="en-US" w:eastAsia="zh-CN"/>
                    </w:rPr>
                    <w:t>142</w:t>
                  </w:r>
                </w:p>
              </w:tc>
              <w:tc>
                <w:tcPr>
                  <w:tcW w:w="680" w:type="pct"/>
                  <w:tcBorders>
                    <w:top w:val="single" w:color="auto" w:sz="4" w:space="0"/>
                    <w:left w:val="single" w:color="auto" w:sz="4" w:space="0"/>
                    <w:bottom w:val="single" w:color="auto" w:sz="4" w:space="0"/>
                    <w:right w:val="single" w:color="auto" w:sz="4" w:space="0"/>
                  </w:tcBorders>
                  <w:vAlign w:val="center"/>
                </w:tcPr>
                <w:p w14:paraId="612622A5">
                  <w:pPr>
                    <w:pStyle w:val="24"/>
                    <w:rPr>
                      <w:color w:val="auto"/>
                      <w:szCs w:val="21"/>
                    </w:rPr>
                  </w:pPr>
                  <w:r>
                    <w:rPr>
                      <w:color w:val="auto"/>
                    </w:rPr>
                    <w:t>160</w:t>
                  </w:r>
                </w:p>
              </w:tc>
              <w:tc>
                <w:tcPr>
                  <w:tcW w:w="555" w:type="pct"/>
                  <w:tcBorders>
                    <w:top w:val="single" w:color="auto" w:sz="4" w:space="0"/>
                    <w:left w:val="single" w:color="auto" w:sz="4" w:space="0"/>
                    <w:bottom w:val="single" w:color="auto" w:sz="4" w:space="0"/>
                    <w:right w:val="single" w:color="auto" w:sz="4" w:space="0"/>
                  </w:tcBorders>
                  <w:vAlign w:val="center"/>
                </w:tcPr>
                <w:p w14:paraId="7AA32391">
                  <w:pPr>
                    <w:pStyle w:val="24"/>
                    <w:rPr>
                      <w:rFonts w:hint="default" w:eastAsia="宋体"/>
                      <w:color w:val="auto"/>
                      <w:szCs w:val="21"/>
                      <w:lang w:val="en-US" w:eastAsia="zh-CN"/>
                    </w:rPr>
                  </w:pPr>
                  <w:r>
                    <w:rPr>
                      <w:rFonts w:hint="eastAsia"/>
                      <w:color w:val="auto"/>
                      <w:szCs w:val="21"/>
                    </w:rPr>
                    <w:t>8</w:t>
                  </w:r>
                  <w:r>
                    <w:rPr>
                      <w:rFonts w:hint="eastAsia"/>
                      <w:color w:val="auto"/>
                      <w:szCs w:val="21"/>
                      <w:lang w:val="en-US" w:eastAsia="zh-CN"/>
                    </w:rPr>
                    <w:t>8.8</w:t>
                  </w:r>
                </w:p>
              </w:tc>
              <w:tc>
                <w:tcPr>
                  <w:tcW w:w="482" w:type="pct"/>
                  <w:tcBorders>
                    <w:top w:val="single" w:color="auto" w:sz="4" w:space="0"/>
                    <w:left w:val="single" w:color="auto" w:sz="4" w:space="0"/>
                    <w:bottom w:val="single" w:color="auto" w:sz="4" w:space="0"/>
                    <w:right w:val="single" w:color="auto" w:sz="4" w:space="0"/>
                  </w:tcBorders>
                  <w:vAlign w:val="center"/>
                </w:tcPr>
                <w:p w14:paraId="4731FA88">
                  <w:pPr>
                    <w:pStyle w:val="24"/>
                    <w:rPr>
                      <w:color w:val="auto"/>
                      <w:szCs w:val="21"/>
                    </w:rPr>
                  </w:pPr>
                  <w:r>
                    <w:rPr>
                      <w:rFonts w:hint="eastAsia"/>
                      <w:color w:val="auto"/>
                    </w:rPr>
                    <w:t>达标</w:t>
                  </w:r>
                </w:p>
              </w:tc>
            </w:tr>
            <w:tr w14:paraId="6091F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47" w:type="pct"/>
                  <w:tcBorders>
                    <w:top w:val="single" w:color="auto" w:sz="4" w:space="0"/>
                    <w:left w:val="single" w:color="auto" w:sz="4" w:space="0"/>
                    <w:bottom w:val="single" w:color="auto" w:sz="4" w:space="0"/>
                    <w:right w:val="single" w:color="auto" w:sz="4" w:space="0"/>
                  </w:tcBorders>
                  <w:vAlign w:val="center"/>
                </w:tcPr>
                <w:p w14:paraId="7E60DFE0">
                  <w:pPr>
                    <w:pStyle w:val="24"/>
                    <w:rPr>
                      <w:color w:val="auto"/>
                    </w:rPr>
                  </w:pPr>
                  <w:r>
                    <w:rPr>
                      <w:color w:val="auto"/>
                    </w:rPr>
                    <w:t>NO</w:t>
                  </w:r>
                  <w:r>
                    <w:rPr>
                      <w:color w:val="auto"/>
                      <w:vertAlign w:val="subscript"/>
                    </w:rPr>
                    <w:t>2</w:t>
                  </w:r>
                </w:p>
              </w:tc>
              <w:tc>
                <w:tcPr>
                  <w:tcW w:w="1979" w:type="pct"/>
                  <w:tcBorders>
                    <w:top w:val="single" w:color="auto" w:sz="4" w:space="0"/>
                    <w:left w:val="single" w:color="auto" w:sz="4" w:space="0"/>
                    <w:bottom w:val="single" w:color="auto" w:sz="4" w:space="0"/>
                    <w:right w:val="single" w:color="auto" w:sz="4" w:space="0"/>
                  </w:tcBorders>
                  <w:vAlign w:val="center"/>
                </w:tcPr>
                <w:p w14:paraId="40447124">
                  <w:pPr>
                    <w:pStyle w:val="24"/>
                    <w:rPr>
                      <w:color w:val="auto"/>
                    </w:rPr>
                  </w:pPr>
                  <w:r>
                    <w:rPr>
                      <w:rFonts w:hint="eastAsia"/>
                      <w:color w:val="auto"/>
                    </w:rPr>
                    <w:t>年平均质量浓度</w:t>
                  </w:r>
                </w:p>
              </w:tc>
              <w:tc>
                <w:tcPr>
                  <w:tcW w:w="753" w:type="pct"/>
                  <w:tcBorders>
                    <w:top w:val="single" w:color="auto" w:sz="4" w:space="0"/>
                    <w:left w:val="single" w:color="auto" w:sz="4" w:space="0"/>
                    <w:bottom w:val="single" w:color="auto" w:sz="4" w:space="0"/>
                    <w:right w:val="single" w:color="auto" w:sz="4" w:space="0"/>
                  </w:tcBorders>
                  <w:vAlign w:val="center"/>
                </w:tcPr>
                <w:p w14:paraId="47496C60">
                  <w:pPr>
                    <w:pStyle w:val="24"/>
                    <w:rPr>
                      <w:rFonts w:hint="eastAsia" w:eastAsia="宋体"/>
                      <w:color w:val="auto"/>
                      <w:lang w:val="en-US" w:eastAsia="zh-CN"/>
                    </w:rPr>
                  </w:pPr>
                  <w:r>
                    <w:rPr>
                      <w:rFonts w:hint="eastAsia"/>
                      <w:color w:val="auto"/>
                    </w:rPr>
                    <w:t>1</w:t>
                  </w:r>
                  <w:r>
                    <w:rPr>
                      <w:rFonts w:hint="eastAsia"/>
                      <w:color w:val="auto"/>
                      <w:lang w:val="en-US" w:eastAsia="zh-CN"/>
                    </w:rPr>
                    <w:t>6</w:t>
                  </w:r>
                </w:p>
              </w:tc>
              <w:tc>
                <w:tcPr>
                  <w:tcW w:w="680" w:type="pct"/>
                  <w:tcBorders>
                    <w:top w:val="single" w:color="auto" w:sz="4" w:space="0"/>
                    <w:left w:val="single" w:color="auto" w:sz="4" w:space="0"/>
                    <w:bottom w:val="single" w:color="auto" w:sz="4" w:space="0"/>
                    <w:right w:val="single" w:color="auto" w:sz="4" w:space="0"/>
                  </w:tcBorders>
                  <w:vAlign w:val="center"/>
                </w:tcPr>
                <w:p w14:paraId="676721A2">
                  <w:pPr>
                    <w:pStyle w:val="24"/>
                    <w:rPr>
                      <w:color w:val="auto"/>
                    </w:rPr>
                  </w:pPr>
                  <w:r>
                    <w:rPr>
                      <w:color w:val="auto"/>
                    </w:rPr>
                    <w:t>40</w:t>
                  </w:r>
                </w:p>
              </w:tc>
              <w:tc>
                <w:tcPr>
                  <w:tcW w:w="555" w:type="pct"/>
                  <w:tcBorders>
                    <w:top w:val="single" w:color="auto" w:sz="4" w:space="0"/>
                    <w:left w:val="single" w:color="auto" w:sz="4" w:space="0"/>
                    <w:bottom w:val="single" w:color="auto" w:sz="4" w:space="0"/>
                    <w:right w:val="single" w:color="auto" w:sz="4" w:space="0"/>
                  </w:tcBorders>
                  <w:vAlign w:val="center"/>
                </w:tcPr>
                <w:p w14:paraId="6EDC281E">
                  <w:pPr>
                    <w:pStyle w:val="24"/>
                    <w:rPr>
                      <w:rFonts w:hint="eastAsia" w:eastAsia="宋体"/>
                      <w:color w:val="auto"/>
                      <w:lang w:val="en-US" w:eastAsia="zh-CN"/>
                    </w:rPr>
                  </w:pPr>
                  <w:r>
                    <w:rPr>
                      <w:rFonts w:hint="eastAsia"/>
                      <w:color w:val="auto"/>
                    </w:rPr>
                    <w:t>4</w:t>
                  </w:r>
                  <w:r>
                    <w:rPr>
                      <w:rFonts w:hint="eastAsia"/>
                      <w:color w:val="auto"/>
                      <w:lang w:val="en-US" w:eastAsia="zh-CN"/>
                    </w:rPr>
                    <w:t>0</w:t>
                  </w:r>
                </w:p>
              </w:tc>
              <w:tc>
                <w:tcPr>
                  <w:tcW w:w="482" w:type="pct"/>
                  <w:tcBorders>
                    <w:top w:val="single" w:color="auto" w:sz="4" w:space="0"/>
                    <w:left w:val="single" w:color="auto" w:sz="4" w:space="0"/>
                    <w:bottom w:val="single" w:color="auto" w:sz="4" w:space="0"/>
                    <w:right w:val="single" w:color="auto" w:sz="4" w:space="0"/>
                  </w:tcBorders>
                  <w:vAlign w:val="center"/>
                </w:tcPr>
                <w:p w14:paraId="7018B441">
                  <w:pPr>
                    <w:pStyle w:val="24"/>
                    <w:rPr>
                      <w:color w:val="auto"/>
                    </w:rPr>
                  </w:pPr>
                  <w:r>
                    <w:rPr>
                      <w:rFonts w:hint="eastAsia"/>
                      <w:color w:val="auto"/>
                    </w:rPr>
                    <w:t>达标</w:t>
                  </w:r>
                </w:p>
              </w:tc>
            </w:tr>
            <w:tr w14:paraId="2502E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47" w:type="pct"/>
                  <w:tcBorders>
                    <w:top w:val="single" w:color="auto" w:sz="4" w:space="0"/>
                    <w:left w:val="single" w:color="auto" w:sz="4" w:space="0"/>
                    <w:bottom w:val="single" w:color="auto" w:sz="4" w:space="0"/>
                    <w:right w:val="single" w:color="auto" w:sz="4" w:space="0"/>
                  </w:tcBorders>
                  <w:vAlign w:val="center"/>
                </w:tcPr>
                <w:p w14:paraId="5D8312A4">
                  <w:pPr>
                    <w:pStyle w:val="24"/>
                    <w:rPr>
                      <w:color w:val="auto"/>
                      <w:szCs w:val="21"/>
                    </w:rPr>
                  </w:pPr>
                  <w:r>
                    <w:rPr>
                      <w:color w:val="auto"/>
                    </w:rPr>
                    <w:t>SO</w:t>
                  </w:r>
                  <w:r>
                    <w:rPr>
                      <w:color w:val="auto"/>
                      <w:vertAlign w:val="subscript"/>
                    </w:rPr>
                    <w:t>2</w:t>
                  </w:r>
                </w:p>
              </w:tc>
              <w:tc>
                <w:tcPr>
                  <w:tcW w:w="1979" w:type="pct"/>
                  <w:tcBorders>
                    <w:top w:val="single" w:color="auto" w:sz="4" w:space="0"/>
                    <w:left w:val="single" w:color="auto" w:sz="4" w:space="0"/>
                    <w:bottom w:val="single" w:color="auto" w:sz="4" w:space="0"/>
                    <w:right w:val="single" w:color="auto" w:sz="4" w:space="0"/>
                  </w:tcBorders>
                  <w:vAlign w:val="center"/>
                </w:tcPr>
                <w:p w14:paraId="44792A83">
                  <w:pPr>
                    <w:pStyle w:val="24"/>
                    <w:rPr>
                      <w:color w:val="auto"/>
                      <w:szCs w:val="21"/>
                    </w:rPr>
                  </w:pPr>
                  <w:r>
                    <w:rPr>
                      <w:rFonts w:hint="eastAsia"/>
                      <w:color w:val="auto"/>
                    </w:rPr>
                    <w:t>年平均质量浓度</w:t>
                  </w:r>
                </w:p>
              </w:tc>
              <w:tc>
                <w:tcPr>
                  <w:tcW w:w="753" w:type="pct"/>
                  <w:tcBorders>
                    <w:top w:val="single" w:color="auto" w:sz="4" w:space="0"/>
                    <w:left w:val="single" w:color="auto" w:sz="4" w:space="0"/>
                    <w:bottom w:val="single" w:color="auto" w:sz="4" w:space="0"/>
                    <w:right w:val="single" w:color="auto" w:sz="4" w:space="0"/>
                  </w:tcBorders>
                  <w:vAlign w:val="center"/>
                </w:tcPr>
                <w:p w14:paraId="50237056">
                  <w:pPr>
                    <w:pStyle w:val="24"/>
                    <w:rPr>
                      <w:rFonts w:hint="eastAsia" w:eastAsia="宋体"/>
                      <w:color w:val="auto"/>
                      <w:szCs w:val="21"/>
                      <w:lang w:eastAsia="zh-CN"/>
                    </w:rPr>
                  </w:pPr>
                  <w:r>
                    <w:rPr>
                      <w:rFonts w:hint="eastAsia"/>
                      <w:color w:val="auto"/>
                      <w:lang w:val="en-US" w:eastAsia="zh-CN"/>
                    </w:rPr>
                    <w:t>6</w:t>
                  </w:r>
                </w:p>
              </w:tc>
              <w:tc>
                <w:tcPr>
                  <w:tcW w:w="680" w:type="pct"/>
                  <w:tcBorders>
                    <w:top w:val="single" w:color="auto" w:sz="4" w:space="0"/>
                    <w:left w:val="single" w:color="auto" w:sz="4" w:space="0"/>
                    <w:bottom w:val="single" w:color="auto" w:sz="4" w:space="0"/>
                    <w:right w:val="single" w:color="auto" w:sz="4" w:space="0"/>
                  </w:tcBorders>
                  <w:vAlign w:val="center"/>
                </w:tcPr>
                <w:p w14:paraId="0F2B21B2">
                  <w:pPr>
                    <w:pStyle w:val="24"/>
                    <w:rPr>
                      <w:color w:val="auto"/>
                      <w:szCs w:val="21"/>
                    </w:rPr>
                  </w:pPr>
                  <w:r>
                    <w:rPr>
                      <w:color w:val="auto"/>
                    </w:rPr>
                    <w:t>60</w:t>
                  </w:r>
                </w:p>
              </w:tc>
              <w:tc>
                <w:tcPr>
                  <w:tcW w:w="555" w:type="pct"/>
                  <w:tcBorders>
                    <w:top w:val="single" w:color="auto" w:sz="4" w:space="0"/>
                    <w:left w:val="single" w:color="auto" w:sz="4" w:space="0"/>
                    <w:bottom w:val="single" w:color="auto" w:sz="4" w:space="0"/>
                    <w:right w:val="single" w:color="auto" w:sz="4" w:space="0"/>
                  </w:tcBorders>
                  <w:vAlign w:val="center"/>
                </w:tcPr>
                <w:p w14:paraId="235EB2E0">
                  <w:pPr>
                    <w:pStyle w:val="24"/>
                    <w:rPr>
                      <w:rFonts w:hint="default" w:eastAsia="宋体"/>
                      <w:color w:val="auto"/>
                      <w:szCs w:val="21"/>
                      <w:lang w:val="en-US" w:eastAsia="zh-CN"/>
                    </w:rPr>
                  </w:pPr>
                  <w:r>
                    <w:rPr>
                      <w:rFonts w:hint="eastAsia"/>
                      <w:color w:val="auto"/>
                      <w:lang w:val="en-US" w:eastAsia="zh-CN"/>
                    </w:rPr>
                    <w:t>10</w:t>
                  </w:r>
                </w:p>
              </w:tc>
              <w:tc>
                <w:tcPr>
                  <w:tcW w:w="482" w:type="pct"/>
                  <w:tcBorders>
                    <w:top w:val="single" w:color="auto" w:sz="4" w:space="0"/>
                    <w:left w:val="single" w:color="auto" w:sz="4" w:space="0"/>
                    <w:bottom w:val="single" w:color="auto" w:sz="4" w:space="0"/>
                    <w:right w:val="single" w:color="auto" w:sz="4" w:space="0"/>
                  </w:tcBorders>
                  <w:vAlign w:val="center"/>
                </w:tcPr>
                <w:p w14:paraId="13A0181E">
                  <w:pPr>
                    <w:pStyle w:val="24"/>
                    <w:rPr>
                      <w:color w:val="auto"/>
                    </w:rPr>
                  </w:pPr>
                  <w:r>
                    <w:rPr>
                      <w:rFonts w:hint="eastAsia"/>
                      <w:color w:val="auto"/>
                    </w:rPr>
                    <w:t>达标</w:t>
                  </w:r>
                </w:p>
              </w:tc>
            </w:tr>
            <w:tr w14:paraId="26F20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547" w:type="pct"/>
                  <w:tcBorders>
                    <w:top w:val="single" w:color="auto" w:sz="4" w:space="0"/>
                    <w:left w:val="single" w:color="auto" w:sz="4" w:space="0"/>
                    <w:bottom w:val="single" w:color="auto" w:sz="4" w:space="0"/>
                    <w:right w:val="single" w:color="auto" w:sz="4" w:space="0"/>
                  </w:tcBorders>
                  <w:vAlign w:val="center"/>
                </w:tcPr>
                <w:p w14:paraId="35518C37">
                  <w:pPr>
                    <w:pStyle w:val="24"/>
                    <w:rPr>
                      <w:color w:val="auto"/>
                    </w:rPr>
                  </w:pPr>
                  <w:r>
                    <w:rPr>
                      <w:color w:val="auto"/>
                    </w:rPr>
                    <w:t>CO</w:t>
                  </w:r>
                </w:p>
              </w:tc>
              <w:tc>
                <w:tcPr>
                  <w:tcW w:w="1979" w:type="pct"/>
                  <w:tcBorders>
                    <w:top w:val="single" w:color="auto" w:sz="4" w:space="0"/>
                    <w:left w:val="single" w:color="auto" w:sz="4" w:space="0"/>
                    <w:bottom w:val="single" w:color="auto" w:sz="4" w:space="0"/>
                    <w:right w:val="single" w:color="auto" w:sz="4" w:space="0"/>
                  </w:tcBorders>
                  <w:vAlign w:val="center"/>
                </w:tcPr>
                <w:p w14:paraId="197DC8FB">
                  <w:pPr>
                    <w:pStyle w:val="24"/>
                    <w:rPr>
                      <w:color w:val="auto"/>
                    </w:rPr>
                  </w:pPr>
                  <w:r>
                    <w:rPr>
                      <w:color w:val="auto"/>
                    </w:rPr>
                    <w:t>95</w:t>
                  </w:r>
                  <w:r>
                    <w:rPr>
                      <w:rFonts w:hint="eastAsia"/>
                      <w:color w:val="auto"/>
                    </w:rPr>
                    <w:t>百分位数日平均质量浓度</w:t>
                  </w:r>
                </w:p>
              </w:tc>
              <w:tc>
                <w:tcPr>
                  <w:tcW w:w="753" w:type="pct"/>
                  <w:tcBorders>
                    <w:top w:val="single" w:color="auto" w:sz="4" w:space="0"/>
                    <w:left w:val="single" w:color="auto" w:sz="4" w:space="0"/>
                    <w:bottom w:val="single" w:color="auto" w:sz="4" w:space="0"/>
                    <w:right w:val="single" w:color="auto" w:sz="4" w:space="0"/>
                  </w:tcBorders>
                  <w:vAlign w:val="center"/>
                </w:tcPr>
                <w:p w14:paraId="352A0AC6">
                  <w:pPr>
                    <w:pStyle w:val="24"/>
                    <w:rPr>
                      <w:color w:val="auto"/>
                    </w:rPr>
                  </w:pPr>
                  <w:r>
                    <w:rPr>
                      <w:rFonts w:hint="eastAsia"/>
                      <w:color w:val="auto"/>
                      <w:lang w:val="en-US" w:eastAsia="zh-CN"/>
                    </w:rPr>
                    <w:t>1</w:t>
                  </w:r>
                  <w:r>
                    <w:rPr>
                      <w:rFonts w:hint="eastAsia"/>
                      <w:color w:val="auto"/>
                    </w:rPr>
                    <w:t>00</w:t>
                  </w:r>
                </w:p>
              </w:tc>
              <w:tc>
                <w:tcPr>
                  <w:tcW w:w="680" w:type="pct"/>
                  <w:tcBorders>
                    <w:top w:val="single" w:color="auto" w:sz="4" w:space="0"/>
                    <w:left w:val="single" w:color="auto" w:sz="4" w:space="0"/>
                    <w:bottom w:val="single" w:color="auto" w:sz="4" w:space="0"/>
                    <w:right w:val="single" w:color="auto" w:sz="4" w:space="0"/>
                  </w:tcBorders>
                  <w:vAlign w:val="center"/>
                </w:tcPr>
                <w:p w14:paraId="585457AF">
                  <w:pPr>
                    <w:pStyle w:val="24"/>
                    <w:rPr>
                      <w:color w:val="auto"/>
                    </w:rPr>
                  </w:pPr>
                  <w:r>
                    <w:rPr>
                      <w:color w:val="auto"/>
                    </w:rPr>
                    <w:t>4000</w:t>
                  </w:r>
                </w:p>
              </w:tc>
              <w:tc>
                <w:tcPr>
                  <w:tcW w:w="555" w:type="pct"/>
                  <w:tcBorders>
                    <w:top w:val="single" w:color="auto" w:sz="4" w:space="0"/>
                    <w:left w:val="single" w:color="auto" w:sz="4" w:space="0"/>
                    <w:bottom w:val="single" w:color="auto" w:sz="4" w:space="0"/>
                    <w:right w:val="single" w:color="auto" w:sz="4" w:space="0"/>
                  </w:tcBorders>
                  <w:vAlign w:val="center"/>
                </w:tcPr>
                <w:p w14:paraId="0F819EB9">
                  <w:pPr>
                    <w:pStyle w:val="24"/>
                    <w:rPr>
                      <w:rFonts w:hint="default" w:eastAsia="宋体"/>
                      <w:color w:val="auto"/>
                      <w:lang w:val="en-US" w:eastAsia="zh-CN"/>
                    </w:rPr>
                  </w:pPr>
                  <w:r>
                    <w:rPr>
                      <w:rFonts w:hint="eastAsia"/>
                      <w:color w:val="auto"/>
                      <w:lang w:val="en-US" w:eastAsia="zh-CN"/>
                    </w:rPr>
                    <w:t>25</w:t>
                  </w:r>
                </w:p>
              </w:tc>
              <w:tc>
                <w:tcPr>
                  <w:tcW w:w="482" w:type="pct"/>
                  <w:tcBorders>
                    <w:top w:val="single" w:color="auto" w:sz="4" w:space="0"/>
                    <w:left w:val="single" w:color="auto" w:sz="4" w:space="0"/>
                    <w:bottom w:val="single" w:color="auto" w:sz="4" w:space="0"/>
                    <w:right w:val="single" w:color="auto" w:sz="4" w:space="0"/>
                  </w:tcBorders>
                  <w:vAlign w:val="center"/>
                </w:tcPr>
                <w:p w14:paraId="2B6BE4AB">
                  <w:pPr>
                    <w:pStyle w:val="24"/>
                    <w:rPr>
                      <w:color w:val="auto"/>
                    </w:rPr>
                  </w:pPr>
                  <w:r>
                    <w:rPr>
                      <w:rFonts w:hint="eastAsia"/>
                      <w:color w:val="auto"/>
                    </w:rPr>
                    <w:t>达标</w:t>
                  </w:r>
                </w:p>
              </w:tc>
            </w:tr>
          </w:tbl>
          <w:p w14:paraId="6A4FEC8D">
            <w:pPr>
              <w:pStyle w:val="22"/>
              <w:ind w:firstLine="480"/>
              <w:rPr>
                <w:rFonts w:hint="eastAsia"/>
                <w:color w:val="auto"/>
                <w:lang w:val="en-US" w:eastAsia="zh-CN"/>
              </w:rPr>
            </w:pPr>
            <w:r>
              <w:rPr>
                <w:rFonts w:hint="eastAsia"/>
                <w:color w:val="auto"/>
              </w:rPr>
              <w:t>由上表可知，岳阳县202</w:t>
            </w:r>
            <w:r>
              <w:rPr>
                <w:rFonts w:hint="eastAsia"/>
                <w:color w:val="auto"/>
                <w:lang w:val="en-US" w:eastAsia="zh-CN"/>
              </w:rPr>
              <w:t>4</w:t>
            </w:r>
            <w:r>
              <w:rPr>
                <w:rFonts w:hint="eastAsia"/>
                <w:color w:val="auto"/>
              </w:rPr>
              <w:t>年PM</w:t>
            </w:r>
            <w:r>
              <w:rPr>
                <w:rFonts w:hint="eastAsia"/>
                <w:color w:val="auto"/>
                <w:vertAlign w:val="subscript"/>
              </w:rPr>
              <w:t>2.5</w:t>
            </w:r>
            <w:r>
              <w:rPr>
                <w:rFonts w:hint="eastAsia"/>
                <w:color w:val="auto"/>
              </w:rPr>
              <w:t>、PM</w:t>
            </w:r>
            <w:r>
              <w:rPr>
                <w:rFonts w:hint="eastAsia"/>
                <w:color w:val="auto"/>
                <w:vertAlign w:val="subscript"/>
              </w:rPr>
              <w:t>10</w:t>
            </w:r>
            <w:r>
              <w:rPr>
                <w:rFonts w:hint="eastAsia"/>
                <w:color w:val="auto"/>
              </w:rPr>
              <w:t>、O</w:t>
            </w:r>
            <w:r>
              <w:rPr>
                <w:rFonts w:hint="eastAsia"/>
                <w:color w:val="auto"/>
                <w:vertAlign w:val="subscript"/>
              </w:rPr>
              <w:t>3</w:t>
            </w:r>
            <w:r>
              <w:rPr>
                <w:rFonts w:hint="eastAsia"/>
                <w:color w:val="auto"/>
              </w:rPr>
              <w:t>、NO</w:t>
            </w:r>
            <w:r>
              <w:rPr>
                <w:rFonts w:hint="eastAsia"/>
                <w:color w:val="auto"/>
                <w:vertAlign w:val="subscript"/>
              </w:rPr>
              <w:t>2</w:t>
            </w:r>
            <w:r>
              <w:rPr>
                <w:rFonts w:hint="eastAsia"/>
                <w:color w:val="auto"/>
              </w:rPr>
              <w:t>、SO</w:t>
            </w:r>
            <w:r>
              <w:rPr>
                <w:rFonts w:hint="eastAsia"/>
                <w:color w:val="auto"/>
                <w:vertAlign w:val="subscript"/>
              </w:rPr>
              <w:t>2</w:t>
            </w:r>
            <w:r>
              <w:rPr>
                <w:rFonts w:hint="eastAsia"/>
                <w:color w:val="auto"/>
              </w:rPr>
              <w:t>、CO各项监测指标均能达到《环境空气质量标准》（GB3095-2012）及2018修改单中二级标准要求，项目所在区域为达标区。</w:t>
            </w:r>
          </w:p>
          <w:p w14:paraId="12E3929D">
            <w:pPr>
              <w:pStyle w:val="21"/>
              <w:bidi w:val="0"/>
              <w:rPr>
                <w:rFonts w:hint="eastAsia"/>
                <w:color w:val="auto"/>
                <w:lang w:val="en-US" w:eastAsia="zh-CN"/>
              </w:rPr>
            </w:pPr>
            <w:r>
              <w:rPr>
                <w:rFonts w:hint="eastAsia"/>
                <w:color w:val="auto"/>
                <w:lang w:val="en-US" w:eastAsia="zh-CN"/>
              </w:rPr>
              <w:t>1.2 特征污染因子</w:t>
            </w:r>
          </w:p>
          <w:p w14:paraId="4C6C7049">
            <w:pPr>
              <w:pStyle w:val="22"/>
              <w:bidi w:val="0"/>
              <w:rPr>
                <w:rFonts w:hint="eastAsia"/>
                <w:color w:val="4874CB" w:themeColor="accent1"/>
                <w:u w:val="single" w:color="auto"/>
                <w:lang w:val="en-US" w:eastAsia="zh-CN"/>
                <w14:textFill>
                  <w14:solidFill>
                    <w14:schemeClr w14:val="accent1"/>
                  </w14:solidFill>
                </w14:textFill>
              </w:rPr>
            </w:pPr>
            <w:r>
              <w:rPr>
                <w:rFonts w:hint="eastAsia"/>
                <w:u w:val="single" w:color="auto"/>
                <w:lang w:val="en-US" w:eastAsia="zh-CN"/>
              </w:rPr>
              <w:t>根据生态环境部办公厅2020年12月24日印发的《建设项目环境影响报告表编制技术指南(污染影响类)(试行)》中具体编制要求“排放国家、地方环境空气质量标准中有标准限值要求的特征污染物时，引用建设项目周边5千米范围内近3年的现有监测数据，无相关数据的选择当季主导风向下风向1个点位补充不少于3天的监测数据”，本项目特征因子为TSP，氯化氢、氨气，但氯化氢、氨气无国家或地方环境质量标准限制要求，故本次评价对区域所在地进行TSP的现状检测。本次评价引用《岳阳县顺盛混凝土有限公司年产20万吨水稳料生产线建设项目环境影响报告表》中的检测数据(详见附件5)，检测单位为湖南中昊检测有限公司，监测时间为2025年7月24日</w:t>
            </w:r>
            <w:r>
              <w:rPr>
                <w:rFonts w:hint="eastAsia"/>
                <w:highlight w:val="none"/>
                <w:u w:val="single" w:color="auto"/>
                <w:lang w:val="en-US" w:eastAsia="zh-CN"/>
              </w:rPr>
              <w:t>～26日，该项目监测点位于本项目南侧4.45km，</w:t>
            </w:r>
            <w:r>
              <w:rPr>
                <w:rFonts w:hint="eastAsia"/>
                <w:u w:val="single" w:color="auto"/>
                <w:lang w:val="en-US" w:eastAsia="zh-CN"/>
              </w:rPr>
              <w:t>监测结果详见下表。</w:t>
            </w:r>
          </w:p>
          <w:p w14:paraId="32F9B310">
            <w:pPr>
              <w:pStyle w:val="23"/>
              <w:bidi w:val="0"/>
              <w:rPr>
                <w:rFonts w:hint="eastAsia"/>
                <w:color w:val="auto"/>
                <w:u w:val="single" w:color="auto"/>
                <w:lang w:val="en-US" w:eastAsia="zh-CN"/>
              </w:rPr>
            </w:pPr>
            <w:r>
              <w:rPr>
                <w:rFonts w:hint="eastAsia"/>
                <w:color w:val="auto"/>
                <w:u w:val="single" w:color="auto"/>
                <w:lang w:val="en-US" w:eastAsia="zh-CN"/>
              </w:rPr>
              <w:t>表3-2  环境空气质量现状监测结果一览表</w:t>
            </w:r>
          </w:p>
          <w:tbl>
            <w:tblPr>
              <w:tblStyle w:val="15"/>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119"/>
              <w:gridCol w:w="1305"/>
              <w:gridCol w:w="4442"/>
            </w:tblGrid>
            <w:tr w14:paraId="190F30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6" w:type="pct"/>
                  <w:vMerge w:val="restart"/>
                  <w:tcBorders>
                    <w:tl2br w:val="nil"/>
                    <w:tr2bl w:val="nil"/>
                  </w:tcBorders>
                  <w:noWrap w:val="0"/>
                  <w:vAlign w:val="center"/>
                </w:tcPr>
                <w:p w14:paraId="66AD03F5">
                  <w:pPr>
                    <w:pStyle w:val="24"/>
                    <w:bidi w:val="0"/>
                    <w:rPr>
                      <w:rFonts w:hint="eastAsia"/>
                      <w:color w:val="auto"/>
                      <w:u w:val="single" w:color="auto"/>
                    </w:rPr>
                  </w:pPr>
                  <w:r>
                    <w:rPr>
                      <w:rFonts w:hint="eastAsia"/>
                      <w:color w:val="auto"/>
                      <w:u w:val="single" w:color="auto"/>
                    </w:rPr>
                    <w:t>点位名称</w:t>
                  </w:r>
                </w:p>
              </w:tc>
              <w:tc>
                <w:tcPr>
                  <w:tcW w:w="829" w:type="pct"/>
                  <w:vMerge w:val="restart"/>
                  <w:tcBorders>
                    <w:tl2br w:val="nil"/>
                    <w:tr2bl w:val="nil"/>
                  </w:tcBorders>
                  <w:noWrap w:val="0"/>
                  <w:vAlign w:val="center"/>
                </w:tcPr>
                <w:p w14:paraId="15F3CFC0">
                  <w:pPr>
                    <w:pStyle w:val="24"/>
                    <w:bidi w:val="0"/>
                    <w:rPr>
                      <w:rFonts w:hint="eastAsia"/>
                      <w:color w:val="auto"/>
                      <w:u w:val="single" w:color="auto"/>
                    </w:rPr>
                  </w:pPr>
                  <w:r>
                    <w:rPr>
                      <w:rFonts w:hint="eastAsia"/>
                      <w:color w:val="auto"/>
                      <w:u w:val="single" w:color="auto"/>
                    </w:rPr>
                    <w:t>采样</w:t>
                  </w:r>
                  <w:r>
                    <w:rPr>
                      <w:color w:val="auto"/>
                      <w:u w:val="single" w:color="auto"/>
                    </w:rPr>
                    <w:t>日期</w:t>
                  </w:r>
                </w:p>
              </w:tc>
              <w:tc>
                <w:tcPr>
                  <w:tcW w:w="2823" w:type="pct"/>
                  <w:tcBorders>
                    <w:tl2br w:val="nil"/>
                    <w:tr2bl w:val="nil"/>
                  </w:tcBorders>
                  <w:noWrap w:val="0"/>
                  <w:vAlign w:val="center"/>
                </w:tcPr>
                <w:p w14:paraId="0428F463">
                  <w:pPr>
                    <w:pStyle w:val="24"/>
                    <w:bidi w:val="0"/>
                    <w:rPr>
                      <w:rFonts w:hint="default" w:eastAsia="宋体"/>
                      <w:color w:val="auto"/>
                      <w:u w:val="single" w:color="auto"/>
                      <w:lang w:val="en-US" w:eastAsia="zh-CN"/>
                    </w:rPr>
                  </w:pPr>
                  <w:r>
                    <w:rPr>
                      <w:rFonts w:hint="eastAsia"/>
                      <w:color w:val="auto"/>
                      <w:u w:val="single" w:color="auto"/>
                      <w:lang w:val="en-US" w:eastAsia="zh-CN"/>
                    </w:rPr>
                    <w:t>特征因子（单位：mg/m</w:t>
                  </w:r>
                  <w:r>
                    <w:rPr>
                      <w:rFonts w:hint="eastAsia"/>
                      <w:color w:val="auto"/>
                      <w:u w:val="single" w:color="auto"/>
                      <w:vertAlign w:val="superscript"/>
                      <w:lang w:val="en-US" w:eastAsia="zh-CN"/>
                    </w:rPr>
                    <w:t>3</w:t>
                  </w:r>
                  <w:r>
                    <w:rPr>
                      <w:rFonts w:hint="eastAsia"/>
                      <w:color w:val="auto"/>
                      <w:u w:val="single" w:color="auto"/>
                      <w:lang w:val="en-US" w:eastAsia="zh-CN"/>
                    </w:rPr>
                    <w:t>）</w:t>
                  </w:r>
                </w:p>
              </w:tc>
            </w:tr>
            <w:tr w14:paraId="42170F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6" w:type="pct"/>
                  <w:vMerge w:val="continue"/>
                  <w:tcBorders>
                    <w:tl2br w:val="nil"/>
                    <w:tr2bl w:val="nil"/>
                  </w:tcBorders>
                  <w:noWrap w:val="0"/>
                  <w:vAlign w:val="center"/>
                </w:tcPr>
                <w:p w14:paraId="7D56E0EA">
                  <w:pPr>
                    <w:pStyle w:val="24"/>
                    <w:bidi w:val="0"/>
                    <w:rPr>
                      <w:rFonts w:hint="eastAsia"/>
                      <w:color w:val="auto"/>
                      <w:u w:val="single" w:color="auto"/>
                    </w:rPr>
                  </w:pPr>
                </w:p>
              </w:tc>
              <w:tc>
                <w:tcPr>
                  <w:tcW w:w="829" w:type="pct"/>
                  <w:vMerge w:val="continue"/>
                  <w:tcBorders>
                    <w:tl2br w:val="nil"/>
                    <w:tr2bl w:val="nil"/>
                  </w:tcBorders>
                  <w:noWrap w:val="0"/>
                  <w:vAlign w:val="center"/>
                </w:tcPr>
                <w:p w14:paraId="6761C85E">
                  <w:pPr>
                    <w:pStyle w:val="24"/>
                    <w:bidi w:val="0"/>
                    <w:rPr>
                      <w:rFonts w:hint="eastAsia"/>
                      <w:color w:val="auto"/>
                      <w:u w:val="single" w:color="auto"/>
                    </w:rPr>
                  </w:pPr>
                </w:p>
              </w:tc>
              <w:tc>
                <w:tcPr>
                  <w:tcW w:w="2823" w:type="pct"/>
                  <w:tcBorders>
                    <w:tl2br w:val="nil"/>
                    <w:tr2bl w:val="nil"/>
                  </w:tcBorders>
                  <w:noWrap w:val="0"/>
                  <w:vAlign w:val="center"/>
                </w:tcPr>
                <w:p w14:paraId="10B876ED">
                  <w:pPr>
                    <w:pStyle w:val="24"/>
                    <w:bidi w:val="0"/>
                    <w:rPr>
                      <w:rFonts w:hint="default" w:eastAsia="宋体"/>
                      <w:color w:val="auto"/>
                      <w:u w:val="single" w:color="auto"/>
                      <w:lang w:val="en-US" w:eastAsia="zh-CN"/>
                    </w:rPr>
                  </w:pPr>
                  <w:r>
                    <w:rPr>
                      <w:rFonts w:hint="eastAsia"/>
                      <w:color w:val="auto"/>
                      <w:u w:val="single" w:color="auto"/>
                    </w:rPr>
                    <w:t>TSP</w:t>
                  </w:r>
                  <w:r>
                    <w:rPr>
                      <w:rFonts w:hint="eastAsia"/>
                      <w:color w:val="auto"/>
                      <w:u w:val="single" w:color="auto"/>
                      <w:lang w:val="en-US" w:eastAsia="zh-CN"/>
                    </w:rPr>
                    <w:t>(24小时平均)</w:t>
                  </w:r>
                </w:p>
              </w:tc>
            </w:tr>
            <w:tr w14:paraId="73CC39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346" w:type="pct"/>
                  <w:tcBorders>
                    <w:tl2br w:val="nil"/>
                    <w:tr2bl w:val="nil"/>
                  </w:tcBorders>
                  <w:noWrap w:val="0"/>
                  <w:vAlign w:val="center"/>
                </w:tcPr>
                <w:p w14:paraId="3EE29735">
                  <w:pPr>
                    <w:pStyle w:val="24"/>
                    <w:bidi w:val="0"/>
                    <w:rPr>
                      <w:rFonts w:hint="default" w:eastAsia="宋体"/>
                      <w:color w:val="auto"/>
                      <w:u w:val="single" w:color="auto"/>
                      <w:lang w:val="en-US" w:eastAsia="zh-CN"/>
                    </w:rPr>
                  </w:pPr>
                  <w:r>
                    <w:rPr>
                      <w:rFonts w:hint="eastAsia" w:eastAsia="宋体"/>
                      <w:color w:val="auto"/>
                      <w:u w:val="single" w:color="auto"/>
                      <w:lang w:val="en-US" w:eastAsia="zh-CN"/>
                    </w:rPr>
                    <w:t>G1厂界西南侧外1m</w:t>
                  </w:r>
                </w:p>
              </w:tc>
              <w:tc>
                <w:tcPr>
                  <w:tcW w:w="829" w:type="pct"/>
                  <w:tcBorders>
                    <w:tl2br w:val="nil"/>
                    <w:tr2bl w:val="nil"/>
                  </w:tcBorders>
                  <w:noWrap w:val="0"/>
                  <w:vAlign w:val="center"/>
                </w:tcPr>
                <w:p w14:paraId="60CE4974">
                  <w:pPr>
                    <w:pStyle w:val="24"/>
                    <w:bidi w:val="0"/>
                    <w:rPr>
                      <w:rFonts w:hint="eastAsia"/>
                      <w:color w:val="auto"/>
                      <w:u w:val="single" w:color="auto"/>
                    </w:rPr>
                  </w:pPr>
                  <w:r>
                    <w:rPr>
                      <w:rFonts w:hint="eastAsia"/>
                      <w:color w:val="auto"/>
                      <w:u w:val="single" w:color="auto"/>
                      <w:lang w:val="en-US" w:eastAsia="zh-CN"/>
                    </w:rPr>
                    <w:t>2025.07.24</w:t>
                  </w:r>
                  <w:r>
                    <w:rPr>
                      <w:rFonts w:hint="eastAsia"/>
                      <w:color w:val="auto"/>
                      <w:u w:val="single" w:color="auto"/>
                    </w:rPr>
                    <w:cr/>
                  </w:r>
                </w:p>
              </w:tc>
              <w:tc>
                <w:tcPr>
                  <w:tcW w:w="2823" w:type="pct"/>
                  <w:tcBorders>
                    <w:tl2br w:val="nil"/>
                    <w:tr2bl w:val="nil"/>
                  </w:tcBorders>
                  <w:noWrap w:val="0"/>
                  <w:vAlign w:val="center"/>
                </w:tcPr>
                <w:p w14:paraId="62922321">
                  <w:pPr>
                    <w:pStyle w:val="24"/>
                    <w:bidi w:val="0"/>
                    <w:rPr>
                      <w:rFonts w:hint="default" w:eastAsia="宋体"/>
                      <w:color w:val="auto"/>
                      <w:u w:val="single" w:color="auto"/>
                      <w:lang w:val="en-US" w:eastAsia="zh-CN"/>
                    </w:rPr>
                  </w:pPr>
                  <w:r>
                    <w:rPr>
                      <w:rFonts w:hint="eastAsia"/>
                      <w:color w:val="auto"/>
                      <w:u w:val="single" w:color="auto"/>
                      <w:lang w:val="en-US" w:eastAsia="zh-CN"/>
                    </w:rPr>
                    <w:t>0.078</w:t>
                  </w:r>
                </w:p>
              </w:tc>
            </w:tr>
            <w:tr w14:paraId="7766C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90" w:hRule="atLeast"/>
              </w:trPr>
              <w:tc>
                <w:tcPr>
                  <w:tcW w:w="1346" w:type="pct"/>
                  <w:tcBorders>
                    <w:tl2br w:val="nil"/>
                    <w:tr2bl w:val="nil"/>
                  </w:tcBorders>
                  <w:noWrap w:val="0"/>
                  <w:vAlign w:val="center"/>
                </w:tcPr>
                <w:p w14:paraId="19411079">
                  <w:pPr>
                    <w:pStyle w:val="24"/>
                    <w:bidi w:val="0"/>
                    <w:ind w:firstLine="0" w:firstLineChars="0"/>
                    <w:rPr>
                      <w:rFonts w:hint="eastAsia"/>
                      <w:color w:val="auto"/>
                      <w:u w:val="single" w:color="auto"/>
                    </w:rPr>
                  </w:pPr>
                  <w:r>
                    <w:rPr>
                      <w:rFonts w:hint="eastAsia" w:eastAsia="宋体"/>
                      <w:color w:val="auto"/>
                      <w:u w:val="single" w:color="auto"/>
                      <w:lang w:val="en-US" w:eastAsia="zh-CN"/>
                    </w:rPr>
                    <w:t>G1厂界西南侧外1m</w:t>
                  </w:r>
                </w:p>
              </w:tc>
              <w:tc>
                <w:tcPr>
                  <w:tcW w:w="829" w:type="pct"/>
                  <w:tcBorders>
                    <w:tl2br w:val="nil"/>
                    <w:tr2bl w:val="nil"/>
                  </w:tcBorders>
                  <w:noWrap w:val="0"/>
                  <w:vAlign w:val="center"/>
                </w:tcPr>
                <w:p w14:paraId="0A1C03D7">
                  <w:pPr>
                    <w:pStyle w:val="24"/>
                    <w:bidi w:val="0"/>
                    <w:rPr>
                      <w:rFonts w:hint="default" w:eastAsia="宋体"/>
                      <w:color w:val="auto"/>
                      <w:u w:val="single" w:color="auto"/>
                      <w:lang w:val="en-US" w:eastAsia="zh-CN"/>
                    </w:rPr>
                  </w:pPr>
                  <w:r>
                    <w:rPr>
                      <w:rFonts w:hint="eastAsia"/>
                      <w:color w:val="auto"/>
                      <w:u w:val="single" w:color="auto"/>
                      <w:lang w:val="en-US" w:eastAsia="zh-CN"/>
                    </w:rPr>
                    <w:t>2025.07.25</w:t>
                  </w:r>
                </w:p>
              </w:tc>
              <w:tc>
                <w:tcPr>
                  <w:tcW w:w="2823" w:type="pct"/>
                  <w:tcBorders>
                    <w:tl2br w:val="nil"/>
                    <w:tr2bl w:val="nil"/>
                  </w:tcBorders>
                  <w:noWrap w:val="0"/>
                  <w:vAlign w:val="center"/>
                </w:tcPr>
                <w:p w14:paraId="03318F20">
                  <w:pPr>
                    <w:pStyle w:val="24"/>
                    <w:bidi w:val="0"/>
                    <w:rPr>
                      <w:rFonts w:hint="default"/>
                      <w:color w:val="auto"/>
                      <w:u w:val="single" w:color="auto"/>
                      <w:lang w:val="en-US" w:eastAsia="zh-CN"/>
                    </w:rPr>
                  </w:pPr>
                  <w:r>
                    <w:rPr>
                      <w:rFonts w:hint="eastAsia"/>
                      <w:color w:val="auto"/>
                      <w:u w:val="single" w:color="auto"/>
                      <w:lang w:val="en-US" w:eastAsia="zh-CN"/>
                    </w:rPr>
                    <w:t>0.072</w:t>
                  </w:r>
                </w:p>
              </w:tc>
            </w:tr>
            <w:tr w14:paraId="6F1B3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000" w:hRule="atLeast"/>
              </w:trPr>
              <w:tc>
                <w:tcPr>
                  <w:tcW w:w="1346" w:type="pct"/>
                  <w:tcBorders>
                    <w:tl2br w:val="nil"/>
                    <w:tr2bl w:val="nil"/>
                  </w:tcBorders>
                  <w:noWrap w:val="0"/>
                  <w:vAlign w:val="center"/>
                </w:tcPr>
                <w:p w14:paraId="0E3419F7">
                  <w:pPr>
                    <w:pStyle w:val="24"/>
                    <w:bidi w:val="0"/>
                    <w:ind w:firstLine="0" w:firstLineChars="0"/>
                    <w:rPr>
                      <w:rFonts w:hint="eastAsia"/>
                      <w:color w:val="auto"/>
                      <w:u w:val="single" w:color="auto"/>
                    </w:rPr>
                  </w:pPr>
                  <w:r>
                    <w:rPr>
                      <w:rFonts w:hint="eastAsia" w:eastAsia="宋体"/>
                      <w:color w:val="auto"/>
                      <w:u w:val="single" w:color="auto"/>
                      <w:lang w:val="en-US" w:eastAsia="zh-CN"/>
                    </w:rPr>
                    <w:t>G1厂界西南侧外1m</w:t>
                  </w:r>
                </w:p>
              </w:tc>
              <w:tc>
                <w:tcPr>
                  <w:tcW w:w="829" w:type="pct"/>
                  <w:tcBorders>
                    <w:tl2br w:val="nil"/>
                    <w:tr2bl w:val="nil"/>
                  </w:tcBorders>
                  <w:noWrap w:val="0"/>
                  <w:vAlign w:val="center"/>
                </w:tcPr>
                <w:p w14:paraId="21722B04">
                  <w:pPr>
                    <w:pStyle w:val="24"/>
                    <w:bidi w:val="0"/>
                    <w:rPr>
                      <w:rFonts w:hint="default" w:eastAsia="宋体"/>
                      <w:color w:val="auto"/>
                      <w:u w:val="single" w:color="auto"/>
                      <w:lang w:val="en-US" w:eastAsia="zh-CN"/>
                    </w:rPr>
                  </w:pPr>
                  <w:r>
                    <w:rPr>
                      <w:rFonts w:hint="eastAsia"/>
                      <w:color w:val="auto"/>
                      <w:u w:val="single" w:color="auto"/>
                      <w:lang w:val="en-US" w:eastAsia="zh-CN"/>
                    </w:rPr>
                    <w:t>2025.07.26</w:t>
                  </w:r>
                </w:p>
              </w:tc>
              <w:tc>
                <w:tcPr>
                  <w:tcW w:w="2823" w:type="pct"/>
                  <w:tcBorders>
                    <w:tl2br w:val="nil"/>
                    <w:tr2bl w:val="nil"/>
                  </w:tcBorders>
                  <w:noWrap w:val="0"/>
                  <w:vAlign w:val="center"/>
                </w:tcPr>
                <w:p w14:paraId="7EB57CE8">
                  <w:pPr>
                    <w:pStyle w:val="24"/>
                    <w:bidi w:val="0"/>
                    <w:rPr>
                      <w:rFonts w:hint="default"/>
                      <w:color w:val="auto"/>
                      <w:u w:val="single" w:color="auto"/>
                      <w:lang w:val="en-US" w:eastAsia="zh-CN"/>
                    </w:rPr>
                  </w:pPr>
                  <w:r>
                    <w:rPr>
                      <w:rFonts w:hint="eastAsia"/>
                      <w:color w:val="auto"/>
                      <w:u w:val="single" w:color="auto"/>
                      <w:lang w:val="en-US" w:eastAsia="zh-CN"/>
                    </w:rPr>
                    <w:t>0.075</w:t>
                  </w:r>
                </w:p>
              </w:tc>
            </w:tr>
          </w:tbl>
          <w:p w14:paraId="7B048D14">
            <w:pPr>
              <w:pStyle w:val="22"/>
              <w:bidi w:val="0"/>
              <w:ind w:left="0" w:leftChars="0" w:firstLine="480" w:firstLineChars="200"/>
              <w:rPr>
                <w:rFonts w:hint="eastAsia"/>
                <w:color w:val="auto"/>
                <w:u w:val="single" w:color="auto"/>
                <w:lang w:val="en-US" w:eastAsia="zh-CN"/>
              </w:rPr>
            </w:pPr>
            <w:r>
              <w:rPr>
                <w:rFonts w:hint="eastAsia"/>
                <w:color w:val="auto"/>
                <w:u w:val="single" w:color="auto"/>
                <w:lang w:val="en-US" w:eastAsia="zh-CN"/>
              </w:rPr>
              <w:t>由上表可知，TSP满足《环境空气质量标准》（GB 3095—2026）中二级标准。</w:t>
            </w:r>
          </w:p>
          <w:p w14:paraId="6943F5B8">
            <w:pPr>
              <w:pStyle w:val="21"/>
              <w:bidi w:val="0"/>
              <w:rPr>
                <w:rFonts w:hint="eastAsia"/>
                <w:color w:val="auto"/>
                <w:lang w:val="en-US" w:eastAsia="zh-CN"/>
              </w:rPr>
            </w:pPr>
            <w:r>
              <w:rPr>
                <w:rFonts w:hint="eastAsia"/>
                <w:color w:val="auto"/>
                <w:lang w:val="en-US" w:eastAsia="zh-CN"/>
              </w:rPr>
              <w:t>2、地表水环境质量现状</w:t>
            </w:r>
          </w:p>
          <w:p w14:paraId="3CACB880">
            <w:pPr>
              <w:pStyle w:val="22"/>
              <w:bidi w:val="0"/>
              <w:ind w:left="0" w:leftChars="0" w:firstLine="480" w:firstLineChars="200"/>
              <w:rPr>
                <w:rFonts w:hint="eastAsia"/>
                <w:color w:val="auto"/>
                <w:lang w:val="en-US" w:eastAsia="zh-CN"/>
              </w:rPr>
            </w:pPr>
            <w:r>
              <w:rPr>
                <w:rFonts w:hint="eastAsia"/>
                <w:color w:val="auto"/>
                <w:lang w:val="en-US" w:eastAsia="zh-CN"/>
              </w:rPr>
              <w:t>为了解本项目所在地水环境质量现状，本次评价引用岳阳市生态环境局发布的《岳阳市2024年度生态环境质量公报》中“三、地表水环境（主要江河水质状况：新墙河水质总体为优，9个控制断面水质均达到Ⅱ类”，因此，项目周边地表水水质较好。</w:t>
            </w:r>
          </w:p>
          <w:p w14:paraId="53D9C4BE">
            <w:pPr>
              <w:pStyle w:val="21"/>
              <w:bidi w:val="0"/>
              <w:ind w:left="0" w:leftChars="0" w:firstLine="482" w:firstLineChars="200"/>
              <w:rPr>
                <w:rFonts w:hint="eastAsia"/>
                <w:color w:val="auto"/>
                <w:lang w:val="en-US" w:eastAsia="zh-CN"/>
              </w:rPr>
            </w:pPr>
            <w:r>
              <w:rPr>
                <w:rFonts w:hint="eastAsia"/>
                <w:color w:val="auto"/>
                <w:lang w:val="en-US" w:eastAsia="zh-CN"/>
              </w:rPr>
              <w:t>3、声环境质量现状</w:t>
            </w:r>
          </w:p>
          <w:p w14:paraId="53ED2D30">
            <w:pPr>
              <w:pStyle w:val="22"/>
              <w:bidi w:val="0"/>
              <w:ind w:left="0" w:leftChars="0" w:firstLine="480" w:firstLineChars="200"/>
              <w:rPr>
                <w:rFonts w:hint="default"/>
                <w:color w:val="4874CB" w:themeColor="accent1"/>
                <w:u w:val="single"/>
                <w:lang w:val="en-US" w:eastAsia="zh-CN"/>
                <w14:textFill>
                  <w14:solidFill>
                    <w14:schemeClr w14:val="accent1"/>
                  </w14:solidFill>
                </w14:textFill>
              </w:rPr>
            </w:pPr>
            <w:r>
              <w:rPr>
                <w:rFonts w:hint="eastAsia"/>
                <w:color w:val="auto"/>
                <w:u w:val="single"/>
                <w:lang w:val="en-US" w:eastAsia="zh-CN"/>
              </w:rPr>
              <w:t>本项目位于工业园区内厂界外周边 50 米范围内不存在声环境保护目标，故本项目不开展声环境质量现状调查。</w:t>
            </w:r>
          </w:p>
          <w:p w14:paraId="11CBCB52">
            <w:pPr>
              <w:pStyle w:val="21"/>
              <w:bidi w:val="0"/>
              <w:rPr>
                <w:rFonts w:hint="eastAsia"/>
                <w:color w:val="auto"/>
                <w:lang w:val="en-US" w:eastAsia="zh-CN"/>
              </w:rPr>
            </w:pPr>
            <w:r>
              <w:rPr>
                <w:rFonts w:hint="eastAsia"/>
                <w:color w:val="auto"/>
                <w:lang w:val="en-US" w:eastAsia="zh-CN"/>
              </w:rPr>
              <w:t>4、地下水、土壤环境质量现状</w:t>
            </w:r>
          </w:p>
          <w:p w14:paraId="46B5211E">
            <w:pPr>
              <w:pStyle w:val="22"/>
              <w:bidi w:val="0"/>
              <w:rPr>
                <w:rFonts w:hint="eastAsia"/>
                <w:color w:val="auto"/>
                <w:lang w:val="en-US" w:eastAsia="zh-CN"/>
              </w:rPr>
            </w:pPr>
            <w:r>
              <w:rPr>
                <w:rFonts w:hint="eastAsia"/>
                <w:color w:val="auto"/>
                <w:lang w:val="en-US" w:eastAsia="zh-CN"/>
              </w:rPr>
              <w:t>根据《建设项目环境影响报告表编制技术指南（污染影响类）》中提到的“原则上不开展环境质量现状调查。建设项目存在土壤、地下水环境污染途径的，应结合污染源、保护目标分布情况开展现状调查以留作背景值”。</w:t>
            </w:r>
          </w:p>
          <w:p w14:paraId="6107686F">
            <w:pPr>
              <w:pStyle w:val="22"/>
              <w:bidi w:val="0"/>
              <w:ind w:left="0" w:leftChars="0" w:firstLine="0" w:firstLineChars="0"/>
              <w:rPr>
                <w:rFonts w:hint="eastAsia"/>
                <w:color w:val="auto"/>
                <w:lang w:val="en-US" w:eastAsia="zh-CN"/>
              </w:rPr>
            </w:pPr>
            <w:r>
              <w:rPr>
                <w:rFonts w:hint="eastAsia"/>
                <w:color w:val="auto"/>
                <w:lang w:val="en-US" w:eastAsia="zh-CN"/>
              </w:rPr>
              <w:t>结合现场调查及工艺分析，本项目生产车间和仓库地面做好硬化及“三防”措施（防扬散、防流失、防渗漏），不具备地面漫流和垂直入渗的途径，不存在土壤、地下水污染途径。</w:t>
            </w:r>
          </w:p>
          <w:p w14:paraId="497FADD8">
            <w:pPr>
              <w:pStyle w:val="21"/>
              <w:bidi w:val="0"/>
              <w:rPr>
                <w:rFonts w:hint="eastAsia"/>
                <w:color w:val="auto"/>
                <w:lang w:val="en-US" w:eastAsia="zh-CN"/>
              </w:rPr>
            </w:pPr>
            <w:r>
              <w:rPr>
                <w:rFonts w:hint="eastAsia"/>
                <w:color w:val="auto"/>
                <w:lang w:val="en-US" w:eastAsia="zh-CN"/>
              </w:rPr>
              <w:t>5、生态环境质量现状</w:t>
            </w:r>
          </w:p>
          <w:p w14:paraId="4BAE868F">
            <w:pPr>
              <w:pStyle w:val="22"/>
              <w:bidi w:val="0"/>
              <w:rPr>
                <w:rFonts w:hint="default"/>
                <w:color w:val="4874CB" w:themeColor="accent1"/>
                <w:lang w:val="en-US" w:eastAsia="zh-CN"/>
                <w14:textFill>
                  <w14:solidFill>
                    <w14:schemeClr w14:val="accent1"/>
                  </w14:solidFill>
                </w14:textFill>
              </w:rPr>
            </w:pPr>
            <w:r>
              <w:rPr>
                <w:rFonts w:hint="eastAsia"/>
                <w:color w:val="auto"/>
                <w:lang w:val="en-US" w:eastAsia="zh-CN"/>
              </w:rPr>
              <w:t>根据生态环境部办公厅2020年12月24日印发的《建设项目环境影响报告表编制技术指南（污染影响类）（试行）》中具体编制要求“产业园区外建设项目新增用地且用地范围内含有生态环境敏感目标时，应进行生态调查。”结合现场调查，本项目位于产业园区内，故本项目不开展生态环境质量现状调查。</w:t>
            </w:r>
          </w:p>
        </w:tc>
      </w:tr>
      <w:tr w14:paraId="1BECA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dxa"/>
            <w:vAlign w:val="center"/>
          </w:tcPr>
          <w:p w14:paraId="64C26E0F">
            <w:pPr>
              <w:numPr>
                <w:ilvl w:val="0"/>
                <w:numId w:val="0"/>
              </w:numPr>
              <w:jc w:val="center"/>
              <w:rPr>
                <w:rFonts w:hint="eastAsia"/>
                <w:color w:val="4874CB" w:themeColor="accent1"/>
                <w:vertAlign w:val="baseline"/>
                <w:lang w:val="en-US" w:eastAsia="zh-CN"/>
                <w14:textFill>
                  <w14:solidFill>
                    <w14:schemeClr w14:val="accent1"/>
                  </w14:solidFill>
                </w14:textFill>
              </w:rPr>
            </w:pPr>
          </w:p>
          <w:p w14:paraId="4868EE5C">
            <w:pPr>
              <w:numPr>
                <w:ilvl w:val="0"/>
                <w:numId w:val="0"/>
              </w:numPr>
              <w:jc w:val="center"/>
              <w:rPr>
                <w:rFonts w:hint="eastAsia"/>
                <w:color w:val="4874CB" w:themeColor="accent1"/>
                <w:vertAlign w:val="baseline"/>
                <w:lang w:val="en-US" w:eastAsia="zh-CN"/>
                <w14:textFill>
                  <w14:solidFill>
                    <w14:schemeClr w14:val="accent1"/>
                  </w14:solidFill>
                </w14:textFill>
              </w:rPr>
            </w:pPr>
          </w:p>
          <w:p w14:paraId="6786C14F">
            <w:pPr>
              <w:numPr>
                <w:ilvl w:val="0"/>
                <w:numId w:val="0"/>
              </w:numPr>
              <w:jc w:val="center"/>
              <w:rPr>
                <w:rFonts w:hint="eastAsia"/>
                <w:color w:val="4874CB" w:themeColor="accent1"/>
                <w:vertAlign w:val="baseline"/>
                <w:lang w:val="en-US" w:eastAsia="zh-CN"/>
                <w14:textFill>
                  <w14:solidFill>
                    <w14:schemeClr w14:val="accent1"/>
                  </w14:solidFill>
                </w14:textFill>
              </w:rPr>
            </w:pPr>
          </w:p>
          <w:p w14:paraId="6BCC36E4">
            <w:pPr>
              <w:numPr>
                <w:ilvl w:val="0"/>
                <w:numId w:val="0"/>
              </w:numPr>
              <w:jc w:val="center"/>
              <w:rPr>
                <w:rFonts w:hint="eastAsia"/>
                <w:color w:val="4874CB" w:themeColor="accent1"/>
                <w:vertAlign w:val="baseline"/>
                <w:lang w:val="en-US" w:eastAsia="zh-CN"/>
                <w14:textFill>
                  <w14:solidFill>
                    <w14:schemeClr w14:val="accent1"/>
                  </w14:solidFill>
                </w14:textFill>
              </w:rPr>
            </w:pPr>
          </w:p>
          <w:p w14:paraId="19818FAA">
            <w:pPr>
              <w:numPr>
                <w:ilvl w:val="0"/>
                <w:numId w:val="0"/>
              </w:numPr>
              <w:jc w:val="center"/>
              <w:rPr>
                <w:rFonts w:hint="eastAsia"/>
                <w:color w:val="4874CB" w:themeColor="accent1"/>
                <w:vertAlign w:val="baseline"/>
                <w:lang w:val="en-US" w:eastAsia="zh-CN"/>
                <w14:textFill>
                  <w14:solidFill>
                    <w14:schemeClr w14:val="accent1"/>
                  </w14:solidFill>
                </w14:textFill>
              </w:rPr>
            </w:pPr>
          </w:p>
          <w:p w14:paraId="5B32D90D">
            <w:pPr>
              <w:numPr>
                <w:ilvl w:val="0"/>
                <w:numId w:val="0"/>
              </w:numPr>
              <w:jc w:val="center"/>
              <w:rPr>
                <w:rFonts w:hint="eastAsia"/>
                <w:color w:val="4874CB" w:themeColor="accent1"/>
                <w:vertAlign w:val="baseline"/>
                <w:lang w:val="en-US" w:eastAsia="zh-CN"/>
                <w14:textFill>
                  <w14:solidFill>
                    <w14:schemeClr w14:val="accent1"/>
                  </w14:solidFill>
                </w14:textFill>
              </w:rPr>
            </w:pPr>
            <w:r>
              <w:rPr>
                <w:rFonts w:hint="eastAsia"/>
                <w:color w:val="auto"/>
                <w:vertAlign w:val="baseline"/>
                <w:lang w:val="en-US" w:eastAsia="zh-CN"/>
              </w:rPr>
              <w:t>环境保护目标</w:t>
            </w:r>
          </w:p>
        </w:tc>
        <w:tc>
          <w:tcPr>
            <w:tcW w:w="8115" w:type="dxa"/>
          </w:tcPr>
          <w:p w14:paraId="3F03B043">
            <w:pPr>
              <w:pStyle w:val="22"/>
              <w:bidi w:val="0"/>
              <w:rPr>
                <w:rFonts w:hint="eastAsia"/>
                <w:color w:val="auto"/>
                <w:lang w:val="en-US" w:eastAsia="zh-CN"/>
              </w:rPr>
            </w:pPr>
            <w:r>
              <w:rPr>
                <w:rFonts w:hint="eastAsia"/>
                <w:color w:val="auto"/>
              </w:rPr>
              <w:t>根据《建设项目环境影响报告表编制技术指南》（污染影响类）对环境保护目标的要求，大气环境调查范围为500m，声环境调查范围为50m。根据对区域的现场踏勘调查，项目区域内无自然保护区、水源保护区、珍稀动植物保护物种、历史文物古迹等需要特殊保护的环境敏感点</w:t>
            </w:r>
            <w:r>
              <w:rPr>
                <w:rFonts w:hint="eastAsia"/>
                <w:color w:val="auto"/>
                <w:lang w:eastAsia="zh-CN"/>
              </w:rPr>
              <w:t>；</w:t>
            </w:r>
            <w:r>
              <w:rPr>
                <w:rFonts w:hint="eastAsia"/>
                <w:color w:val="auto"/>
                <w:lang w:val="en-US" w:eastAsia="zh-CN"/>
              </w:rPr>
              <w:t>厂界外50米范围内无声环境保护目标</w:t>
            </w:r>
            <w:r>
              <w:rPr>
                <w:rFonts w:hint="eastAsia"/>
                <w:color w:val="auto"/>
                <w:lang w:eastAsia="zh-CN"/>
              </w:rPr>
              <w:t>；厂界外500米范围内无地下水集中式饮用水水源</w:t>
            </w:r>
            <w:r>
              <w:rPr>
                <w:rFonts w:hint="eastAsia"/>
                <w:color w:val="auto"/>
                <w:lang w:val="en-US" w:eastAsia="zh-CN"/>
              </w:rPr>
              <w:t>和</w:t>
            </w:r>
            <w:r>
              <w:rPr>
                <w:rFonts w:hint="eastAsia"/>
                <w:color w:val="auto"/>
                <w:lang w:eastAsia="zh-CN"/>
              </w:rPr>
              <w:t>热水、矿泉水、温泉等特殊地下水资源</w:t>
            </w:r>
            <w:r>
              <w:rPr>
                <w:rFonts w:hint="eastAsia"/>
                <w:color w:val="auto"/>
                <w:lang w:val="en-US" w:eastAsia="zh-CN"/>
              </w:rPr>
              <w:t>。具体环境保护目标详见下表3-4。</w:t>
            </w:r>
          </w:p>
          <w:p w14:paraId="1632CADA">
            <w:pPr>
              <w:pStyle w:val="23"/>
              <w:bidi w:val="0"/>
              <w:rPr>
                <w:rFonts w:hint="default"/>
                <w:color w:val="auto"/>
              </w:rPr>
            </w:pPr>
            <w:r>
              <w:rPr>
                <w:rFonts w:hint="default"/>
                <w:color w:val="auto"/>
              </w:rPr>
              <w:t>表3</w:t>
            </w:r>
            <w:r>
              <w:rPr>
                <w:rFonts w:hint="default"/>
                <w:color w:val="auto"/>
                <w:lang w:val="en-US" w:eastAsia="zh-CN"/>
              </w:rPr>
              <w:t>-</w:t>
            </w:r>
            <w:r>
              <w:rPr>
                <w:rFonts w:hint="eastAsia"/>
                <w:color w:val="auto"/>
                <w:lang w:val="en-US" w:eastAsia="zh-CN"/>
              </w:rPr>
              <w:t xml:space="preserve">4 </w:t>
            </w:r>
            <w:r>
              <w:rPr>
                <w:rFonts w:hint="default"/>
                <w:color w:val="auto"/>
              </w:rPr>
              <w:t>评价范围内主要环境空气保护目标一览表</w:t>
            </w:r>
          </w:p>
          <w:tbl>
            <w:tblPr>
              <w:tblStyle w:val="16"/>
              <w:tblW w:w="5000" w:type="pct"/>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260"/>
              <w:gridCol w:w="1140"/>
              <w:gridCol w:w="705"/>
              <w:gridCol w:w="780"/>
              <w:gridCol w:w="660"/>
              <w:gridCol w:w="720"/>
              <w:gridCol w:w="1030"/>
            </w:tblGrid>
            <w:tr w14:paraId="1C46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0" w:type="pct"/>
                  <w:vMerge w:val="restart"/>
                  <w:tcBorders>
                    <w:tl2br w:val="nil"/>
                    <w:tr2bl w:val="nil"/>
                  </w:tcBorders>
                  <w:noWrap w:val="0"/>
                  <w:vAlign w:val="center"/>
                </w:tcPr>
                <w:p w14:paraId="64F7E24E">
                  <w:pPr>
                    <w:pStyle w:val="24"/>
                    <w:bidi w:val="0"/>
                    <w:jc w:val="center"/>
                    <w:rPr>
                      <w:rFonts w:hint="default"/>
                      <w:color w:val="auto"/>
                      <w:lang w:val="en-US" w:eastAsia="zh-CN"/>
                    </w:rPr>
                  </w:pPr>
                  <w:r>
                    <w:rPr>
                      <w:rFonts w:hint="default"/>
                      <w:color w:val="auto"/>
                      <w:lang w:val="en-US" w:eastAsia="zh-CN"/>
                    </w:rPr>
                    <w:t>名称</w:t>
                  </w:r>
                </w:p>
              </w:tc>
              <w:tc>
                <w:tcPr>
                  <w:tcW w:w="1521" w:type="pct"/>
                  <w:gridSpan w:val="2"/>
                  <w:tcBorders>
                    <w:tl2br w:val="nil"/>
                    <w:tr2bl w:val="nil"/>
                  </w:tcBorders>
                  <w:noWrap w:val="0"/>
                  <w:vAlign w:val="center"/>
                </w:tcPr>
                <w:p w14:paraId="7039F7A7">
                  <w:pPr>
                    <w:pStyle w:val="24"/>
                    <w:bidi w:val="0"/>
                    <w:jc w:val="center"/>
                    <w:rPr>
                      <w:rFonts w:hint="default"/>
                      <w:color w:val="auto"/>
                      <w:lang w:val="en-US" w:eastAsia="zh-CN"/>
                    </w:rPr>
                  </w:pPr>
                  <w:r>
                    <w:rPr>
                      <w:rFonts w:hint="default"/>
                      <w:color w:val="auto"/>
                      <w:lang w:val="en-US" w:eastAsia="zh-CN"/>
                    </w:rPr>
                    <w:t>坐标</w:t>
                  </w:r>
                </w:p>
              </w:tc>
              <w:tc>
                <w:tcPr>
                  <w:tcW w:w="446" w:type="pct"/>
                  <w:vMerge w:val="restart"/>
                  <w:tcBorders>
                    <w:tl2br w:val="nil"/>
                    <w:tr2bl w:val="nil"/>
                  </w:tcBorders>
                  <w:noWrap w:val="0"/>
                  <w:vAlign w:val="center"/>
                </w:tcPr>
                <w:p w14:paraId="7EC291C6">
                  <w:pPr>
                    <w:pStyle w:val="24"/>
                    <w:bidi w:val="0"/>
                    <w:jc w:val="center"/>
                    <w:rPr>
                      <w:rFonts w:hint="default"/>
                      <w:color w:val="auto"/>
                      <w:lang w:val="en-US" w:eastAsia="zh-CN"/>
                    </w:rPr>
                  </w:pPr>
                  <w:r>
                    <w:rPr>
                      <w:rFonts w:hint="default"/>
                      <w:color w:val="auto"/>
                      <w:lang w:val="en-US" w:eastAsia="zh-CN"/>
                    </w:rPr>
                    <w:t>保护对象</w:t>
                  </w:r>
                </w:p>
              </w:tc>
              <w:tc>
                <w:tcPr>
                  <w:tcW w:w="494" w:type="pct"/>
                  <w:vMerge w:val="restart"/>
                  <w:tcBorders>
                    <w:tl2br w:val="nil"/>
                    <w:tr2bl w:val="nil"/>
                  </w:tcBorders>
                  <w:noWrap w:val="0"/>
                  <w:vAlign w:val="center"/>
                </w:tcPr>
                <w:p w14:paraId="47BCFE9E">
                  <w:pPr>
                    <w:pStyle w:val="24"/>
                    <w:bidi w:val="0"/>
                    <w:jc w:val="center"/>
                    <w:rPr>
                      <w:rFonts w:hint="default"/>
                      <w:color w:val="auto"/>
                      <w:lang w:val="en-US" w:eastAsia="zh-CN"/>
                    </w:rPr>
                  </w:pPr>
                  <w:r>
                    <w:rPr>
                      <w:rFonts w:hint="default"/>
                      <w:color w:val="auto"/>
                      <w:lang w:val="en-US" w:eastAsia="zh-CN"/>
                    </w:rPr>
                    <w:t>保护内容</w:t>
                  </w:r>
                </w:p>
              </w:tc>
              <w:tc>
                <w:tcPr>
                  <w:tcW w:w="418" w:type="pct"/>
                  <w:vMerge w:val="restart"/>
                  <w:tcBorders>
                    <w:tl2br w:val="nil"/>
                    <w:tr2bl w:val="nil"/>
                  </w:tcBorders>
                  <w:noWrap w:val="0"/>
                  <w:vAlign w:val="center"/>
                </w:tcPr>
                <w:p w14:paraId="048B0A68">
                  <w:pPr>
                    <w:pStyle w:val="24"/>
                    <w:bidi w:val="0"/>
                    <w:jc w:val="center"/>
                    <w:rPr>
                      <w:rFonts w:hint="default"/>
                      <w:color w:val="auto"/>
                      <w:lang w:val="en-US" w:eastAsia="zh-CN"/>
                    </w:rPr>
                  </w:pPr>
                  <w:r>
                    <w:rPr>
                      <w:rFonts w:hint="default"/>
                      <w:color w:val="auto"/>
                      <w:lang w:val="en-US" w:eastAsia="zh-CN"/>
                    </w:rPr>
                    <w:t>环境功能区</w:t>
                  </w:r>
                </w:p>
              </w:tc>
              <w:tc>
                <w:tcPr>
                  <w:tcW w:w="456" w:type="pct"/>
                  <w:vMerge w:val="restart"/>
                  <w:tcBorders>
                    <w:tl2br w:val="nil"/>
                    <w:tr2bl w:val="nil"/>
                  </w:tcBorders>
                  <w:noWrap w:val="0"/>
                  <w:vAlign w:val="center"/>
                </w:tcPr>
                <w:p w14:paraId="558F7227">
                  <w:pPr>
                    <w:pStyle w:val="24"/>
                    <w:bidi w:val="0"/>
                    <w:jc w:val="center"/>
                    <w:rPr>
                      <w:rFonts w:hint="default"/>
                      <w:color w:val="auto"/>
                      <w:lang w:val="en-US" w:eastAsia="zh-CN"/>
                    </w:rPr>
                  </w:pPr>
                  <w:r>
                    <w:rPr>
                      <w:rFonts w:hint="default"/>
                      <w:color w:val="auto"/>
                      <w:lang w:val="en-US" w:eastAsia="zh-CN"/>
                    </w:rPr>
                    <w:t>相对厂址方位</w:t>
                  </w:r>
                </w:p>
              </w:tc>
              <w:tc>
                <w:tcPr>
                  <w:tcW w:w="652" w:type="pct"/>
                  <w:vMerge w:val="restart"/>
                  <w:tcBorders>
                    <w:tl2br w:val="nil"/>
                    <w:tr2bl w:val="nil"/>
                  </w:tcBorders>
                  <w:noWrap w:val="0"/>
                  <w:vAlign w:val="center"/>
                </w:tcPr>
                <w:p w14:paraId="757BDA07">
                  <w:pPr>
                    <w:pStyle w:val="24"/>
                    <w:bidi w:val="0"/>
                    <w:jc w:val="center"/>
                    <w:rPr>
                      <w:rFonts w:hint="default"/>
                      <w:color w:val="auto"/>
                      <w:lang w:val="en-US" w:eastAsia="zh-CN"/>
                    </w:rPr>
                  </w:pPr>
                  <w:r>
                    <w:rPr>
                      <w:rFonts w:hint="default"/>
                      <w:color w:val="auto"/>
                      <w:lang w:val="en-US" w:eastAsia="zh-CN"/>
                    </w:rPr>
                    <w:t>相对厂界距离/m</w:t>
                  </w:r>
                </w:p>
              </w:tc>
            </w:tr>
            <w:tr w14:paraId="16809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0" w:type="pct"/>
                  <w:vMerge w:val="continue"/>
                  <w:tcBorders>
                    <w:tl2br w:val="nil"/>
                    <w:tr2bl w:val="nil"/>
                  </w:tcBorders>
                  <w:noWrap w:val="0"/>
                  <w:vAlign w:val="center"/>
                </w:tcPr>
                <w:p w14:paraId="51961560">
                  <w:pPr>
                    <w:pStyle w:val="24"/>
                    <w:bidi w:val="0"/>
                    <w:jc w:val="center"/>
                    <w:rPr>
                      <w:rFonts w:hint="default"/>
                      <w:color w:val="auto"/>
                      <w:lang w:val="en-US" w:eastAsia="zh-CN"/>
                    </w:rPr>
                  </w:pPr>
                </w:p>
              </w:tc>
              <w:tc>
                <w:tcPr>
                  <w:tcW w:w="798" w:type="pct"/>
                  <w:tcBorders>
                    <w:tl2br w:val="nil"/>
                    <w:tr2bl w:val="nil"/>
                  </w:tcBorders>
                  <w:noWrap w:val="0"/>
                  <w:vAlign w:val="center"/>
                </w:tcPr>
                <w:p w14:paraId="0ED2FA33">
                  <w:pPr>
                    <w:pStyle w:val="24"/>
                    <w:bidi w:val="0"/>
                    <w:jc w:val="center"/>
                    <w:rPr>
                      <w:rFonts w:hint="default"/>
                      <w:color w:val="auto"/>
                      <w:lang w:val="en-US" w:eastAsia="zh-CN"/>
                    </w:rPr>
                  </w:pPr>
                  <w:r>
                    <w:rPr>
                      <w:color w:val="auto"/>
                    </w:rPr>
                    <w:t>经度</w:t>
                  </w:r>
                </w:p>
              </w:tc>
              <w:tc>
                <w:tcPr>
                  <w:tcW w:w="722" w:type="pct"/>
                  <w:tcBorders>
                    <w:tl2br w:val="nil"/>
                    <w:tr2bl w:val="nil"/>
                  </w:tcBorders>
                  <w:noWrap w:val="0"/>
                  <w:vAlign w:val="center"/>
                </w:tcPr>
                <w:p w14:paraId="47C5F2EB">
                  <w:pPr>
                    <w:pStyle w:val="24"/>
                    <w:bidi w:val="0"/>
                    <w:jc w:val="center"/>
                    <w:rPr>
                      <w:rFonts w:hint="default"/>
                      <w:color w:val="auto"/>
                      <w:lang w:val="en-US" w:eastAsia="zh-CN"/>
                    </w:rPr>
                  </w:pPr>
                  <w:r>
                    <w:rPr>
                      <w:color w:val="auto"/>
                    </w:rPr>
                    <w:t>纬度</w:t>
                  </w:r>
                </w:p>
              </w:tc>
              <w:tc>
                <w:tcPr>
                  <w:tcW w:w="446" w:type="pct"/>
                  <w:vMerge w:val="continue"/>
                  <w:tcBorders>
                    <w:tl2br w:val="nil"/>
                    <w:tr2bl w:val="nil"/>
                  </w:tcBorders>
                  <w:noWrap w:val="0"/>
                  <w:vAlign w:val="center"/>
                </w:tcPr>
                <w:p w14:paraId="41EF60E8">
                  <w:pPr>
                    <w:pStyle w:val="24"/>
                    <w:bidi w:val="0"/>
                    <w:jc w:val="center"/>
                    <w:rPr>
                      <w:rFonts w:hint="default"/>
                      <w:color w:val="auto"/>
                      <w:lang w:val="en-US" w:eastAsia="zh-CN"/>
                    </w:rPr>
                  </w:pPr>
                </w:p>
              </w:tc>
              <w:tc>
                <w:tcPr>
                  <w:tcW w:w="494" w:type="pct"/>
                  <w:vMerge w:val="continue"/>
                  <w:tcBorders>
                    <w:tl2br w:val="nil"/>
                    <w:tr2bl w:val="nil"/>
                  </w:tcBorders>
                  <w:noWrap w:val="0"/>
                  <w:vAlign w:val="center"/>
                </w:tcPr>
                <w:p w14:paraId="151E0A8C">
                  <w:pPr>
                    <w:pStyle w:val="24"/>
                    <w:bidi w:val="0"/>
                    <w:jc w:val="center"/>
                    <w:rPr>
                      <w:rFonts w:hint="default"/>
                      <w:color w:val="auto"/>
                      <w:lang w:val="en-US" w:eastAsia="zh-CN"/>
                    </w:rPr>
                  </w:pPr>
                </w:p>
              </w:tc>
              <w:tc>
                <w:tcPr>
                  <w:tcW w:w="418" w:type="pct"/>
                  <w:vMerge w:val="continue"/>
                  <w:tcBorders>
                    <w:tl2br w:val="nil"/>
                    <w:tr2bl w:val="nil"/>
                  </w:tcBorders>
                  <w:noWrap w:val="0"/>
                  <w:vAlign w:val="center"/>
                </w:tcPr>
                <w:p w14:paraId="5C96A0A8">
                  <w:pPr>
                    <w:pStyle w:val="24"/>
                    <w:bidi w:val="0"/>
                    <w:jc w:val="center"/>
                    <w:rPr>
                      <w:rFonts w:hint="default"/>
                      <w:color w:val="auto"/>
                      <w:lang w:val="en-US" w:eastAsia="zh-CN"/>
                    </w:rPr>
                  </w:pPr>
                </w:p>
              </w:tc>
              <w:tc>
                <w:tcPr>
                  <w:tcW w:w="456" w:type="pct"/>
                  <w:vMerge w:val="continue"/>
                  <w:tcBorders>
                    <w:tl2br w:val="nil"/>
                    <w:tr2bl w:val="nil"/>
                  </w:tcBorders>
                  <w:noWrap w:val="0"/>
                  <w:vAlign w:val="center"/>
                </w:tcPr>
                <w:p w14:paraId="64C8BCB9">
                  <w:pPr>
                    <w:pStyle w:val="24"/>
                    <w:bidi w:val="0"/>
                    <w:jc w:val="center"/>
                    <w:rPr>
                      <w:rFonts w:hint="default"/>
                      <w:color w:val="auto"/>
                      <w:lang w:val="en-US" w:eastAsia="zh-CN"/>
                    </w:rPr>
                  </w:pPr>
                </w:p>
              </w:tc>
              <w:tc>
                <w:tcPr>
                  <w:tcW w:w="652" w:type="pct"/>
                  <w:vMerge w:val="continue"/>
                  <w:tcBorders>
                    <w:tl2br w:val="nil"/>
                    <w:tr2bl w:val="nil"/>
                  </w:tcBorders>
                  <w:noWrap w:val="0"/>
                  <w:vAlign w:val="center"/>
                </w:tcPr>
                <w:p w14:paraId="10EA3808">
                  <w:pPr>
                    <w:pStyle w:val="24"/>
                    <w:bidi w:val="0"/>
                    <w:jc w:val="center"/>
                    <w:rPr>
                      <w:rFonts w:hint="default"/>
                      <w:color w:val="auto"/>
                      <w:lang w:val="en-US" w:eastAsia="zh-CN"/>
                    </w:rPr>
                  </w:pPr>
                </w:p>
              </w:tc>
            </w:tr>
            <w:tr w14:paraId="05CFD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0" w:type="pct"/>
                  <w:tcBorders>
                    <w:tl2br w:val="nil"/>
                    <w:tr2bl w:val="nil"/>
                  </w:tcBorders>
                  <w:noWrap w:val="0"/>
                  <w:vAlign w:val="center"/>
                </w:tcPr>
                <w:p w14:paraId="20334D8C">
                  <w:pPr>
                    <w:bidi w:val="0"/>
                    <w:ind w:left="0" w:leftChars="0" w:firstLine="0" w:firstLineChars="0"/>
                    <w:jc w:val="center"/>
                    <w:rPr>
                      <w:rFonts w:hint="default" w:eastAsia="宋体"/>
                      <w:color w:val="auto"/>
                      <w:sz w:val="21"/>
                      <w:szCs w:val="21"/>
                      <w:lang w:val="en-US" w:eastAsia="zh-CN"/>
                    </w:rPr>
                  </w:pPr>
                  <w:r>
                    <w:rPr>
                      <w:rFonts w:hint="eastAsia"/>
                      <w:color w:val="auto"/>
                      <w:sz w:val="21"/>
                      <w:szCs w:val="21"/>
                      <w:lang w:val="en-US" w:eastAsia="zh-CN"/>
                    </w:rPr>
                    <w:t>达公塘居民点1</w:t>
                  </w:r>
                </w:p>
              </w:tc>
              <w:tc>
                <w:tcPr>
                  <w:tcW w:w="798" w:type="pct"/>
                  <w:tcBorders>
                    <w:tl2br w:val="nil"/>
                    <w:tr2bl w:val="nil"/>
                  </w:tcBorders>
                  <w:noWrap w:val="0"/>
                  <w:vAlign w:val="center"/>
                </w:tcPr>
                <w:p w14:paraId="7C69D1BA">
                  <w:pPr>
                    <w:pStyle w:val="24"/>
                    <w:bidi w:val="0"/>
                    <w:ind w:firstLine="0" w:firstLineChars="0"/>
                    <w:jc w:val="center"/>
                    <w:rPr>
                      <w:rFonts w:hint="default"/>
                      <w:color w:val="auto"/>
                      <w:sz w:val="21"/>
                      <w:szCs w:val="21"/>
                      <w:lang w:val="en-US" w:eastAsia="zh-CN"/>
                    </w:rPr>
                  </w:pPr>
                  <w:r>
                    <w:rPr>
                      <w:rFonts w:hint="eastAsia" w:cs="Times New Roman"/>
                      <w:snapToGrid w:val="0"/>
                      <w:color w:val="auto"/>
                      <w:kern w:val="0"/>
                      <w:sz w:val="21"/>
                      <w:szCs w:val="21"/>
                      <w:lang w:val="en-US" w:eastAsia="zh-CN" w:bidi="ar-SA"/>
                    </w:rPr>
                    <w:t>113.22615295</w:t>
                  </w:r>
                </w:p>
              </w:tc>
              <w:tc>
                <w:tcPr>
                  <w:tcW w:w="722" w:type="pct"/>
                  <w:tcBorders>
                    <w:tl2br w:val="nil"/>
                    <w:tr2bl w:val="nil"/>
                  </w:tcBorders>
                  <w:noWrap w:val="0"/>
                  <w:vAlign w:val="center"/>
                </w:tcPr>
                <w:p w14:paraId="7A3B3F47">
                  <w:pPr>
                    <w:pStyle w:val="24"/>
                    <w:bidi w:val="0"/>
                    <w:ind w:firstLine="0" w:firstLineChars="0"/>
                    <w:jc w:val="center"/>
                    <w:rPr>
                      <w:rFonts w:hint="default"/>
                      <w:color w:val="auto"/>
                      <w:sz w:val="21"/>
                      <w:szCs w:val="21"/>
                      <w:lang w:val="en-US" w:eastAsia="zh-CN"/>
                    </w:rPr>
                  </w:pPr>
                  <w:r>
                    <w:rPr>
                      <w:rFonts w:hint="eastAsia" w:cs="Times New Roman"/>
                      <w:snapToGrid w:val="0"/>
                      <w:color w:val="auto"/>
                      <w:kern w:val="0"/>
                      <w:sz w:val="21"/>
                      <w:szCs w:val="21"/>
                      <w:lang w:val="en-US" w:eastAsia="zh-CN" w:bidi="ar-SA"/>
                    </w:rPr>
                    <w:t>29.06206939</w:t>
                  </w:r>
                </w:p>
              </w:tc>
              <w:tc>
                <w:tcPr>
                  <w:tcW w:w="446" w:type="pct"/>
                  <w:tcBorders>
                    <w:tl2br w:val="nil"/>
                    <w:tr2bl w:val="nil"/>
                  </w:tcBorders>
                  <w:noWrap w:val="0"/>
                  <w:vAlign w:val="center"/>
                </w:tcPr>
                <w:p w14:paraId="2B0DEEF3">
                  <w:pPr>
                    <w:pStyle w:val="24"/>
                    <w:bidi w:val="0"/>
                    <w:ind w:firstLine="0" w:firstLineChars="0"/>
                    <w:jc w:val="center"/>
                    <w:rPr>
                      <w:rFonts w:hint="default"/>
                      <w:color w:val="auto"/>
                      <w:sz w:val="21"/>
                      <w:szCs w:val="21"/>
                      <w:lang w:val="en-US" w:eastAsia="zh-CN"/>
                    </w:rPr>
                  </w:pPr>
                  <w:r>
                    <w:rPr>
                      <w:rFonts w:hint="default"/>
                      <w:color w:val="auto"/>
                    </w:rPr>
                    <w:t>居民</w:t>
                  </w:r>
                </w:p>
              </w:tc>
              <w:tc>
                <w:tcPr>
                  <w:tcW w:w="494" w:type="pct"/>
                  <w:tcBorders>
                    <w:tl2br w:val="nil"/>
                    <w:tr2bl w:val="nil"/>
                  </w:tcBorders>
                  <w:noWrap w:val="0"/>
                  <w:vAlign w:val="center"/>
                </w:tcPr>
                <w:p w14:paraId="71A5190B">
                  <w:pPr>
                    <w:pStyle w:val="24"/>
                    <w:bidi w:val="0"/>
                    <w:ind w:firstLine="0" w:firstLineChars="0"/>
                    <w:jc w:val="center"/>
                    <w:rPr>
                      <w:rFonts w:hint="default" w:eastAsia="宋体"/>
                      <w:color w:val="auto"/>
                      <w:sz w:val="21"/>
                      <w:szCs w:val="21"/>
                      <w:lang w:val="en-US" w:eastAsia="zh-CN"/>
                    </w:rPr>
                  </w:pPr>
                  <w:r>
                    <w:rPr>
                      <w:rFonts w:hint="eastAsia"/>
                      <w:color w:val="auto"/>
                      <w:sz w:val="21"/>
                      <w:szCs w:val="21"/>
                      <w:lang w:val="en-US" w:eastAsia="zh-CN"/>
                    </w:rPr>
                    <w:t>20户，64人</w:t>
                  </w:r>
                </w:p>
              </w:tc>
              <w:tc>
                <w:tcPr>
                  <w:tcW w:w="418" w:type="pct"/>
                  <w:tcBorders>
                    <w:tl2br w:val="nil"/>
                    <w:tr2bl w:val="nil"/>
                  </w:tcBorders>
                  <w:noWrap w:val="0"/>
                  <w:vAlign w:val="center"/>
                </w:tcPr>
                <w:p w14:paraId="6CA3BF8C">
                  <w:pPr>
                    <w:pStyle w:val="24"/>
                    <w:bidi w:val="0"/>
                    <w:ind w:firstLine="0" w:firstLineChars="0"/>
                    <w:jc w:val="center"/>
                    <w:rPr>
                      <w:rFonts w:hint="default"/>
                      <w:color w:val="auto"/>
                      <w:sz w:val="21"/>
                      <w:szCs w:val="21"/>
                      <w:lang w:val="en-US" w:eastAsia="zh-CN"/>
                    </w:rPr>
                  </w:pPr>
                  <w:r>
                    <w:rPr>
                      <w:rFonts w:hint="default"/>
                      <w:color w:val="auto"/>
                    </w:rPr>
                    <w:t>二类区</w:t>
                  </w:r>
                </w:p>
              </w:tc>
              <w:tc>
                <w:tcPr>
                  <w:tcW w:w="456" w:type="pct"/>
                  <w:tcBorders>
                    <w:tl2br w:val="nil"/>
                    <w:tr2bl w:val="nil"/>
                  </w:tcBorders>
                  <w:noWrap w:val="0"/>
                  <w:vAlign w:val="center"/>
                </w:tcPr>
                <w:p w14:paraId="4CDCEF50">
                  <w:pPr>
                    <w:pStyle w:val="24"/>
                    <w:bidi w:val="0"/>
                    <w:ind w:firstLine="0" w:firstLineChars="0"/>
                    <w:jc w:val="center"/>
                    <w:rPr>
                      <w:rFonts w:hint="default"/>
                      <w:color w:val="auto"/>
                      <w:sz w:val="21"/>
                      <w:szCs w:val="21"/>
                      <w:lang w:val="en-US" w:eastAsia="zh-CN"/>
                    </w:rPr>
                  </w:pPr>
                  <w:r>
                    <w:rPr>
                      <w:rFonts w:hint="eastAsia"/>
                      <w:color w:val="auto"/>
                      <w:sz w:val="21"/>
                      <w:szCs w:val="21"/>
                      <w:lang w:val="en-US" w:eastAsia="zh-CN"/>
                    </w:rPr>
                    <w:t>西南</w:t>
                  </w:r>
                </w:p>
              </w:tc>
              <w:tc>
                <w:tcPr>
                  <w:tcW w:w="652" w:type="pct"/>
                  <w:tcBorders>
                    <w:tl2br w:val="nil"/>
                    <w:tr2bl w:val="nil"/>
                  </w:tcBorders>
                  <w:noWrap w:val="0"/>
                  <w:vAlign w:val="center"/>
                </w:tcPr>
                <w:p w14:paraId="0898D06D">
                  <w:pPr>
                    <w:pStyle w:val="24"/>
                    <w:bidi w:val="0"/>
                    <w:ind w:firstLine="0" w:firstLineChars="0"/>
                    <w:jc w:val="center"/>
                    <w:rPr>
                      <w:rFonts w:hint="default"/>
                      <w:color w:val="auto"/>
                      <w:sz w:val="21"/>
                      <w:szCs w:val="21"/>
                      <w:lang w:val="en-US" w:eastAsia="zh-CN"/>
                    </w:rPr>
                  </w:pPr>
                  <w:r>
                    <w:rPr>
                      <w:rFonts w:hint="eastAsia"/>
                      <w:color w:val="auto"/>
                      <w:sz w:val="21"/>
                      <w:szCs w:val="21"/>
                      <w:lang w:val="en-US" w:eastAsia="zh-CN"/>
                    </w:rPr>
                    <w:t>230~500</w:t>
                  </w:r>
                </w:p>
              </w:tc>
            </w:tr>
            <w:tr w14:paraId="785A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0" w:type="pct"/>
                  <w:tcBorders>
                    <w:tl2br w:val="nil"/>
                    <w:tr2bl w:val="nil"/>
                  </w:tcBorders>
                  <w:noWrap w:val="0"/>
                  <w:vAlign w:val="center"/>
                </w:tcPr>
                <w:p w14:paraId="2734E9CE">
                  <w:pPr>
                    <w:bidi w:val="0"/>
                    <w:ind w:left="0" w:leftChars="0" w:firstLine="0" w:firstLineChars="0"/>
                    <w:jc w:val="center"/>
                    <w:rPr>
                      <w:rFonts w:hint="default"/>
                      <w:color w:val="auto"/>
                      <w:sz w:val="21"/>
                      <w:szCs w:val="21"/>
                      <w:lang w:val="en-US" w:eastAsia="zh-CN"/>
                    </w:rPr>
                  </w:pPr>
                  <w:r>
                    <w:rPr>
                      <w:rFonts w:hint="eastAsia"/>
                      <w:color w:val="auto"/>
                      <w:sz w:val="21"/>
                      <w:szCs w:val="21"/>
                      <w:lang w:val="en-US" w:eastAsia="zh-CN"/>
                    </w:rPr>
                    <w:t>达公塘居民点2</w:t>
                  </w:r>
                </w:p>
              </w:tc>
              <w:tc>
                <w:tcPr>
                  <w:tcW w:w="798" w:type="pct"/>
                  <w:tcBorders>
                    <w:tl2br w:val="nil"/>
                    <w:tr2bl w:val="nil"/>
                  </w:tcBorders>
                  <w:noWrap w:val="0"/>
                  <w:vAlign w:val="center"/>
                </w:tcPr>
                <w:p w14:paraId="49650C84">
                  <w:pPr>
                    <w:pStyle w:val="24"/>
                    <w:bidi w:val="0"/>
                    <w:ind w:firstLine="0" w:firstLineChars="0"/>
                    <w:jc w:val="center"/>
                    <w:rPr>
                      <w:rFonts w:hint="eastAsia" w:cs="Times New Roman"/>
                      <w:snapToGrid w:val="0"/>
                      <w:color w:val="auto"/>
                      <w:kern w:val="0"/>
                      <w:sz w:val="21"/>
                      <w:szCs w:val="21"/>
                      <w:lang w:val="en-US" w:eastAsia="zh-CN" w:bidi="ar-SA"/>
                    </w:rPr>
                  </w:pPr>
                  <w:r>
                    <w:rPr>
                      <w:rFonts w:hint="default"/>
                      <w:color w:val="auto"/>
                      <w:lang w:val="en-US" w:eastAsia="zh-CN"/>
                    </w:rPr>
                    <w:t>113.22480308</w:t>
                  </w:r>
                </w:p>
              </w:tc>
              <w:tc>
                <w:tcPr>
                  <w:tcW w:w="722" w:type="pct"/>
                  <w:tcBorders>
                    <w:tl2br w:val="nil"/>
                    <w:tr2bl w:val="nil"/>
                  </w:tcBorders>
                  <w:noWrap w:val="0"/>
                  <w:vAlign w:val="center"/>
                </w:tcPr>
                <w:p w14:paraId="53DE54AE">
                  <w:pPr>
                    <w:pStyle w:val="24"/>
                    <w:bidi w:val="0"/>
                    <w:ind w:firstLine="0" w:firstLineChars="0"/>
                    <w:jc w:val="center"/>
                    <w:rPr>
                      <w:rFonts w:hint="eastAsia" w:cs="Times New Roman"/>
                      <w:snapToGrid w:val="0"/>
                      <w:color w:val="auto"/>
                      <w:kern w:val="0"/>
                      <w:sz w:val="21"/>
                      <w:szCs w:val="21"/>
                      <w:lang w:val="en-US" w:eastAsia="zh-CN" w:bidi="ar-SA"/>
                    </w:rPr>
                  </w:pPr>
                  <w:r>
                    <w:rPr>
                      <w:rFonts w:hint="default"/>
                      <w:color w:val="auto"/>
                      <w:lang w:val="en-US" w:eastAsia="zh-CN"/>
                    </w:rPr>
                    <w:t>29.06785201</w:t>
                  </w:r>
                </w:p>
              </w:tc>
              <w:tc>
                <w:tcPr>
                  <w:tcW w:w="446" w:type="pct"/>
                  <w:tcBorders>
                    <w:tl2br w:val="nil"/>
                    <w:tr2bl w:val="nil"/>
                  </w:tcBorders>
                  <w:noWrap w:val="0"/>
                  <w:vAlign w:val="center"/>
                </w:tcPr>
                <w:p w14:paraId="1F43C7F0">
                  <w:pPr>
                    <w:pStyle w:val="24"/>
                    <w:bidi w:val="0"/>
                    <w:ind w:firstLine="0" w:firstLineChars="0"/>
                    <w:jc w:val="center"/>
                    <w:rPr>
                      <w:rFonts w:hint="default"/>
                      <w:color w:val="auto"/>
                    </w:rPr>
                  </w:pPr>
                  <w:r>
                    <w:rPr>
                      <w:rFonts w:hint="default"/>
                      <w:color w:val="auto"/>
                    </w:rPr>
                    <w:t>居民</w:t>
                  </w:r>
                </w:p>
              </w:tc>
              <w:tc>
                <w:tcPr>
                  <w:tcW w:w="494" w:type="pct"/>
                  <w:tcBorders>
                    <w:tl2br w:val="nil"/>
                    <w:tr2bl w:val="nil"/>
                  </w:tcBorders>
                  <w:noWrap w:val="0"/>
                  <w:vAlign w:val="center"/>
                </w:tcPr>
                <w:p w14:paraId="4751A6A3">
                  <w:pPr>
                    <w:pStyle w:val="24"/>
                    <w:bidi w:val="0"/>
                    <w:ind w:firstLine="0" w:firstLineChars="0"/>
                    <w:jc w:val="center"/>
                    <w:rPr>
                      <w:rFonts w:hint="eastAsia"/>
                      <w:color w:val="auto"/>
                      <w:sz w:val="21"/>
                      <w:szCs w:val="21"/>
                      <w:lang w:val="en-US" w:eastAsia="zh-CN"/>
                    </w:rPr>
                  </w:pPr>
                  <w:r>
                    <w:rPr>
                      <w:rFonts w:hint="eastAsia"/>
                      <w:color w:val="auto"/>
                      <w:lang w:val="en-US" w:eastAsia="zh-CN"/>
                    </w:rPr>
                    <w:t>3</w:t>
                  </w:r>
                  <w:r>
                    <w:rPr>
                      <w:rFonts w:hint="default"/>
                      <w:color w:val="auto"/>
                    </w:rPr>
                    <w:t>户</w:t>
                  </w:r>
                  <w:r>
                    <w:rPr>
                      <w:rFonts w:hint="eastAsia"/>
                      <w:color w:val="auto"/>
                      <w:lang w:val="en-US" w:eastAsia="zh-CN"/>
                    </w:rPr>
                    <w:t>,7人</w:t>
                  </w:r>
                </w:p>
              </w:tc>
              <w:tc>
                <w:tcPr>
                  <w:tcW w:w="418" w:type="pct"/>
                  <w:tcBorders>
                    <w:tl2br w:val="nil"/>
                    <w:tr2bl w:val="nil"/>
                  </w:tcBorders>
                  <w:noWrap w:val="0"/>
                  <w:vAlign w:val="center"/>
                </w:tcPr>
                <w:p w14:paraId="303BD31B">
                  <w:pPr>
                    <w:pStyle w:val="24"/>
                    <w:bidi w:val="0"/>
                    <w:ind w:firstLine="0" w:firstLineChars="0"/>
                    <w:jc w:val="center"/>
                    <w:rPr>
                      <w:rFonts w:hint="default"/>
                      <w:color w:val="auto"/>
                    </w:rPr>
                  </w:pPr>
                  <w:r>
                    <w:rPr>
                      <w:rFonts w:hint="default"/>
                      <w:color w:val="auto"/>
                    </w:rPr>
                    <w:t>二类区</w:t>
                  </w:r>
                </w:p>
              </w:tc>
              <w:tc>
                <w:tcPr>
                  <w:tcW w:w="456" w:type="pct"/>
                  <w:tcBorders>
                    <w:tl2br w:val="nil"/>
                    <w:tr2bl w:val="nil"/>
                  </w:tcBorders>
                  <w:noWrap w:val="0"/>
                  <w:vAlign w:val="center"/>
                </w:tcPr>
                <w:p w14:paraId="24D43E52">
                  <w:pPr>
                    <w:pStyle w:val="24"/>
                    <w:bidi w:val="0"/>
                    <w:ind w:firstLine="0" w:firstLineChars="0"/>
                    <w:jc w:val="center"/>
                    <w:rPr>
                      <w:rFonts w:hint="eastAsia"/>
                      <w:color w:val="auto"/>
                      <w:sz w:val="21"/>
                      <w:szCs w:val="21"/>
                      <w:lang w:val="en-US" w:eastAsia="zh-CN"/>
                    </w:rPr>
                  </w:pPr>
                  <w:r>
                    <w:rPr>
                      <w:rFonts w:hint="eastAsia"/>
                      <w:color w:val="auto"/>
                      <w:lang w:val="en-US" w:eastAsia="zh-CN"/>
                    </w:rPr>
                    <w:t>西北</w:t>
                  </w:r>
                </w:p>
              </w:tc>
              <w:tc>
                <w:tcPr>
                  <w:tcW w:w="652" w:type="pct"/>
                  <w:tcBorders>
                    <w:tl2br w:val="nil"/>
                    <w:tr2bl w:val="nil"/>
                  </w:tcBorders>
                  <w:noWrap w:val="0"/>
                  <w:vAlign w:val="center"/>
                </w:tcPr>
                <w:p w14:paraId="112E3A6D">
                  <w:pPr>
                    <w:pStyle w:val="24"/>
                    <w:bidi w:val="0"/>
                    <w:ind w:firstLine="0" w:firstLineChars="0"/>
                    <w:jc w:val="center"/>
                    <w:rPr>
                      <w:rFonts w:hint="eastAsia"/>
                      <w:color w:val="auto"/>
                      <w:sz w:val="21"/>
                      <w:szCs w:val="21"/>
                      <w:lang w:val="en-US" w:eastAsia="zh-CN"/>
                    </w:rPr>
                  </w:pPr>
                  <w:r>
                    <w:rPr>
                      <w:rFonts w:hint="eastAsia"/>
                      <w:color w:val="auto"/>
                      <w:lang w:val="en-US" w:eastAsia="zh-CN"/>
                    </w:rPr>
                    <w:t>366~380</w:t>
                  </w:r>
                </w:p>
              </w:tc>
            </w:tr>
            <w:tr w14:paraId="4772B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0" w:type="pct"/>
                  <w:tcBorders>
                    <w:tl2br w:val="nil"/>
                    <w:tr2bl w:val="nil"/>
                  </w:tcBorders>
                  <w:noWrap w:val="0"/>
                  <w:vAlign w:val="center"/>
                </w:tcPr>
                <w:p w14:paraId="135802F8">
                  <w:pPr>
                    <w:pStyle w:val="24"/>
                    <w:bidi w:val="0"/>
                    <w:ind w:firstLine="0" w:firstLineChars="0"/>
                    <w:jc w:val="center"/>
                    <w:rPr>
                      <w:rFonts w:hint="default"/>
                      <w:color w:val="auto"/>
                      <w:sz w:val="21"/>
                      <w:szCs w:val="21"/>
                      <w:lang w:val="en-US" w:eastAsia="zh-CN"/>
                    </w:rPr>
                  </w:pPr>
                  <w:r>
                    <w:rPr>
                      <w:rFonts w:hint="eastAsia"/>
                      <w:color w:val="auto"/>
                      <w:sz w:val="21"/>
                      <w:szCs w:val="21"/>
                      <w:lang w:val="en-US" w:eastAsia="zh-CN"/>
                    </w:rPr>
                    <w:t>李子角居民点1</w:t>
                  </w:r>
                </w:p>
              </w:tc>
              <w:tc>
                <w:tcPr>
                  <w:tcW w:w="798" w:type="pct"/>
                  <w:tcBorders>
                    <w:tl2br w:val="nil"/>
                    <w:tr2bl w:val="nil"/>
                  </w:tcBorders>
                  <w:noWrap w:val="0"/>
                  <w:vAlign w:val="center"/>
                </w:tcPr>
                <w:p w14:paraId="5A8223D1">
                  <w:pPr>
                    <w:pStyle w:val="24"/>
                    <w:bidi w:val="0"/>
                    <w:ind w:firstLine="0" w:firstLineChars="0"/>
                    <w:jc w:val="center"/>
                    <w:rPr>
                      <w:rFonts w:hint="default" w:ascii="Times New Roman" w:hAnsi="Times New Roman" w:eastAsia="宋体" w:cs="Times New Roman"/>
                      <w:snapToGrid w:val="0"/>
                      <w:color w:val="auto"/>
                      <w:kern w:val="0"/>
                      <w:sz w:val="21"/>
                      <w:szCs w:val="24"/>
                      <w:lang w:val="en-US" w:eastAsia="zh-CN" w:bidi="ar-SA"/>
                    </w:rPr>
                  </w:pPr>
                  <w:r>
                    <w:rPr>
                      <w:rFonts w:hint="eastAsia"/>
                      <w:color w:val="auto"/>
                      <w:lang w:val="en-US" w:eastAsia="zh-CN"/>
                    </w:rPr>
                    <w:t>113.23339369</w:t>
                  </w:r>
                </w:p>
              </w:tc>
              <w:tc>
                <w:tcPr>
                  <w:tcW w:w="722" w:type="pct"/>
                  <w:tcBorders>
                    <w:tl2br w:val="nil"/>
                    <w:tr2bl w:val="nil"/>
                  </w:tcBorders>
                  <w:noWrap w:val="0"/>
                  <w:vAlign w:val="center"/>
                </w:tcPr>
                <w:p w14:paraId="1AD61542">
                  <w:pPr>
                    <w:pStyle w:val="24"/>
                    <w:bidi w:val="0"/>
                    <w:ind w:firstLine="0" w:firstLineChars="0"/>
                    <w:jc w:val="center"/>
                    <w:rPr>
                      <w:rFonts w:hint="default" w:ascii="Times New Roman" w:hAnsi="Times New Roman" w:eastAsia="宋体" w:cs="Times New Roman"/>
                      <w:snapToGrid w:val="0"/>
                      <w:color w:val="auto"/>
                      <w:kern w:val="0"/>
                      <w:sz w:val="21"/>
                      <w:szCs w:val="24"/>
                      <w:lang w:val="en-US" w:eastAsia="zh-CN" w:bidi="ar-SA"/>
                    </w:rPr>
                  </w:pPr>
                  <w:r>
                    <w:rPr>
                      <w:rFonts w:hint="default"/>
                      <w:color w:val="auto"/>
                      <w:lang w:val="en-US" w:eastAsia="zh-CN"/>
                    </w:rPr>
                    <w:t>29.</w:t>
                  </w:r>
                  <w:r>
                    <w:rPr>
                      <w:rFonts w:hint="eastAsia"/>
                      <w:color w:val="auto"/>
                      <w:lang w:val="en-US" w:eastAsia="zh-CN"/>
                    </w:rPr>
                    <w:t>06379891</w:t>
                  </w:r>
                </w:p>
              </w:tc>
              <w:tc>
                <w:tcPr>
                  <w:tcW w:w="446" w:type="pct"/>
                  <w:tcBorders>
                    <w:tl2br w:val="nil"/>
                    <w:tr2bl w:val="nil"/>
                  </w:tcBorders>
                  <w:noWrap w:val="0"/>
                  <w:vAlign w:val="center"/>
                </w:tcPr>
                <w:p w14:paraId="590BDDC5">
                  <w:pPr>
                    <w:pStyle w:val="24"/>
                    <w:bidi w:val="0"/>
                    <w:ind w:firstLine="0" w:firstLineChars="0"/>
                    <w:jc w:val="center"/>
                    <w:rPr>
                      <w:rFonts w:hint="default"/>
                      <w:color w:val="auto"/>
                    </w:rPr>
                  </w:pPr>
                  <w:r>
                    <w:rPr>
                      <w:rFonts w:hint="default"/>
                      <w:color w:val="auto"/>
                    </w:rPr>
                    <w:t>居民</w:t>
                  </w:r>
                </w:p>
              </w:tc>
              <w:tc>
                <w:tcPr>
                  <w:tcW w:w="494" w:type="pct"/>
                  <w:tcBorders>
                    <w:tl2br w:val="nil"/>
                    <w:tr2bl w:val="nil"/>
                  </w:tcBorders>
                  <w:noWrap w:val="0"/>
                  <w:vAlign w:val="center"/>
                </w:tcPr>
                <w:p w14:paraId="52CB3121">
                  <w:pPr>
                    <w:pStyle w:val="24"/>
                    <w:bidi w:val="0"/>
                    <w:ind w:firstLine="0" w:firstLineChars="0"/>
                    <w:jc w:val="center"/>
                    <w:rPr>
                      <w:rFonts w:hint="default"/>
                      <w:color w:val="auto"/>
                      <w:lang w:val="en-US" w:eastAsia="zh-CN"/>
                    </w:rPr>
                  </w:pPr>
                  <w:r>
                    <w:rPr>
                      <w:rFonts w:hint="eastAsia"/>
                      <w:color w:val="auto"/>
                      <w:lang w:val="en-US" w:eastAsia="zh-CN"/>
                    </w:rPr>
                    <w:t>9户，27人</w:t>
                  </w:r>
                </w:p>
              </w:tc>
              <w:tc>
                <w:tcPr>
                  <w:tcW w:w="418" w:type="pct"/>
                  <w:tcBorders>
                    <w:tl2br w:val="nil"/>
                    <w:tr2bl w:val="nil"/>
                  </w:tcBorders>
                  <w:noWrap w:val="0"/>
                  <w:vAlign w:val="center"/>
                </w:tcPr>
                <w:p w14:paraId="0D4CF92E">
                  <w:pPr>
                    <w:pStyle w:val="24"/>
                    <w:bidi w:val="0"/>
                    <w:ind w:firstLine="0" w:firstLineChars="0"/>
                    <w:jc w:val="center"/>
                    <w:rPr>
                      <w:rFonts w:hint="default"/>
                      <w:color w:val="auto"/>
                    </w:rPr>
                  </w:pPr>
                  <w:r>
                    <w:rPr>
                      <w:rFonts w:hint="default"/>
                      <w:color w:val="auto"/>
                    </w:rPr>
                    <w:t>二类区</w:t>
                  </w:r>
                </w:p>
              </w:tc>
              <w:tc>
                <w:tcPr>
                  <w:tcW w:w="456" w:type="pct"/>
                  <w:tcBorders>
                    <w:tl2br w:val="nil"/>
                    <w:tr2bl w:val="nil"/>
                  </w:tcBorders>
                  <w:noWrap w:val="0"/>
                  <w:vAlign w:val="center"/>
                </w:tcPr>
                <w:p w14:paraId="27FB0863">
                  <w:pPr>
                    <w:pStyle w:val="24"/>
                    <w:bidi w:val="0"/>
                    <w:ind w:firstLine="0" w:firstLineChars="0"/>
                    <w:jc w:val="center"/>
                    <w:rPr>
                      <w:rFonts w:hint="default"/>
                      <w:color w:val="auto"/>
                      <w:lang w:val="en-US" w:eastAsia="zh-CN"/>
                    </w:rPr>
                  </w:pPr>
                  <w:r>
                    <w:rPr>
                      <w:rFonts w:hint="eastAsia"/>
                      <w:color w:val="auto"/>
                      <w:lang w:val="en-US" w:eastAsia="zh-CN"/>
                    </w:rPr>
                    <w:t>东南</w:t>
                  </w:r>
                </w:p>
              </w:tc>
              <w:tc>
                <w:tcPr>
                  <w:tcW w:w="652" w:type="pct"/>
                  <w:tcBorders>
                    <w:tl2br w:val="nil"/>
                    <w:tr2bl w:val="nil"/>
                  </w:tcBorders>
                  <w:noWrap w:val="0"/>
                  <w:vAlign w:val="center"/>
                </w:tcPr>
                <w:p w14:paraId="2AAFA662">
                  <w:pPr>
                    <w:pStyle w:val="24"/>
                    <w:bidi w:val="0"/>
                    <w:ind w:firstLine="0" w:firstLineChars="0"/>
                    <w:jc w:val="center"/>
                    <w:rPr>
                      <w:rFonts w:hint="default"/>
                      <w:color w:val="auto"/>
                      <w:lang w:val="en-US" w:eastAsia="zh-CN"/>
                    </w:rPr>
                  </w:pPr>
                  <w:r>
                    <w:rPr>
                      <w:rFonts w:hint="eastAsia"/>
                      <w:color w:val="auto"/>
                      <w:lang w:val="en-US" w:eastAsia="zh-CN"/>
                    </w:rPr>
                    <w:t>330~500</w:t>
                  </w:r>
                </w:p>
              </w:tc>
            </w:tr>
            <w:tr w14:paraId="5C44D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10" w:type="pct"/>
                  <w:tcBorders>
                    <w:tl2br w:val="nil"/>
                    <w:tr2bl w:val="nil"/>
                  </w:tcBorders>
                  <w:noWrap w:val="0"/>
                  <w:vAlign w:val="center"/>
                </w:tcPr>
                <w:p w14:paraId="6D636330">
                  <w:pPr>
                    <w:bidi w:val="0"/>
                    <w:ind w:left="0" w:leftChars="0" w:firstLine="0" w:firstLineChars="0"/>
                    <w:jc w:val="center"/>
                    <w:rPr>
                      <w:rFonts w:hint="eastAsia"/>
                      <w:color w:val="auto"/>
                      <w:sz w:val="21"/>
                      <w:szCs w:val="21"/>
                      <w:lang w:val="en-US" w:eastAsia="zh-CN"/>
                    </w:rPr>
                  </w:pPr>
                  <w:r>
                    <w:rPr>
                      <w:rFonts w:hint="eastAsia"/>
                      <w:color w:val="auto"/>
                      <w:sz w:val="21"/>
                      <w:szCs w:val="21"/>
                      <w:lang w:val="en-US" w:eastAsia="zh-CN"/>
                    </w:rPr>
                    <w:t>李子角居民点2</w:t>
                  </w:r>
                </w:p>
              </w:tc>
              <w:tc>
                <w:tcPr>
                  <w:tcW w:w="798" w:type="pct"/>
                  <w:tcBorders>
                    <w:tl2br w:val="nil"/>
                    <w:tr2bl w:val="nil"/>
                  </w:tcBorders>
                  <w:noWrap w:val="0"/>
                  <w:vAlign w:val="center"/>
                </w:tcPr>
                <w:p w14:paraId="31A6DC90">
                  <w:pPr>
                    <w:pStyle w:val="24"/>
                    <w:bidi w:val="0"/>
                    <w:ind w:firstLine="0" w:firstLineChars="0"/>
                    <w:jc w:val="center"/>
                    <w:rPr>
                      <w:rFonts w:hint="default" w:ascii="Times New Roman" w:hAnsi="Times New Roman" w:eastAsia="宋体" w:cs="Times New Roman"/>
                      <w:snapToGrid w:val="0"/>
                      <w:color w:val="auto"/>
                      <w:kern w:val="0"/>
                      <w:sz w:val="21"/>
                      <w:szCs w:val="24"/>
                      <w:lang w:val="en-US" w:eastAsia="zh-CN" w:bidi="ar-SA"/>
                    </w:rPr>
                  </w:pPr>
                  <w:r>
                    <w:rPr>
                      <w:rFonts w:hint="eastAsia" w:cs="Times New Roman"/>
                      <w:snapToGrid w:val="0"/>
                      <w:color w:val="auto"/>
                      <w:kern w:val="0"/>
                      <w:sz w:val="21"/>
                      <w:szCs w:val="24"/>
                      <w:lang w:val="en-US" w:eastAsia="zh-CN" w:bidi="ar-SA"/>
                    </w:rPr>
                    <w:t>113.23121208</w:t>
                  </w:r>
                </w:p>
              </w:tc>
              <w:tc>
                <w:tcPr>
                  <w:tcW w:w="722" w:type="pct"/>
                  <w:tcBorders>
                    <w:tl2br w:val="nil"/>
                    <w:tr2bl w:val="nil"/>
                  </w:tcBorders>
                  <w:noWrap w:val="0"/>
                  <w:vAlign w:val="center"/>
                </w:tcPr>
                <w:p w14:paraId="491CB59F">
                  <w:pPr>
                    <w:pStyle w:val="24"/>
                    <w:bidi w:val="0"/>
                    <w:ind w:firstLine="0" w:firstLineChars="0"/>
                    <w:jc w:val="center"/>
                    <w:rPr>
                      <w:rFonts w:hint="default" w:ascii="Times New Roman" w:hAnsi="Times New Roman" w:eastAsia="宋体" w:cs="Times New Roman"/>
                      <w:snapToGrid w:val="0"/>
                      <w:color w:val="auto"/>
                      <w:kern w:val="0"/>
                      <w:sz w:val="21"/>
                      <w:szCs w:val="24"/>
                      <w:lang w:val="en-US" w:eastAsia="zh-CN" w:bidi="ar-SA"/>
                    </w:rPr>
                  </w:pPr>
                  <w:r>
                    <w:rPr>
                      <w:rFonts w:hint="eastAsia" w:cs="Times New Roman"/>
                      <w:snapToGrid w:val="0"/>
                      <w:color w:val="auto"/>
                      <w:kern w:val="0"/>
                      <w:sz w:val="21"/>
                      <w:szCs w:val="24"/>
                      <w:lang w:val="en-US" w:eastAsia="zh-CN" w:bidi="ar-SA"/>
                    </w:rPr>
                    <w:t>29.06239298</w:t>
                  </w:r>
                </w:p>
              </w:tc>
              <w:tc>
                <w:tcPr>
                  <w:tcW w:w="446" w:type="pct"/>
                  <w:tcBorders>
                    <w:tl2br w:val="nil"/>
                    <w:tr2bl w:val="nil"/>
                  </w:tcBorders>
                  <w:noWrap w:val="0"/>
                  <w:vAlign w:val="center"/>
                </w:tcPr>
                <w:p w14:paraId="2512474A">
                  <w:pPr>
                    <w:pStyle w:val="24"/>
                    <w:bidi w:val="0"/>
                    <w:ind w:firstLine="0" w:firstLineChars="0"/>
                    <w:jc w:val="center"/>
                    <w:rPr>
                      <w:rFonts w:hint="default"/>
                      <w:color w:val="auto"/>
                    </w:rPr>
                  </w:pPr>
                  <w:r>
                    <w:rPr>
                      <w:rFonts w:hint="default"/>
                      <w:color w:val="auto"/>
                    </w:rPr>
                    <w:t>居民</w:t>
                  </w:r>
                </w:p>
              </w:tc>
              <w:tc>
                <w:tcPr>
                  <w:tcW w:w="494" w:type="pct"/>
                  <w:tcBorders>
                    <w:tl2br w:val="nil"/>
                    <w:tr2bl w:val="nil"/>
                  </w:tcBorders>
                  <w:noWrap w:val="0"/>
                  <w:vAlign w:val="center"/>
                </w:tcPr>
                <w:p w14:paraId="6168BB1B">
                  <w:pPr>
                    <w:pStyle w:val="24"/>
                    <w:bidi w:val="0"/>
                    <w:ind w:firstLine="0" w:firstLineChars="0"/>
                    <w:jc w:val="center"/>
                    <w:rPr>
                      <w:rFonts w:hint="eastAsia"/>
                      <w:color w:val="auto"/>
                      <w:lang w:val="en-US" w:eastAsia="zh-CN"/>
                    </w:rPr>
                  </w:pPr>
                  <w:r>
                    <w:rPr>
                      <w:rFonts w:hint="eastAsia"/>
                      <w:color w:val="auto"/>
                      <w:lang w:val="en-US" w:eastAsia="zh-CN"/>
                    </w:rPr>
                    <w:t>2户，8人</w:t>
                  </w:r>
                </w:p>
              </w:tc>
              <w:tc>
                <w:tcPr>
                  <w:tcW w:w="418" w:type="pct"/>
                  <w:tcBorders>
                    <w:tl2br w:val="nil"/>
                    <w:tr2bl w:val="nil"/>
                  </w:tcBorders>
                  <w:noWrap w:val="0"/>
                  <w:vAlign w:val="center"/>
                </w:tcPr>
                <w:p w14:paraId="15D016F4">
                  <w:pPr>
                    <w:pStyle w:val="24"/>
                    <w:bidi w:val="0"/>
                    <w:ind w:firstLine="0" w:firstLineChars="0"/>
                    <w:jc w:val="center"/>
                    <w:rPr>
                      <w:rFonts w:hint="default"/>
                      <w:color w:val="auto"/>
                    </w:rPr>
                  </w:pPr>
                  <w:r>
                    <w:rPr>
                      <w:rFonts w:hint="default"/>
                      <w:color w:val="auto"/>
                    </w:rPr>
                    <w:t>二类区</w:t>
                  </w:r>
                </w:p>
              </w:tc>
              <w:tc>
                <w:tcPr>
                  <w:tcW w:w="456" w:type="pct"/>
                  <w:tcBorders>
                    <w:tl2br w:val="nil"/>
                    <w:tr2bl w:val="nil"/>
                  </w:tcBorders>
                  <w:noWrap w:val="0"/>
                  <w:vAlign w:val="center"/>
                </w:tcPr>
                <w:p w14:paraId="51C83707">
                  <w:pPr>
                    <w:pStyle w:val="24"/>
                    <w:bidi w:val="0"/>
                    <w:ind w:firstLine="0" w:firstLineChars="0"/>
                    <w:jc w:val="center"/>
                    <w:rPr>
                      <w:rFonts w:hint="eastAsia"/>
                      <w:color w:val="auto"/>
                      <w:lang w:val="en-US" w:eastAsia="zh-CN"/>
                    </w:rPr>
                  </w:pPr>
                  <w:r>
                    <w:rPr>
                      <w:rFonts w:hint="eastAsia"/>
                      <w:color w:val="auto"/>
                      <w:lang w:val="en-US" w:eastAsia="zh-CN"/>
                    </w:rPr>
                    <w:t>南</w:t>
                  </w:r>
                </w:p>
              </w:tc>
              <w:tc>
                <w:tcPr>
                  <w:tcW w:w="652" w:type="pct"/>
                  <w:tcBorders>
                    <w:tl2br w:val="nil"/>
                    <w:tr2bl w:val="nil"/>
                  </w:tcBorders>
                  <w:noWrap w:val="0"/>
                  <w:vAlign w:val="center"/>
                </w:tcPr>
                <w:p w14:paraId="7E5668DE">
                  <w:pPr>
                    <w:pStyle w:val="24"/>
                    <w:bidi w:val="0"/>
                    <w:ind w:firstLine="0" w:firstLineChars="0"/>
                    <w:jc w:val="center"/>
                    <w:rPr>
                      <w:rFonts w:hint="default"/>
                      <w:color w:val="auto"/>
                      <w:lang w:val="en-US" w:eastAsia="zh-CN"/>
                    </w:rPr>
                  </w:pPr>
                  <w:r>
                    <w:rPr>
                      <w:rFonts w:hint="eastAsia"/>
                      <w:color w:val="auto"/>
                      <w:lang w:val="en-US" w:eastAsia="zh-CN"/>
                    </w:rPr>
                    <w:t>270~340</w:t>
                  </w:r>
                </w:p>
              </w:tc>
            </w:tr>
          </w:tbl>
          <w:p w14:paraId="6BEC5F32">
            <w:pPr>
              <w:pStyle w:val="22"/>
              <w:bidi w:val="0"/>
              <w:ind w:left="0" w:leftChars="0" w:firstLine="0" w:firstLineChars="0"/>
              <w:rPr>
                <w:rFonts w:hint="eastAsia"/>
                <w:color w:val="4874CB" w:themeColor="accent1"/>
                <w:lang w:val="en-US" w:eastAsia="zh-CN"/>
                <w14:textFill>
                  <w14:solidFill>
                    <w14:schemeClr w14:val="accent1"/>
                  </w14:solidFill>
                </w14:textFill>
              </w:rPr>
            </w:pPr>
          </w:p>
        </w:tc>
      </w:tr>
      <w:tr w14:paraId="30956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 w:type="dxa"/>
            <w:vAlign w:val="center"/>
          </w:tcPr>
          <w:p w14:paraId="27A91CE0">
            <w:pPr>
              <w:numPr>
                <w:ilvl w:val="0"/>
                <w:numId w:val="0"/>
              </w:numPr>
              <w:jc w:val="center"/>
              <w:rPr>
                <w:rFonts w:hint="eastAsia"/>
                <w:color w:val="4874CB" w:themeColor="accent1"/>
                <w:vertAlign w:val="baseline"/>
                <w:lang w:val="en-US" w:eastAsia="zh-CN"/>
                <w14:textFill>
                  <w14:solidFill>
                    <w14:schemeClr w14:val="accent1"/>
                  </w14:solidFill>
                </w14:textFill>
              </w:rPr>
            </w:pPr>
            <w:r>
              <w:rPr>
                <w:rFonts w:hint="eastAsia"/>
                <w:color w:val="auto"/>
                <w:vertAlign w:val="baseline"/>
                <w:lang w:val="en-US" w:eastAsia="zh-CN"/>
              </w:rPr>
              <w:t>污染物排放控制标准</w:t>
            </w:r>
          </w:p>
        </w:tc>
        <w:tc>
          <w:tcPr>
            <w:tcW w:w="8115" w:type="dxa"/>
          </w:tcPr>
          <w:p w14:paraId="22D29FC6">
            <w:pPr>
              <w:pStyle w:val="21"/>
              <w:numPr>
                <w:ilvl w:val="0"/>
                <w:numId w:val="5"/>
              </w:numPr>
              <w:bidi w:val="0"/>
              <w:rPr>
                <w:rFonts w:hint="default"/>
                <w:color w:val="auto"/>
                <w:lang w:val="en-US" w:eastAsia="zh-CN"/>
              </w:rPr>
            </w:pPr>
            <w:r>
              <w:rPr>
                <w:rFonts w:hint="eastAsia"/>
                <w:color w:val="auto"/>
                <w:lang w:val="en-US" w:eastAsia="zh-CN"/>
              </w:rPr>
              <w:t>废气排放标准</w:t>
            </w:r>
          </w:p>
          <w:p w14:paraId="7679A035">
            <w:pPr>
              <w:pStyle w:val="22"/>
              <w:bidi w:val="0"/>
              <w:rPr>
                <w:rFonts w:hint="default"/>
                <w:color w:val="auto"/>
                <w:lang w:val="en-US" w:eastAsia="zh-CN"/>
              </w:rPr>
            </w:pPr>
            <w:r>
              <w:rPr>
                <w:rFonts w:hint="eastAsia" w:ascii="Times New Roman" w:hAnsi="Times New Roman" w:eastAsia="宋体" w:cs="Times New Roman"/>
                <w:color w:val="auto"/>
                <w:kern w:val="2"/>
                <w:sz w:val="24"/>
                <w:szCs w:val="24"/>
                <w:u w:val="none"/>
                <w:lang w:val="en-US" w:eastAsia="zh-CN" w:bidi="ar-SA"/>
              </w:rPr>
              <w:t>项目运营期</w:t>
            </w:r>
            <w:r>
              <w:rPr>
                <w:rFonts w:hint="eastAsia" w:cs="Times New Roman"/>
                <w:color w:val="auto"/>
                <w:kern w:val="2"/>
                <w:sz w:val="24"/>
                <w:szCs w:val="24"/>
                <w:u w:val="none"/>
                <w:lang w:val="en-US" w:eastAsia="zh-CN" w:bidi="ar-SA"/>
              </w:rPr>
              <w:t>，工艺废气中颗粒物、氯化氢</w:t>
            </w:r>
            <w:r>
              <w:rPr>
                <w:rFonts w:hint="eastAsia" w:ascii="Times New Roman" w:hAnsi="Times New Roman" w:eastAsia="宋体" w:cs="Times New Roman"/>
                <w:color w:val="auto"/>
                <w:kern w:val="2"/>
                <w:sz w:val="24"/>
                <w:szCs w:val="24"/>
                <w:u w:val="none"/>
                <w:lang w:val="en-US" w:eastAsia="zh-CN" w:bidi="ar-SA"/>
              </w:rPr>
              <w:t>执行《大气污染物综合排放标准》（GB16297</w:t>
            </w:r>
            <w:r>
              <w:rPr>
                <w:rFonts w:hint="default" w:ascii="Times New Roman" w:hAnsi="Times New Roman" w:eastAsia="宋体" w:cs="Times New Roman"/>
                <w:color w:val="auto"/>
                <w:kern w:val="2"/>
                <w:sz w:val="24"/>
                <w:szCs w:val="24"/>
                <w:u w:val="none"/>
                <w:lang w:val="en-US" w:eastAsia="zh-CN" w:bidi="ar-SA"/>
              </w:rPr>
              <w:t>-</w:t>
            </w:r>
            <w:r>
              <w:rPr>
                <w:rFonts w:hint="eastAsia" w:ascii="Times New Roman" w:hAnsi="Times New Roman" w:eastAsia="宋体" w:cs="Times New Roman"/>
                <w:color w:val="auto"/>
                <w:kern w:val="2"/>
                <w:sz w:val="24"/>
                <w:szCs w:val="24"/>
                <w:u w:val="none"/>
                <w:lang w:val="en-US" w:eastAsia="zh-CN" w:bidi="ar-SA"/>
              </w:rPr>
              <w:t>1996）</w:t>
            </w:r>
            <w:r>
              <w:rPr>
                <w:rFonts w:hint="eastAsia" w:cs="Times New Roman"/>
                <w:color w:val="auto"/>
                <w:kern w:val="2"/>
                <w:sz w:val="24"/>
                <w:szCs w:val="24"/>
                <w:u w:val="none"/>
                <w:lang w:val="en-US" w:eastAsia="zh-CN" w:bidi="ar-SA"/>
              </w:rPr>
              <w:t>表2中二级标准，氨执行</w:t>
            </w:r>
            <w:r>
              <w:rPr>
                <w:rFonts w:hint="eastAsia" w:ascii="Times New Roman" w:hAnsi="Times New Roman" w:eastAsia="宋体" w:cs="Times New Roman"/>
                <w:color w:val="auto"/>
                <w:kern w:val="2"/>
                <w:sz w:val="24"/>
                <w:szCs w:val="24"/>
                <w:u w:val="none"/>
                <w:lang w:val="en-US" w:eastAsia="zh-CN" w:bidi="ar-SA"/>
              </w:rPr>
              <w:t>《恶臭污染物排放标准》（G</w:t>
            </w:r>
            <w:r>
              <w:rPr>
                <w:rFonts w:hint="default" w:ascii="Times New Roman" w:hAnsi="Times New Roman" w:eastAsia="宋体" w:cs="Times New Roman"/>
                <w:color w:val="auto"/>
                <w:kern w:val="2"/>
                <w:sz w:val="24"/>
                <w:szCs w:val="24"/>
                <w:u w:val="none"/>
                <w:lang w:val="en-US" w:eastAsia="zh-CN" w:bidi="ar-SA"/>
              </w:rPr>
              <w:t>B 14554</w:t>
            </w:r>
            <w:r>
              <w:rPr>
                <w:rFonts w:hint="eastAsia" w:ascii="Times New Roman" w:hAnsi="Times New Roman" w:eastAsia="宋体" w:cs="Times New Roman"/>
                <w:color w:val="auto"/>
                <w:kern w:val="2"/>
                <w:sz w:val="24"/>
                <w:szCs w:val="24"/>
                <w:u w:val="none"/>
                <w:lang w:val="en-US" w:eastAsia="zh-CN" w:bidi="ar-SA"/>
              </w:rPr>
              <w:t>-</w:t>
            </w:r>
            <w:r>
              <w:rPr>
                <w:rFonts w:hint="eastAsia" w:cs="Times New Roman"/>
                <w:color w:val="auto"/>
                <w:kern w:val="2"/>
                <w:sz w:val="24"/>
                <w:szCs w:val="24"/>
                <w:u w:val="none"/>
                <w:lang w:val="en-US" w:eastAsia="zh-CN" w:bidi="ar-SA"/>
              </w:rPr>
              <w:t>19</w:t>
            </w:r>
            <w:r>
              <w:rPr>
                <w:rFonts w:hint="default" w:ascii="Times New Roman" w:hAnsi="Times New Roman" w:eastAsia="宋体" w:cs="Times New Roman"/>
                <w:color w:val="auto"/>
                <w:kern w:val="2"/>
                <w:sz w:val="24"/>
                <w:szCs w:val="24"/>
                <w:u w:val="none"/>
                <w:lang w:val="en-US" w:eastAsia="zh-CN" w:bidi="ar-SA"/>
              </w:rPr>
              <w:t>93</w:t>
            </w:r>
            <w:r>
              <w:rPr>
                <w:rFonts w:hint="eastAsia" w:ascii="Times New Roman" w:hAnsi="Times New Roman" w:eastAsia="宋体" w:cs="Times New Roman"/>
                <w:color w:val="auto"/>
                <w:kern w:val="2"/>
                <w:sz w:val="24"/>
                <w:szCs w:val="24"/>
                <w:u w:val="none"/>
                <w:lang w:val="en-US" w:eastAsia="zh-CN" w:bidi="ar-SA"/>
              </w:rPr>
              <w:t>）</w:t>
            </w:r>
            <w:r>
              <w:rPr>
                <w:rFonts w:hint="default" w:ascii="Times New Roman" w:hAnsi="Times New Roman" w:eastAsia="宋体" w:cs="Times New Roman"/>
                <w:color w:val="auto"/>
                <w:kern w:val="2"/>
                <w:sz w:val="24"/>
                <w:szCs w:val="24"/>
                <w:u w:val="none"/>
                <w:lang w:val="en-US" w:eastAsia="zh-CN" w:bidi="ar-SA"/>
              </w:rPr>
              <w:t>；</w:t>
            </w:r>
            <w:r>
              <w:rPr>
                <w:rFonts w:hint="eastAsia" w:cs="Times New Roman"/>
                <w:color w:val="auto"/>
                <w:kern w:val="2"/>
                <w:sz w:val="24"/>
                <w:szCs w:val="24"/>
                <w:u w:val="single"/>
                <w:lang w:val="en-US" w:eastAsia="zh-CN" w:bidi="ar-SA"/>
              </w:rPr>
              <w:t>热风炉</w:t>
            </w:r>
            <w:r>
              <w:rPr>
                <w:rFonts w:hint="eastAsia" w:ascii="Times New Roman" w:hAnsi="Times New Roman" w:eastAsia="宋体" w:cs="Times New Roman"/>
                <w:color w:val="auto"/>
                <w:kern w:val="2"/>
                <w:sz w:val="24"/>
                <w:szCs w:val="24"/>
                <w:u w:val="single"/>
                <w:lang w:val="en-US" w:eastAsia="zh-CN" w:bidi="ar-SA"/>
              </w:rPr>
              <w:t>烟气</w:t>
            </w:r>
            <w:r>
              <w:rPr>
                <w:rFonts w:hint="eastAsia" w:cs="Times New Roman"/>
                <w:color w:val="auto"/>
                <w:kern w:val="2"/>
                <w:sz w:val="24"/>
                <w:szCs w:val="24"/>
                <w:u w:val="single"/>
                <w:lang w:val="en-US" w:eastAsia="zh-CN" w:bidi="ar-SA"/>
              </w:rPr>
              <w:t>中颗粒物</w:t>
            </w:r>
            <w:r>
              <w:rPr>
                <w:rFonts w:hint="eastAsia" w:ascii="Times New Roman" w:hAnsi="Times New Roman" w:eastAsia="宋体" w:cs="Times New Roman"/>
                <w:color w:val="auto"/>
                <w:kern w:val="2"/>
                <w:sz w:val="24"/>
                <w:szCs w:val="24"/>
                <w:u w:val="single"/>
                <w:lang w:val="en-US" w:eastAsia="zh-CN" w:bidi="ar-SA"/>
              </w:rPr>
              <w:t>参照执行</w:t>
            </w:r>
            <w:r>
              <w:rPr>
                <w:rFonts w:hint="eastAsia" w:ascii="Times New Roman" w:hAnsi="Times New Roman"/>
                <w:sz w:val="24"/>
                <w:u w:val="single"/>
              </w:rPr>
              <w:t>《工业炉窑大气污染物排放标准》（GB 9078-1996）</w:t>
            </w:r>
            <w:r>
              <w:rPr>
                <w:rFonts w:hint="eastAsia"/>
                <w:sz w:val="24"/>
                <w:u w:val="single"/>
                <w:lang w:val="en-US" w:eastAsia="zh-CN"/>
              </w:rPr>
              <w:t>表2中干燥炉二级排放标准，</w:t>
            </w:r>
            <w:r>
              <w:rPr>
                <w:rFonts w:hint="eastAsia" w:cs="Times New Roman"/>
                <w:color w:val="auto"/>
                <w:kern w:val="2"/>
                <w:sz w:val="24"/>
                <w:szCs w:val="24"/>
                <w:u w:val="single"/>
                <w:lang w:val="en-US" w:eastAsia="zh-CN" w:bidi="ar-SA"/>
              </w:rPr>
              <w:t>二氧化硫</w:t>
            </w:r>
            <w:r>
              <w:rPr>
                <w:rFonts w:hint="eastAsia" w:ascii="Times New Roman" w:hAnsi="Times New Roman" w:eastAsia="宋体" w:cs="Times New Roman"/>
                <w:color w:val="auto"/>
                <w:kern w:val="2"/>
                <w:sz w:val="24"/>
                <w:szCs w:val="24"/>
                <w:u w:val="single"/>
                <w:lang w:val="en-US" w:eastAsia="zh-CN" w:bidi="ar-SA"/>
              </w:rPr>
              <w:t>参照执行</w:t>
            </w:r>
            <w:r>
              <w:rPr>
                <w:rFonts w:hint="eastAsia" w:ascii="Times New Roman" w:hAnsi="Times New Roman"/>
                <w:sz w:val="24"/>
                <w:u w:val="single"/>
              </w:rPr>
              <w:t>《工业炉窑大气污染物排放标准》（GB 9078-1996）</w:t>
            </w:r>
            <w:r>
              <w:rPr>
                <w:rFonts w:hint="eastAsia"/>
                <w:sz w:val="24"/>
                <w:u w:val="single"/>
                <w:lang w:val="en-US" w:eastAsia="zh-CN"/>
              </w:rPr>
              <w:t>表4中燃油炉窑二级排放标准</w:t>
            </w:r>
            <w:r>
              <w:rPr>
                <w:rFonts w:hint="eastAsia" w:cs="Times New Roman"/>
                <w:color w:val="auto"/>
                <w:kern w:val="2"/>
                <w:sz w:val="24"/>
                <w:szCs w:val="24"/>
                <w:u w:val="single"/>
                <w:lang w:val="en-US" w:eastAsia="zh-CN" w:bidi="ar-SA"/>
              </w:rPr>
              <w:t>，氮氧化物</w:t>
            </w:r>
            <w:r>
              <w:rPr>
                <w:rFonts w:hint="eastAsia" w:ascii="Times New Roman" w:hAnsi="Times New Roman" w:eastAsia="宋体" w:cs="Times New Roman"/>
                <w:color w:val="auto"/>
                <w:kern w:val="2"/>
                <w:sz w:val="24"/>
                <w:szCs w:val="24"/>
                <w:u w:val="single"/>
                <w:lang w:val="en-US" w:eastAsia="zh-CN" w:bidi="ar-SA"/>
              </w:rPr>
              <w:t>执行《大气污染物综合排放标准》（GB16297</w:t>
            </w:r>
            <w:r>
              <w:rPr>
                <w:rFonts w:hint="default" w:ascii="Times New Roman" w:hAnsi="Times New Roman" w:eastAsia="宋体" w:cs="Times New Roman"/>
                <w:color w:val="auto"/>
                <w:kern w:val="2"/>
                <w:sz w:val="24"/>
                <w:szCs w:val="24"/>
                <w:u w:val="single"/>
                <w:lang w:val="en-US" w:eastAsia="zh-CN" w:bidi="ar-SA"/>
              </w:rPr>
              <w:t>-</w:t>
            </w:r>
            <w:r>
              <w:rPr>
                <w:rFonts w:hint="eastAsia" w:ascii="Times New Roman" w:hAnsi="Times New Roman" w:eastAsia="宋体" w:cs="Times New Roman"/>
                <w:color w:val="auto"/>
                <w:kern w:val="2"/>
                <w:sz w:val="24"/>
                <w:szCs w:val="24"/>
                <w:u w:val="single"/>
                <w:lang w:val="en-US" w:eastAsia="zh-CN" w:bidi="ar-SA"/>
              </w:rPr>
              <w:t>1996）</w:t>
            </w:r>
            <w:r>
              <w:rPr>
                <w:rFonts w:hint="eastAsia" w:cs="Times New Roman"/>
                <w:color w:val="auto"/>
                <w:kern w:val="2"/>
                <w:sz w:val="24"/>
                <w:szCs w:val="24"/>
                <w:u w:val="single"/>
                <w:lang w:val="en-US" w:eastAsia="zh-CN" w:bidi="ar-SA"/>
              </w:rPr>
              <w:t>表2中其它类别二级标准</w:t>
            </w:r>
            <w:r>
              <w:rPr>
                <w:rFonts w:hint="eastAsia" w:ascii="Times New Roman" w:hAnsi="Times New Roman" w:eastAsia="宋体" w:cs="Times New Roman"/>
                <w:color w:val="auto"/>
                <w:kern w:val="2"/>
                <w:sz w:val="24"/>
                <w:szCs w:val="24"/>
                <w:u w:val="single"/>
                <w:lang w:val="en-US" w:eastAsia="zh-CN" w:bidi="ar-SA"/>
              </w:rPr>
              <w:t>。</w:t>
            </w:r>
          </w:p>
          <w:p w14:paraId="4F5AF1CE">
            <w:pPr>
              <w:pStyle w:val="23"/>
              <w:bidi w:val="0"/>
              <w:rPr>
                <w:rFonts w:hint="default"/>
                <w:color w:val="4874CB" w:themeColor="accent1"/>
                <w:lang w:val="en-US" w:eastAsia="zh-CN"/>
                <w14:textFill>
                  <w14:solidFill>
                    <w14:schemeClr w14:val="accent1"/>
                  </w14:solidFill>
                </w14:textFill>
              </w:rPr>
            </w:pPr>
            <w:r>
              <w:rPr>
                <w:rFonts w:hint="default"/>
                <w:color w:val="auto"/>
                <w:lang w:val="en-US" w:eastAsia="zh-CN"/>
              </w:rPr>
              <w:t>表3-</w:t>
            </w:r>
            <w:r>
              <w:rPr>
                <w:rFonts w:hint="eastAsia"/>
                <w:color w:val="auto"/>
                <w:lang w:val="en-US" w:eastAsia="zh-CN"/>
              </w:rPr>
              <w:t>5</w:t>
            </w:r>
            <w:r>
              <w:rPr>
                <w:rFonts w:hint="default"/>
                <w:color w:val="4874CB" w:themeColor="accent1"/>
                <w:lang w:val="en-US" w:eastAsia="zh-CN"/>
                <w14:textFill>
                  <w14:solidFill>
                    <w14:schemeClr w14:val="accent1"/>
                  </w14:solidFill>
                </w14:textFill>
              </w:rPr>
              <w:t xml:space="preserve"> </w:t>
            </w:r>
            <w:r>
              <w:rPr>
                <w:rFonts w:hint="eastAsia" w:eastAsia="宋体"/>
                <w:b/>
                <w:spacing w:val="0"/>
                <w:sz w:val="21"/>
                <w:szCs w:val="21"/>
                <w:u w:val="none"/>
              </w:rPr>
              <w:t>《大气污染物综合排放标准》（GB16297-1996）</w:t>
            </w:r>
          </w:p>
          <w:tbl>
            <w:tblPr>
              <w:tblStyle w:val="16"/>
              <w:tblW w:w="79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2"/>
              <w:gridCol w:w="2340"/>
              <w:gridCol w:w="2040"/>
              <w:gridCol w:w="2232"/>
            </w:tblGrid>
            <w:tr w14:paraId="5AD52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vAlign w:val="center"/>
                </w:tcPr>
                <w:p w14:paraId="02168B7E">
                  <w:pPr>
                    <w:pStyle w:val="7"/>
                    <w:ind w:firstLine="0" w:firstLineChars="0"/>
                    <w:jc w:val="center"/>
                    <w:rPr>
                      <w:rFonts w:hint="default"/>
                      <w:color w:val="4874CB" w:themeColor="accent1"/>
                      <w:u w:val="none"/>
                      <w:vertAlign w:val="baseline"/>
                      <w:lang w:val="en-US" w:eastAsia="zh-CN"/>
                      <w14:textFill>
                        <w14:solidFill>
                          <w14:schemeClr w14:val="accent1"/>
                        </w14:solidFill>
                      </w14:textFill>
                    </w:rPr>
                  </w:pPr>
                  <w:r>
                    <w:rPr>
                      <w:rFonts w:hint="eastAsia" w:eastAsia="宋体"/>
                      <w:spacing w:val="0"/>
                      <w:sz w:val="21"/>
                      <w:szCs w:val="21"/>
                      <w:u w:val="none"/>
                    </w:rPr>
                    <w:t>污染物名称</w:t>
                  </w:r>
                </w:p>
              </w:tc>
              <w:tc>
                <w:tcPr>
                  <w:tcW w:w="2340" w:type="dxa"/>
                  <w:vAlign w:val="center"/>
                </w:tcPr>
                <w:p w14:paraId="47D6137D">
                  <w:pPr>
                    <w:pStyle w:val="7"/>
                    <w:ind w:firstLine="0" w:firstLineChars="0"/>
                    <w:jc w:val="center"/>
                    <w:rPr>
                      <w:rFonts w:hint="default"/>
                      <w:color w:val="4874CB" w:themeColor="accent1"/>
                      <w:u w:val="none"/>
                      <w:vertAlign w:val="baseline"/>
                      <w:lang w:val="en-US" w:eastAsia="zh-CN"/>
                      <w14:textFill>
                        <w14:solidFill>
                          <w14:schemeClr w14:val="accent1"/>
                        </w14:solidFill>
                      </w14:textFill>
                    </w:rPr>
                  </w:pPr>
                  <w:r>
                    <w:rPr>
                      <w:rFonts w:hint="eastAsia" w:eastAsia="宋体"/>
                      <w:spacing w:val="0"/>
                      <w:sz w:val="21"/>
                      <w:szCs w:val="21"/>
                      <w:u w:val="none"/>
                    </w:rPr>
                    <w:t>最高允许排放浓度，mg</w:t>
                  </w:r>
                  <w:r>
                    <w:rPr>
                      <w:rFonts w:eastAsia="宋体"/>
                      <w:spacing w:val="0"/>
                      <w:sz w:val="21"/>
                      <w:szCs w:val="21"/>
                      <w:u w:val="none"/>
                    </w:rPr>
                    <w:t>/</w:t>
                  </w:r>
                  <w:r>
                    <w:rPr>
                      <w:rFonts w:hint="eastAsia" w:eastAsia="宋体"/>
                      <w:spacing w:val="0"/>
                      <w:sz w:val="21"/>
                      <w:szCs w:val="21"/>
                      <w:u w:val="none"/>
                    </w:rPr>
                    <w:t>m</w:t>
                  </w:r>
                  <w:r>
                    <w:rPr>
                      <w:rFonts w:eastAsia="宋体"/>
                      <w:spacing w:val="0"/>
                      <w:sz w:val="21"/>
                      <w:szCs w:val="21"/>
                      <w:u w:val="none"/>
                      <w:vertAlign w:val="superscript"/>
                    </w:rPr>
                    <w:t>3</w:t>
                  </w:r>
                </w:p>
              </w:tc>
              <w:tc>
                <w:tcPr>
                  <w:tcW w:w="2040" w:type="dxa"/>
                  <w:vAlign w:val="center"/>
                </w:tcPr>
                <w:p w14:paraId="63690995">
                  <w:pPr>
                    <w:pStyle w:val="7"/>
                    <w:ind w:firstLine="0" w:firstLineChars="0"/>
                    <w:jc w:val="center"/>
                    <w:rPr>
                      <w:rFonts w:hint="default"/>
                      <w:color w:val="4874CB" w:themeColor="accent1"/>
                      <w:u w:val="none"/>
                      <w:vertAlign w:val="baseline"/>
                      <w:lang w:val="en-US" w:eastAsia="zh-CN"/>
                      <w14:textFill>
                        <w14:solidFill>
                          <w14:schemeClr w14:val="accent1"/>
                        </w14:solidFill>
                      </w14:textFill>
                    </w:rPr>
                  </w:pPr>
                  <w:r>
                    <w:rPr>
                      <w:rFonts w:hint="eastAsia" w:eastAsia="宋体"/>
                      <w:spacing w:val="0"/>
                      <w:sz w:val="21"/>
                      <w:szCs w:val="21"/>
                      <w:u w:val="none"/>
                    </w:rPr>
                    <w:t>最高允许排放速率，kg</w:t>
                  </w:r>
                  <w:r>
                    <w:rPr>
                      <w:rFonts w:eastAsia="宋体"/>
                      <w:spacing w:val="0"/>
                      <w:sz w:val="21"/>
                      <w:szCs w:val="21"/>
                      <w:u w:val="none"/>
                    </w:rPr>
                    <w:t>/</w:t>
                  </w:r>
                  <w:r>
                    <w:rPr>
                      <w:rFonts w:hint="eastAsia" w:eastAsia="宋体"/>
                      <w:spacing w:val="0"/>
                      <w:sz w:val="21"/>
                      <w:szCs w:val="21"/>
                      <w:u w:val="none"/>
                    </w:rPr>
                    <w:t>h</w:t>
                  </w:r>
                </w:p>
              </w:tc>
              <w:tc>
                <w:tcPr>
                  <w:tcW w:w="2232" w:type="dxa"/>
                  <w:vAlign w:val="top"/>
                </w:tcPr>
                <w:p w14:paraId="25E1D860">
                  <w:pPr>
                    <w:pStyle w:val="7"/>
                    <w:ind w:firstLine="0" w:firstLineChars="0"/>
                    <w:jc w:val="center"/>
                    <w:rPr>
                      <w:rFonts w:hint="default" w:eastAsia="宋体"/>
                      <w:spacing w:val="0"/>
                      <w:sz w:val="21"/>
                      <w:szCs w:val="21"/>
                      <w:u w:val="none"/>
                      <w:lang w:val="en-US" w:eastAsia="zh-CN"/>
                    </w:rPr>
                  </w:pPr>
                  <w:r>
                    <w:rPr>
                      <w:rFonts w:hint="eastAsia"/>
                      <w:spacing w:val="0"/>
                      <w:sz w:val="21"/>
                      <w:szCs w:val="21"/>
                      <w:u w:val="none"/>
                      <w:lang w:val="en-US" w:eastAsia="zh-CN"/>
                    </w:rPr>
                    <w:t>无组织排放监控浓度限值</w:t>
                  </w:r>
                  <w:r>
                    <w:rPr>
                      <w:rFonts w:hint="eastAsia" w:eastAsia="宋体"/>
                      <w:spacing w:val="0"/>
                      <w:sz w:val="21"/>
                      <w:szCs w:val="21"/>
                      <w:u w:val="none"/>
                    </w:rPr>
                    <w:t>，mg</w:t>
                  </w:r>
                  <w:r>
                    <w:rPr>
                      <w:rFonts w:eastAsia="宋体"/>
                      <w:spacing w:val="0"/>
                      <w:sz w:val="21"/>
                      <w:szCs w:val="21"/>
                      <w:u w:val="none"/>
                    </w:rPr>
                    <w:t>/</w:t>
                  </w:r>
                  <w:r>
                    <w:rPr>
                      <w:rFonts w:hint="eastAsia" w:eastAsia="宋体"/>
                      <w:spacing w:val="0"/>
                      <w:sz w:val="21"/>
                      <w:szCs w:val="21"/>
                      <w:u w:val="none"/>
                    </w:rPr>
                    <w:t>m</w:t>
                  </w:r>
                  <w:r>
                    <w:rPr>
                      <w:rFonts w:eastAsia="宋体"/>
                      <w:spacing w:val="0"/>
                      <w:sz w:val="21"/>
                      <w:szCs w:val="21"/>
                      <w:u w:val="none"/>
                      <w:vertAlign w:val="superscript"/>
                    </w:rPr>
                    <w:t>3</w:t>
                  </w:r>
                </w:p>
              </w:tc>
            </w:tr>
            <w:tr w14:paraId="7F5470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vAlign w:val="top"/>
                </w:tcPr>
                <w:p w14:paraId="7617F7E9">
                  <w:pPr>
                    <w:pStyle w:val="7"/>
                    <w:ind w:firstLine="0" w:firstLineChars="0"/>
                    <w:jc w:val="center"/>
                    <w:rPr>
                      <w:rFonts w:hint="default"/>
                      <w:color w:val="4874CB" w:themeColor="accent1"/>
                      <w:u w:val="none"/>
                      <w:vertAlign w:val="baseline"/>
                      <w:lang w:val="en-US" w:eastAsia="zh-CN"/>
                      <w14:textFill>
                        <w14:solidFill>
                          <w14:schemeClr w14:val="accent1"/>
                        </w14:solidFill>
                      </w14:textFill>
                    </w:rPr>
                  </w:pPr>
                  <w:r>
                    <w:rPr>
                      <w:rFonts w:hint="eastAsia" w:eastAsia="宋体"/>
                      <w:spacing w:val="0"/>
                      <w:sz w:val="21"/>
                      <w:szCs w:val="21"/>
                      <w:u w:val="none"/>
                    </w:rPr>
                    <w:t>颗粒物</w:t>
                  </w:r>
                </w:p>
              </w:tc>
              <w:tc>
                <w:tcPr>
                  <w:tcW w:w="2340" w:type="dxa"/>
                  <w:vAlign w:val="top"/>
                </w:tcPr>
                <w:p w14:paraId="4F8352AA">
                  <w:pPr>
                    <w:pStyle w:val="7"/>
                    <w:ind w:firstLine="0" w:firstLineChars="0"/>
                    <w:jc w:val="center"/>
                    <w:rPr>
                      <w:rFonts w:hint="default"/>
                      <w:color w:val="4874CB" w:themeColor="accent1"/>
                      <w:u w:val="none"/>
                      <w:vertAlign w:val="baseline"/>
                      <w:lang w:val="en-US" w:eastAsia="zh-CN"/>
                      <w14:textFill>
                        <w14:solidFill>
                          <w14:schemeClr w14:val="accent1"/>
                        </w14:solidFill>
                      </w14:textFill>
                    </w:rPr>
                  </w:pPr>
                  <w:r>
                    <w:rPr>
                      <w:rFonts w:hint="eastAsia"/>
                      <w:color w:val="auto"/>
                      <w:sz w:val="21"/>
                      <w:szCs w:val="21"/>
                      <w:u w:val="none"/>
                      <w:vertAlign w:val="baseline"/>
                      <w:lang w:val="en-US" w:eastAsia="zh-CN"/>
                    </w:rPr>
                    <w:t>120</w:t>
                  </w:r>
                </w:p>
              </w:tc>
              <w:tc>
                <w:tcPr>
                  <w:tcW w:w="2040" w:type="dxa"/>
                  <w:vAlign w:val="center"/>
                </w:tcPr>
                <w:p w14:paraId="2EA02FDD">
                  <w:pPr>
                    <w:pStyle w:val="7"/>
                    <w:ind w:firstLine="0" w:firstLineChars="0"/>
                    <w:jc w:val="center"/>
                    <w:rPr>
                      <w:rFonts w:hint="default" w:eastAsia="宋体"/>
                      <w:color w:val="4874CB" w:themeColor="accent1"/>
                      <w:u w:val="none"/>
                      <w:vertAlign w:val="baseline"/>
                      <w:lang w:val="en-US" w:eastAsia="zh-CN"/>
                      <w14:textFill>
                        <w14:solidFill>
                          <w14:schemeClr w14:val="accent1"/>
                        </w14:solidFill>
                      </w14:textFill>
                    </w:rPr>
                  </w:pPr>
                  <w:r>
                    <w:rPr>
                      <w:rFonts w:hint="eastAsia"/>
                      <w:spacing w:val="0"/>
                      <w:sz w:val="21"/>
                      <w:szCs w:val="21"/>
                      <w:u w:val="none"/>
                      <w:lang w:val="en-US" w:eastAsia="zh-CN"/>
                    </w:rPr>
                    <w:t>3.5</w:t>
                  </w:r>
                </w:p>
              </w:tc>
              <w:tc>
                <w:tcPr>
                  <w:tcW w:w="2232" w:type="dxa"/>
                  <w:vAlign w:val="top"/>
                </w:tcPr>
                <w:p w14:paraId="06658236">
                  <w:pPr>
                    <w:pStyle w:val="7"/>
                    <w:ind w:firstLine="0" w:firstLineChars="0"/>
                    <w:jc w:val="center"/>
                    <w:rPr>
                      <w:rFonts w:hint="default" w:eastAsia="宋体"/>
                      <w:spacing w:val="0"/>
                      <w:sz w:val="21"/>
                      <w:szCs w:val="21"/>
                      <w:u w:val="none"/>
                      <w:lang w:val="en-US" w:eastAsia="zh-CN"/>
                    </w:rPr>
                  </w:pPr>
                  <w:r>
                    <w:rPr>
                      <w:rFonts w:hint="eastAsia"/>
                      <w:spacing w:val="0"/>
                      <w:sz w:val="21"/>
                      <w:szCs w:val="21"/>
                      <w:u w:val="none"/>
                      <w:lang w:val="en-US" w:eastAsia="zh-CN"/>
                    </w:rPr>
                    <w:t>1.0</w:t>
                  </w:r>
                </w:p>
              </w:tc>
            </w:tr>
            <w:tr w14:paraId="75148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vAlign w:val="top"/>
                </w:tcPr>
                <w:p w14:paraId="6A55CC90">
                  <w:pPr>
                    <w:pStyle w:val="7"/>
                    <w:ind w:firstLine="0" w:firstLineChars="0"/>
                    <w:jc w:val="center"/>
                    <w:rPr>
                      <w:rFonts w:hint="eastAsia"/>
                      <w:color w:val="4874CB" w:themeColor="accent1"/>
                      <w:u w:val="none"/>
                      <w:vertAlign w:val="baseline"/>
                      <w:lang w:val="en-US" w:eastAsia="zh-CN"/>
                      <w14:textFill>
                        <w14:solidFill>
                          <w14:schemeClr w14:val="accent1"/>
                        </w14:solidFill>
                      </w14:textFill>
                    </w:rPr>
                  </w:pPr>
                  <w:r>
                    <w:rPr>
                      <w:rFonts w:hint="eastAsia" w:eastAsia="宋体"/>
                      <w:spacing w:val="0"/>
                      <w:sz w:val="21"/>
                      <w:szCs w:val="21"/>
                      <w:u w:val="none"/>
                    </w:rPr>
                    <w:t>氯化氢</w:t>
                  </w:r>
                </w:p>
              </w:tc>
              <w:tc>
                <w:tcPr>
                  <w:tcW w:w="2340" w:type="dxa"/>
                  <w:vAlign w:val="top"/>
                </w:tcPr>
                <w:p w14:paraId="781ABFC7">
                  <w:pPr>
                    <w:pStyle w:val="7"/>
                    <w:ind w:firstLine="0" w:firstLineChars="0"/>
                    <w:jc w:val="center"/>
                    <w:rPr>
                      <w:rFonts w:hint="eastAsia"/>
                      <w:color w:val="4874CB" w:themeColor="accent1"/>
                      <w:u w:val="none"/>
                      <w:vertAlign w:val="baseline"/>
                      <w:lang w:val="en-US" w:eastAsia="zh-CN"/>
                      <w14:textFill>
                        <w14:solidFill>
                          <w14:schemeClr w14:val="accent1"/>
                        </w14:solidFill>
                      </w14:textFill>
                    </w:rPr>
                  </w:pPr>
                  <w:r>
                    <w:rPr>
                      <w:rFonts w:hint="eastAsia" w:eastAsia="宋体"/>
                      <w:spacing w:val="0"/>
                      <w:sz w:val="21"/>
                      <w:szCs w:val="21"/>
                      <w:u w:val="none"/>
                    </w:rPr>
                    <w:t>1</w:t>
                  </w:r>
                  <w:r>
                    <w:rPr>
                      <w:rFonts w:hint="eastAsia"/>
                      <w:spacing w:val="0"/>
                      <w:sz w:val="21"/>
                      <w:szCs w:val="21"/>
                      <w:u w:val="none"/>
                      <w:lang w:val="en-US" w:eastAsia="zh-CN"/>
                    </w:rPr>
                    <w:t>0</w:t>
                  </w:r>
                  <w:r>
                    <w:rPr>
                      <w:rFonts w:eastAsia="宋体"/>
                      <w:spacing w:val="0"/>
                      <w:sz w:val="21"/>
                      <w:szCs w:val="21"/>
                      <w:u w:val="none"/>
                    </w:rPr>
                    <w:t>0</w:t>
                  </w:r>
                </w:p>
              </w:tc>
              <w:tc>
                <w:tcPr>
                  <w:tcW w:w="2040" w:type="dxa"/>
                  <w:vAlign w:val="top"/>
                </w:tcPr>
                <w:p w14:paraId="24A39860">
                  <w:pPr>
                    <w:pStyle w:val="7"/>
                    <w:ind w:firstLine="0" w:firstLineChars="0"/>
                    <w:jc w:val="center"/>
                    <w:rPr>
                      <w:rFonts w:hint="default" w:eastAsia="宋体"/>
                      <w:color w:val="4874CB" w:themeColor="accent1"/>
                      <w:u w:val="none"/>
                      <w:vertAlign w:val="baseline"/>
                      <w:lang w:val="en-US" w:eastAsia="zh-CN"/>
                      <w14:textFill>
                        <w14:solidFill>
                          <w14:schemeClr w14:val="accent1"/>
                        </w14:solidFill>
                      </w14:textFill>
                    </w:rPr>
                  </w:pPr>
                  <w:r>
                    <w:rPr>
                      <w:rFonts w:hint="eastAsia" w:eastAsia="宋体"/>
                      <w:spacing w:val="0"/>
                      <w:sz w:val="21"/>
                      <w:szCs w:val="21"/>
                      <w:u w:val="none"/>
                    </w:rPr>
                    <w:t>0</w:t>
                  </w:r>
                  <w:r>
                    <w:rPr>
                      <w:rFonts w:eastAsia="宋体"/>
                      <w:spacing w:val="0"/>
                      <w:sz w:val="21"/>
                      <w:szCs w:val="21"/>
                      <w:u w:val="none"/>
                    </w:rPr>
                    <w:t>.</w:t>
                  </w:r>
                  <w:r>
                    <w:rPr>
                      <w:rFonts w:hint="eastAsia"/>
                      <w:spacing w:val="0"/>
                      <w:sz w:val="21"/>
                      <w:szCs w:val="21"/>
                      <w:u w:val="none"/>
                      <w:lang w:val="en-US" w:eastAsia="zh-CN"/>
                    </w:rPr>
                    <w:t>26</w:t>
                  </w:r>
                </w:p>
              </w:tc>
              <w:tc>
                <w:tcPr>
                  <w:tcW w:w="2232" w:type="dxa"/>
                  <w:vAlign w:val="top"/>
                </w:tcPr>
                <w:p w14:paraId="1637AFCA">
                  <w:pPr>
                    <w:pStyle w:val="7"/>
                    <w:ind w:firstLine="0" w:firstLineChars="0"/>
                    <w:jc w:val="center"/>
                    <w:rPr>
                      <w:rFonts w:hint="default" w:eastAsia="宋体"/>
                      <w:spacing w:val="0"/>
                      <w:sz w:val="21"/>
                      <w:szCs w:val="21"/>
                      <w:u w:val="none"/>
                      <w:lang w:val="en-US" w:eastAsia="zh-CN"/>
                    </w:rPr>
                  </w:pPr>
                  <w:r>
                    <w:rPr>
                      <w:rFonts w:hint="eastAsia"/>
                      <w:spacing w:val="0"/>
                      <w:sz w:val="21"/>
                      <w:szCs w:val="21"/>
                      <w:u w:val="none"/>
                      <w:lang w:val="en-US" w:eastAsia="zh-CN"/>
                    </w:rPr>
                    <w:t>0.2</w:t>
                  </w:r>
                </w:p>
              </w:tc>
            </w:tr>
            <w:tr w14:paraId="0E8D4C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2" w:type="dxa"/>
                  <w:vAlign w:val="top"/>
                </w:tcPr>
                <w:p w14:paraId="11981476">
                  <w:pPr>
                    <w:pStyle w:val="7"/>
                    <w:ind w:firstLine="0" w:firstLineChars="0"/>
                    <w:jc w:val="center"/>
                    <w:rPr>
                      <w:rFonts w:hint="eastAsia" w:eastAsia="宋体"/>
                      <w:spacing w:val="0"/>
                      <w:sz w:val="21"/>
                      <w:szCs w:val="21"/>
                      <w:u w:val="none"/>
                      <w:lang w:val="en-US" w:eastAsia="zh-CN"/>
                    </w:rPr>
                  </w:pPr>
                  <w:r>
                    <w:rPr>
                      <w:rFonts w:hint="eastAsia"/>
                      <w:spacing w:val="0"/>
                      <w:sz w:val="21"/>
                      <w:szCs w:val="21"/>
                      <w:u w:val="none"/>
                      <w:lang w:val="en-US" w:eastAsia="zh-CN"/>
                    </w:rPr>
                    <w:t>氮氧化物</w:t>
                  </w:r>
                </w:p>
              </w:tc>
              <w:tc>
                <w:tcPr>
                  <w:tcW w:w="2340" w:type="dxa"/>
                  <w:vAlign w:val="top"/>
                </w:tcPr>
                <w:p w14:paraId="770061BC">
                  <w:pPr>
                    <w:pStyle w:val="7"/>
                    <w:ind w:firstLine="0" w:firstLineChars="0"/>
                    <w:jc w:val="center"/>
                    <w:rPr>
                      <w:rFonts w:hint="default" w:eastAsia="宋体"/>
                      <w:spacing w:val="0"/>
                      <w:sz w:val="21"/>
                      <w:szCs w:val="21"/>
                      <w:u w:val="none"/>
                      <w:lang w:val="en-US" w:eastAsia="zh-CN"/>
                    </w:rPr>
                  </w:pPr>
                  <w:r>
                    <w:rPr>
                      <w:rFonts w:hint="eastAsia"/>
                      <w:spacing w:val="0"/>
                      <w:sz w:val="21"/>
                      <w:szCs w:val="21"/>
                      <w:u w:val="none"/>
                      <w:lang w:val="en-US" w:eastAsia="zh-CN"/>
                    </w:rPr>
                    <w:t>240</w:t>
                  </w:r>
                </w:p>
              </w:tc>
              <w:tc>
                <w:tcPr>
                  <w:tcW w:w="2040" w:type="dxa"/>
                  <w:vAlign w:val="top"/>
                </w:tcPr>
                <w:p w14:paraId="56DFC39E">
                  <w:pPr>
                    <w:pStyle w:val="7"/>
                    <w:ind w:firstLine="0" w:firstLineChars="0"/>
                    <w:jc w:val="center"/>
                    <w:rPr>
                      <w:rFonts w:hint="default" w:eastAsia="宋体"/>
                      <w:spacing w:val="0"/>
                      <w:sz w:val="21"/>
                      <w:szCs w:val="21"/>
                      <w:u w:val="none"/>
                      <w:lang w:val="en-US" w:eastAsia="zh-CN"/>
                    </w:rPr>
                  </w:pPr>
                  <w:r>
                    <w:rPr>
                      <w:rFonts w:hint="eastAsia"/>
                      <w:spacing w:val="0"/>
                      <w:sz w:val="21"/>
                      <w:szCs w:val="21"/>
                      <w:u w:val="none"/>
                      <w:lang w:val="en-US" w:eastAsia="zh-CN"/>
                    </w:rPr>
                    <w:t>0.77</w:t>
                  </w:r>
                </w:p>
              </w:tc>
              <w:tc>
                <w:tcPr>
                  <w:tcW w:w="2232" w:type="dxa"/>
                  <w:vAlign w:val="top"/>
                </w:tcPr>
                <w:p w14:paraId="5C73518F">
                  <w:pPr>
                    <w:pStyle w:val="7"/>
                    <w:ind w:firstLine="0" w:firstLineChars="0"/>
                    <w:jc w:val="center"/>
                    <w:rPr>
                      <w:rFonts w:hint="default"/>
                      <w:spacing w:val="0"/>
                      <w:sz w:val="21"/>
                      <w:szCs w:val="21"/>
                      <w:u w:val="none"/>
                      <w:lang w:val="en-US" w:eastAsia="zh-CN"/>
                    </w:rPr>
                  </w:pPr>
                  <w:r>
                    <w:rPr>
                      <w:rFonts w:hint="eastAsia"/>
                      <w:spacing w:val="0"/>
                      <w:sz w:val="21"/>
                      <w:szCs w:val="21"/>
                      <w:u w:val="none"/>
                      <w:lang w:val="en-US" w:eastAsia="zh-CN"/>
                    </w:rPr>
                    <w:t>0.12</w:t>
                  </w:r>
                </w:p>
              </w:tc>
            </w:tr>
          </w:tbl>
          <w:p w14:paraId="654FDE2C">
            <w:pPr>
              <w:pStyle w:val="23"/>
              <w:bidi w:val="0"/>
              <w:jc w:val="center"/>
              <w:rPr>
                <w:rFonts w:hint="default"/>
                <w:color w:val="4874CB" w:themeColor="accent1"/>
                <w:lang w:val="en-US" w:eastAsia="zh-CN"/>
                <w14:textFill>
                  <w14:solidFill>
                    <w14:schemeClr w14:val="accent1"/>
                  </w14:solidFill>
                </w14:textFill>
              </w:rPr>
            </w:pPr>
            <w:r>
              <w:rPr>
                <w:rFonts w:hint="default"/>
                <w:color w:val="auto"/>
                <w:lang w:val="en-US" w:eastAsia="zh-CN"/>
              </w:rPr>
              <w:t>表3-</w:t>
            </w:r>
            <w:r>
              <w:rPr>
                <w:rFonts w:hint="eastAsia"/>
                <w:color w:val="auto"/>
                <w:lang w:val="en-US" w:eastAsia="zh-CN"/>
              </w:rPr>
              <w:t>6</w:t>
            </w:r>
            <w:r>
              <w:rPr>
                <w:rFonts w:hint="default"/>
                <w:color w:val="4874CB" w:themeColor="accent1"/>
                <w:lang w:val="en-US" w:eastAsia="zh-CN"/>
                <w14:textFill>
                  <w14:solidFill>
                    <w14:schemeClr w14:val="accent1"/>
                  </w14:solidFill>
                </w14:textFill>
              </w:rPr>
              <w:t xml:space="preserve"> </w:t>
            </w:r>
            <w:r>
              <w:rPr>
                <w:rFonts w:hint="eastAsia" w:eastAsia="宋体"/>
                <w:b/>
                <w:spacing w:val="0"/>
                <w:sz w:val="21"/>
                <w:szCs w:val="21"/>
                <w:u w:val="none"/>
              </w:rPr>
              <w:t>《恶臭污染物排放标准限值》（GB 14554-</w:t>
            </w:r>
            <w:r>
              <w:rPr>
                <w:rFonts w:hint="eastAsia"/>
                <w:b/>
                <w:spacing w:val="0"/>
                <w:sz w:val="21"/>
                <w:szCs w:val="21"/>
                <w:u w:val="none"/>
                <w:lang w:val="en-US" w:eastAsia="zh-CN"/>
              </w:rPr>
              <w:t>19</w:t>
            </w:r>
            <w:r>
              <w:rPr>
                <w:rFonts w:hint="eastAsia" w:eastAsia="宋体"/>
                <w:b/>
                <w:spacing w:val="0"/>
                <w:sz w:val="21"/>
                <w:szCs w:val="21"/>
                <w:u w:val="none"/>
              </w:rPr>
              <w:t>93）</w:t>
            </w:r>
          </w:p>
          <w:tbl>
            <w:tblPr>
              <w:tblStyle w:val="16"/>
              <w:tblW w:w="79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2613"/>
              <w:gridCol w:w="3477"/>
            </w:tblGrid>
            <w:tr w14:paraId="784D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4" w:type="dxa"/>
                  <w:vAlign w:val="top"/>
                </w:tcPr>
                <w:p w14:paraId="69203F10">
                  <w:pPr>
                    <w:pStyle w:val="7"/>
                    <w:ind w:firstLine="0" w:firstLineChars="0"/>
                    <w:jc w:val="center"/>
                    <w:rPr>
                      <w:rFonts w:hint="default"/>
                      <w:color w:val="4874CB" w:themeColor="accent1"/>
                      <w:u w:val="none"/>
                      <w:vertAlign w:val="baseline"/>
                      <w:lang w:val="en-US" w:eastAsia="zh-CN"/>
                      <w14:textFill>
                        <w14:solidFill>
                          <w14:schemeClr w14:val="accent1"/>
                        </w14:solidFill>
                      </w14:textFill>
                    </w:rPr>
                  </w:pPr>
                  <w:r>
                    <w:rPr>
                      <w:rFonts w:hint="eastAsia" w:eastAsia="宋体"/>
                      <w:spacing w:val="0"/>
                      <w:sz w:val="21"/>
                      <w:szCs w:val="21"/>
                      <w:u w:val="none"/>
                    </w:rPr>
                    <w:t>污染物名称</w:t>
                  </w:r>
                </w:p>
              </w:tc>
              <w:tc>
                <w:tcPr>
                  <w:tcW w:w="2613" w:type="dxa"/>
                  <w:vAlign w:val="top"/>
                </w:tcPr>
                <w:p w14:paraId="7AD35EE6">
                  <w:pPr>
                    <w:pStyle w:val="7"/>
                    <w:ind w:firstLine="0" w:firstLineChars="0"/>
                    <w:jc w:val="center"/>
                    <w:rPr>
                      <w:rFonts w:hint="default"/>
                      <w:color w:val="4874CB" w:themeColor="accent1"/>
                      <w:u w:val="none"/>
                      <w:vertAlign w:val="baseline"/>
                      <w:lang w:val="en-US" w:eastAsia="zh-CN"/>
                      <w14:textFill>
                        <w14:solidFill>
                          <w14:schemeClr w14:val="accent1"/>
                        </w14:solidFill>
                      </w14:textFill>
                    </w:rPr>
                  </w:pPr>
                  <w:r>
                    <w:rPr>
                      <w:rFonts w:hint="eastAsia" w:eastAsia="宋体"/>
                      <w:spacing w:val="0"/>
                      <w:sz w:val="21"/>
                      <w:szCs w:val="21"/>
                      <w:u w:val="none"/>
                    </w:rPr>
                    <w:t>最高允许排放速率，kg</w:t>
                  </w:r>
                  <w:r>
                    <w:rPr>
                      <w:rFonts w:eastAsia="宋体"/>
                      <w:spacing w:val="0"/>
                      <w:sz w:val="21"/>
                      <w:szCs w:val="21"/>
                      <w:u w:val="none"/>
                    </w:rPr>
                    <w:t>/</w:t>
                  </w:r>
                  <w:r>
                    <w:rPr>
                      <w:rFonts w:hint="eastAsia" w:eastAsia="宋体"/>
                      <w:spacing w:val="0"/>
                      <w:sz w:val="21"/>
                      <w:szCs w:val="21"/>
                      <w:u w:val="none"/>
                    </w:rPr>
                    <w:t>h</w:t>
                  </w:r>
                </w:p>
              </w:tc>
              <w:tc>
                <w:tcPr>
                  <w:tcW w:w="3477" w:type="dxa"/>
                  <w:vAlign w:val="top"/>
                </w:tcPr>
                <w:p w14:paraId="5B9CECC1">
                  <w:pPr>
                    <w:pStyle w:val="7"/>
                    <w:ind w:firstLine="0" w:firstLineChars="0"/>
                    <w:jc w:val="center"/>
                    <w:rPr>
                      <w:rFonts w:hint="default"/>
                      <w:color w:val="4874CB" w:themeColor="accent1"/>
                      <w:u w:val="none"/>
                      <w:vertAlign w:val="baseline"/>
                      <w:lang w:val="en-US" w:eastAsia="zh-CN"/>
                      <w14:textFill>
                        <w14:solidFill>
                          <w14:schemeClr w14:val="accent1"/>
                        </w14:solidFill>
                      </w14:textFill>
                    </w:rPr>
                  </w:pPr>
                  <w:r>
                    <w:rPr>
                      <w:rFonts w:hint="eastAsia"/>
                      <w:spacing w:val="0"/>
                      <w:sz w:val="21"/>
                      <w:szCs w:val="21"/>
                      <w:u w:val="none"/>
                      <w:lang w:val="en-US" w:eastAsia="zh-CN"/>
                    </w:rPr>
                    <w:t>无组织排放监控浓度限值</w:t>
                  </w:r>
                  <w:r>
                    <w:rPr>
                      <w:rFonts w:hint="eastAsia" w:eastAsia="宋体"/>
                      <w:spacing w:val="0"/>
                      <w:sz w:val="21"/>
                      <w:szCs w:val="21"/>
                      <w:u w:val="none"/>
                    </w:rPr>
                    <w:t>，mg</w:t>
                  </w:r>
                  <w:r>
                    <w:rPr>
                      <w:rFonts w:eastAsia="宋体"/>
                      <w:spacing w:val="0"/>
                      <w:sz w:val="21"/>
                      <w:szCs w:val="21"/>
                      <w:u w:val="none"/>
                    </w:rPr>
                    <w:t>/</w:t>
                  </w:r>
                  <w:r>
                    <w:rPr>
                      <w:rFonts w:hint="eastAsia" w:eastAsia="宋体"/>
                      <w:spacing w:val="0"/>
                      <w:sz w:val="21"/>
                      <w:szCs w:val="21"/>
                      <w:u w:val="none"/>
                    </w:rPr>
                    <w:t>m</w:t>
                  </w:r>
                  <w:r>
                    <w:rPr>
                      <w:rFonts w:eastAsia="宋体"/>
                      <w:spacing w:val="0"/>
                      <w:sz w:val="21"/>
                      <w:szCs w:val="21"/>
                      <w:u w:val="none"/>
                      <w:vertAlign w:val="superscript"/>
                    </w:rPr>
                    <w:t>3</w:t>
                  </w:r>
                </w:p>
              </w:tc>
            </w:tr>
            <w:tr w14:paraId="6C4F6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4" w:type="dxa"/>
                  <w:vAlign w:val="top"/>
                </w:tcPr>
                <w:p w14:paraId="43829B1A">
                  <w:pPr>
                    <w:pStyle w:val="7"/>
                    <w:ind w:firstLine="0" w:firstLineChars="0"/>
                    <w:jc w:val="center"/>
                    <w:rPr>
                      <w:rFonts w:hint="default"/>
                      <w:color w:val="4874CB" w:themeColor="accent1"/>
                      <w:u w:val="none"/>
                      <w:vertAlign w:val="baseline"/>
                      <w:lang w:val="en-US" w:eastAsia="zh-CN"/>
                      <w14:textFill>
                        <w14:solidFill>
                          <w14:schemeClr w14:val="accent1"/>
                        </w14:solidFill>
                      </w14:textFill>
                    </w:rPr>
                  </w:pPr>
                  <w:r>
                    <w:rPr>
                      <w:rFonts w:hint="eastAsia" w:eastAsia="宋体"/>
                      <w:spacing w:val="0"/>
                      <w:sz w:val="21"/>
                      <w:szCs w:val="21"/>
                      <w:u w:val="none"/>
                    </w:rPr>
                    <w:t>氨</w:t>
                  </w:r>
                </w:p>
              </w:tc>
              <w:tc>
                <w:tcPr>
                  <w:tcW w:w="2613" w:type="dxa"/>
                  <w:vAlign w:val="top"/>
                </w:tcPr>
                <w:p w14:paraId="60ABFF8C">
                  <w:pPr>
                    <w:pStyle w:val="7"/>
                    <w:ind w:firstLine="0" w:firstLineChars="0"/>
                    <w:jc w:val="center"/>
                    <w:rPr>
                      <w:rFonts w:hint="default"/>
                      <w:color w:val="4874CB" w:themeColor="accent1"/>
                      <w:u w:val="none"/>
                      <w:vertAlign w:val="baseline"/>
                      <w:lang w:val="en-US" w:eastAsia="zh-CN"/>
                      <w14:textFill>
                        <w14:solidFill>
                          <w14:schemeClr w14:val="accent1"/>
                        </w14:solidFill>
                      </w14:textFill>
                    </w:rPr>
                  </w:pPr>
                  <w:r>
                    <w:rPr>
                      <w:rFonts w:hint="eastAsia" w:eastAsia="宋体"/>
                      <w:spacing w:val="0"/>
                      <w:sz w:val="21"/>
                      <w:szCs w:val="21"/>
                      <w:u w:val="none"/>
                    </w:rPr>
                    <w:t>4</w:t>
                  </w:r>
                  <w:r>
                    <w:rPr>
                      <w:rFonts w:eastAsia="宋体"/>
                      <w:spacing w:val="0"/>
                      <w:sz w:val="21"/>
                      <w:szCs w:val="21"/>
                      <w:u w:val="none"/>
                    </w:rPr>
                    <w:t>.9</w:t>
                  </w:r>
                </w:p>
              </w:tc>
              <w:tc>
                <w:tcPr>
                  <w:tcW w:w="3477" w:type="dxa"/>
                  <w:vAlign w:val="top"/>
                </w:tcPr>
                <w:p w14:paraId="3EF81ABE">
                  <w:pPr>
                    <w:pStyle w:val="7"/>
                    <w:ind w:firstLine="0" w:firstLineChars="0"/>
                    <w:jc w:val="center"/>
                    <w:rPr>
                      <w:rFonts w:hint="default" w:eastAsia="宋体"/>
                      <w:color w:val="4874CB" w:themeColor="accent1"/>
                      <w:u w:val="none"/>
                      <w:vertAlign w:val="baseline"/>
                      <w:lang w:val="en-US" w:eastAsia="zh-CN"/>
                      <w14:textFill>
                        <w14:solidFill>
                          <w14:schemeClr w14:val="accent1"/>
                        </w14:solidFill>
                      </w14:textFill>
                    </w:rPr>
                  </w:pPr>
                  <w:r>
                    <w:rPr>
                      <w:rFonts w:hint="eastAsia"/>
                      <w:spacing w:val="0"/>
                      <w:sz w:val="21"/>
                      <w:szCs w:val="21"/>
                      <w:u w:val="none"/>
                      <w:lang w:val="en-US" w:eastAsia="zh-CN"/>
                    </w:rPr>
                    <w:t>1.5</w:t>
                  </w:r>
                </w:p>
              </w:tc>
            </w:tr>
          </w:tbl>
          <w:p w14:paraId="0E6362B0">
            <w:pPr>
              <w:pStyle w:val="23"/>
              <w:bidi w:val="0"/>
              <w:jc w:val="center"/>
              <w:rPr>
                <w:rFonts w:hint="default"/>
                <w:color w:val="4874CB" w:themeColor="accent1"/>
                <w:u w:val="single" w:color="auto"/>
                <w:lang w:val="en-US" w:eastAsia="zh-CN"/>
                <w14:textFill>
                  <w14:solidFill>
                    <w14:schemeClr w14:val="accent1"/>
                  </w14:solidFill>
                </w14:textFill>
              </w:rPr>
            </w:pPr>
            <w:r>
              <w:rPr>
                <w:rFonts w:hint="default"/>
                <w:color w:val="auto"/>
                <w:lang w:val="en-US" w:eastAsia="zh-CN"/>
              </w:rPr>
              <w:t>表3-</w:t>
            </w:r>
            <w:r>
              <w:rPr>
                <w:rFonts w:hint="eastAsia"/>
                <w:color w:val="auto"/>
                <w:lang w:val="en-US" w:eastAsia="zh-CN"/>
              </w:rPr>
              <w:t>7</w:t>
            </w:r>
            <w:r>
              <w:rPr>
                <w:rFonts w:hint="default"/>
                <w:color w:val="4874CB" w:themeColor="accent1"/>
                <w:lang w:val="en-US" w:eastAsia="zh-CN"/>
                <w14:textFill>
                  <w14:solidFill>
                    <w14:schemeClr w14:val="accent1"/>
                  </w14:solidFill>
                </w14:textFill>
              </w:rPr>
              <w:t xml:space="preserve"> </w:t>
            </w:r>
            <w:r>
              <w:rPr>
                <w:rFonts w:hint="eastAsia" w:eastAsia="宋体"/>
                <w:b/>
                <w:spacing w:val="0"/>
                <w:sz w:val="21"/>
                <w:szCs w:val="21"/>
                <w:u w:val="single" w:color="auto"/>
              </w:rPr>
              <w:t>《工业炉窑大气污染物排放标准》（GB 9078-1996）</w:t>
            </w:r>
          </w:p>
          <w:tbl>
            <w:tblPr>
              <w:tblStyle w:val="16"/>
              <w:tblW w:w="79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4"/>
              <w:gridCol w:w="2625"/>
              <w:gridCol w:w="3465"/>
            </w:tblGrid>
            <w:tr w14:paraId="3994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4" w:type="dxa"/>
                  <w:vAlign w:val="top"/>
                </w:tcPr>
                <w:p w14:paraId="7887C24F">
                  <w:pPr>
                    <w:pStyle w:val="7"/>
                    <w:ind w:firstLine="0" w:firstLineChars="0"/>
                    <w:jc w:val="center"/>
                    <w:rPr>
                      <w:rFonts w:hint="default"/>
                      <w:color w:val="4874CB" w:themeColor="accent1"/>
                      <w:u w:val="single" w:color="auto"/>
                      <w:vertAlign w:val="baseline"/>
                      <w:lang w:val="en-US" w:eastAsia="zh-CN"/>
                      <w14:textFill>
                        <w14:solidFill>
                          <w14:schemeClr w14:val="accent1"/>
                        </w14:solidFill>
                      </w14:textFill>
                    </w:rPr>
                  </w:pPr>
                  <w:r>
                    <w:rPr>
                      <w:rFonts w:hint="eastAsia" w:eastAsia="宋体"/>
                      <w:spacing w:val="0"/>
                      <w:sz w:val="21"/>
                      <w:szCs w:val="21"/>
                      <w:u w:val="single" w:color="auto"/>
                    </w:rPr>
                    <w:t>污染物名称</w:t>
                  </w:r>
                </w:p>
              </w:tc>
              <w:tc>
                <w:tcPr>
                  <w:tcW w:w="2625" w:type="dxa"/>
                  <w:vAlign w:val="top"/>
                </w:tcPr>
                <w:p w14:paraId="4A7B3DB8">
                  <w:pPr>
                    <w:pStyle w:val="7"/>
                    <w:ind w:firstLine="0" w:firstLineChars="0"/>
                    <w:jc w:val="center"/>
                    <w:rPr>
                      <w:rFonts w:hint="default"/>
                      <w:color w:val="4874CB" w:themeColor="accent1"/>
                      <w:u w:val="single" w:color="auto"/>
                      <w:vertAlign w:val="baseline"/>
                      <w:lang w:val="en-US" w:eastAsia="zh-CN"/>
                      <w14:textFill>
                        <w14:solidFill>
                          <w14:schemeClr w14:val="accent1"/>
                        </w14:solidFill>
                      </w14:textFill>
                    </w:rPr>
                  </w:pPr>
                  <w:r>
                    <w:rPr>
                      <w:rFonts w:hint="eastAsia" w:eastAsia="宋体"/>
                      <w:spacing w:val="0"/>
                      <w:sz w:val="21"/>
                      <w:szCs w:val="21"/>
                      <w:u w:val="single" w:color="auto"/>
                    </w:rPr>
                    <w:t>颗粒物</w:t>
                  </w:r>
                </w:p>
              </w:tc>
              <w:tc>
                <w:tcPr>
                  <w:tcW w:w="3465" w:type="dxa"/>
                  <w:vAlign w:val="top"/>
                </w:tcPr>
                <w:p w14:paraId="390EA1C1">
                  <w:pPr>
                    <w:pStyle w:val="7"/>
                    <w:ind w:firstLine="0" w:firstLineChars="0"/>
                    <w:jc w:val="center"/>
                    <w:rPr>
                      <w:rFonts w:hint="eastAsia" w:eastAsia="宋体"/>
                      <w:spacing w:val="0"/>
                      <w:sz w:val="21"/>
                      <w:szCs w:val="21"/>
                      <w:u w:val="single" w:color="auto"/>
                    </w:rPr>
                  </w:pPr>
                  <w:r>
                    <w:rPr>
                      <w:rFonts w:hint="eastAsia" w:eastAsia="宋体"/>
                      <w:spacing w:val="0"/>
                      <w:sz w:val="21"/>
                      <w:szCs w:val="21"/>
                      <w:u w:val="single" w:color="auto"/>
                    </w:rPr>
                    <w:t>二氧化硫</w:t>
                  </w:r>
                </w:p>
              </w:tc>
            </w:tr>
            <w:tr w14:paraId="283D1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14" w:type="dxa"/>
                  <w:vAlign w:val="top"/>
                </w:tcPr>
                <w:p w14:paraId="4D07729B">
                  <w:pPr>
                    <w:pStyle w:val="7"/>
                    <w:ind w:firstLine="0" w:firstLineChars="0"/>
                    <w:jc w:val="center"/>
                    <w:rPr>
                      <w:rFonts w:hint="default"/>
                      <w:color w:val="4874CB" w:themeColor="accent1"/>
                      <w:u w:val="single" w:color="auto"/>
                      <w:vertAlign w:val="baseline"/>
                      <w:lang w:val="en-US" w:eastAsia="zh-CN"/>
                      <w14:textFill>
                        <w14:solidFill>
                          <w14:schemeClr w14:val="accent1"/>
                        </w14:solidFill>
                      </w14:textFill>
                    </w:rPr>
                  </w:pPr>
                  <w:r>
                    <w:rPr>
                      <w:rFonts w:hint="eastAsia" w:eastAsia="宋体"/>
                      <w:spacing w:val="0"/>
                      <w:sz w:val="21"/>
                      <w:szCs w:val="21"/>
                      <w:u w:val="single" w:color="auto"/>
                    </w:rPr>
                    <w:t>标准（mg</w:t>
                  </w:r>
                  <w:r>
                    <w:rPr>
                      <w:rFonts w:eastAsia="宋体"/>
                      <w:spacing w:val="0"/>
                      <w:sz w:val="21"/>
                      <w:szCs w:val="21"/>
                      <w:u w:val="single" w:color="auto"/>
                    </w:rPr>
                    <w:t>/</w:t>
                  </w:r>
                  <w:r>
                    <w:rPr>
                      <w:rFonts w:hint="eastAsia" w:eastAsia="宋体"/>
                      <w:spacing w:val="0"/>
                      <w:sz w:val="21"/>
                      <w:szCs w:val="21"/>
                      <w:u w:val="single" w:color="auto"/>
                    </w:rPr>
                    <w:t>m</w:t>
                  </w:r>
                  <w:r>
                    <w:rPr>
                      <w:rFonts w:eastAsia="宋体"/>
                      <w:spacing w:val="0"/>
                      <w:sz w:val="21"/>
                      <w:szCs w:val="21"/>
                      <w:u w:val="single" w:color="auto"/>
                      <w:vertAlign w:val="superscript"/>
                    </w:rPr>
                    <w:t>3</w:t>
                  </w:r>
                  <w:r>
                    <w:rPr>
                      <w:rFonts w:hint="eastAsia" w:eastAsia="宋体"/>
                      <w:spacing w:val="0"/>
                      <w:sz w:val="21"/>
                      <w:szCs w:val="21"/>
                      <w:u w:val="single" w:color="auto"/>
                    </w:rPr>
                    <w:t>）</w:t>
                  </w:r>
                </w:p>
              </w:tc>
              <w:tc>
                <w:tcPr>
                  <w:tcW w:w="2625" w:type="dxa"/>
                  <w:vAlign w:val="top"/>
                </w:tcPr>
                <w:p w14:paraId="2AC39B6C">
                  <w:pPr>
                    <w:pStyle w:val="7"/>
                    <w:ind w:firstLine="0" w:firstLineChars="0"/>
                    <w:jc w:val="center"/>
                    <w:rPr>
                      <w:rFonts w:hint="default"/>
                      <w:color w:val="auto"/>
                      <w:sz w:val="21"/>
                      <w:szCs w:val="21"/>
                      <w:u w:val="single" w:color="auto"/>
                      <w:vertAlign w:val="baseline"/>
                      <w:lang w:val="en-US" w:eastAsia="zh-CN"/>
                    </w:rPr>
                  </w:pPr>
                  <w:r>
                    <w:rPr>
                      <w:rFonts w:hint="eastAsia"/>
                      <w:color w:val="auto"/>
                      <w:sz w:val="21"/>
                      <w:szCs w:val="21"/>
                      <w:u w:val="single" w:color="auto"/>
                      <w:vertAlign w:val="baseline"/>
                      <w:lang w:val="en-US" w:eastAsia="zh-CN"/>
                    </w:rPr>
                    <w:t>200</w:t>
                  </w:r>
                </w:p>
              </w:tc>
              <w:tc>
                <w:tcPr>
                  <w:tcW w:w="3465" w:type="dxa"/>
                  <w:vAlign w:val="top"/>
                </w:tcPr>
                <w:p w14:paraId="7C0497CA">
                  <w:pPr>
                    <w:pStyle w:val="7"/>
                    <w:ind w:firstLine="0" w:firstLineChars="0"/>
                    <w:jc w:val="center"/>
                    <w:rPr>
                      <w:rFonts w:hint="default" w:eastAsia="宋体"/>
                      <w:color w:val="auto"/>
                      <w:spacing w:val="0"/>
                      <w:sz w:val="21"/>
                      <w:szCs w:val="21"/>
                      <w:u w:val="single" w:color="auto"/>
                      <w:lang w:val="en-US"/>
                    </w:rPr>
                  </w:pPr>
                  <w:r>
                    <w:rPr>
                      <w:rFonts w:hint="eastAsia"/>
                      <w:color w:val="auto"/>
                      <w:sz w:val="21"/>
                      <w:szCs w:val="21"/>
                      <w:u w:val="single" w:color="auto"/>
                      <w:vertAlign w:val="baseline"/>
                      <w:lang w:val="en-US" w:eastAsia="zh-CN"/>
                    </w:rPr>
                    <w:t>850</w:t>
                  </w:r>
                </w:p>
              </w:tc>
            </w:tr>
          </w:tbl>
          <w:p w14:paraId="49C90815">
            <w:pPr>
              <w:pStyle w:val="21"/>
              <w:numPr>
                <w:ilvl w:val="0"/>
                <w:numId w:val="0"/>
              </w:numPr>
              <w:bidi w:val="0"/>
              <w:rPr>
                <w:rFonts w:hint="eastAsia"/>
                <w:color w:val="auto"/>
                <w:lang w:val="en-US" w:eastAsia="zh-CN"/>
              </w:rPr>
            </w:pPr>
          </w:p>
          <w:p w14:paraId="60941FB0">
            <w:pPr>
              <w:pStyle w:val="21"/>
              <w:numPr>
                <w:ilvl w:val="0"/>
                <w:numId w:val="0"/>
              </w:numPr>
              <w:bidi w:val="0"/>
              <w:ind w:firstLine="482" w:firstLineChars="200"/>
              <w:rPr>
                <w:rFonts w:hint="eastAsia"/>
                <w:color w:val="auto"/>
                <w:lang w:val="en-US" w:eastAsia="zh-CN"/>
              </w:rPr>
            </w:pPr>
            <w:r>
              <w:rPr>
                <w:rFonts w:hint="eastAsia"/>
                <w:color w:val="auto"/>
                <w:lang w:val="en-US" w:eastAsia="zh-CN"/>
              </w:rPr>
              <w:t>2、废水排放标准</w:t>
            </w:r>
          </w:p>
          <w:p w14:paraId="3531381B">
            <w:pPr>
              <w:spacing w:line="360" w:lineRule="auto"/>
              <w:ind w:firstLine="480" w:firstLineChars="200"/>
              <w:jc w:val="left"/>
              <w:rPr>
                <w:rFonts w:hint="eastAsia"/>
                <w:color w:val="auto"/>
                <w:lang w:val="en-US" w:eastAsia="zh-CN"/>
              </w:rPr>
            </w:pPr>
            <w:r>
              <w:rPr>
                <w:rFonts w:hint="eastAsia"/>
                <w:sz w:val="24"/>
                <w:szCs w:val="24"/>
                <w:u w:val="single"/>
                <w:lang w:val="en-US" w:eastAsia="zh-CN"/>
              </w:rPr>
              <w:t>项目运营期，</w:t>
            </w:r>
            <w:r>
              <w:rPr>
                <w:rFonts w:hint="eastAsia"/>
                <w:color w:val="auto"/>
                <w:u w:val="single"/>
                <w:lang w:val="en-US" w:eastAsia="zh-CN"/>
              </w:rPr>
              <w:t>生活污水执行</w:t>
            </w:r>
            <w:r>
              <w:rPr>
                <w:szCs w:val="21"/>
                <w:u w:val="single" w:color="auto"/>
              </w:rPr>
              <w:t>《污水综合排放标准》（GB8978-1996）表4中三级标准</w:t>
            </w:r>
            <w:r>
              <w:rPr>
                <w:rFonts w:hint="eastAsia"/>
                <w:szCs w:val="21"/>
                <w:u w:val="single" w:color="auto"/>
                <w:lang w:val="en-US" w:eastAsia="zh-CN"/>
              </w:rPr>
              <w:t>和岳阳高新技术产业园区长湖片污水处理厂生活污水进水水质标准从严执行</w:t>
            </w:r>
            <w:r>
              <w:rPr>
                <w:rFonts w:hint="eastAsia"/>
                <w:color w:val="auto"/>
                <w:lang w:val="en-US" w:eastAsia="zh-CN"/>
              </w:rPr>
              <w:t>。</w:t>
            </w:r>
          </w:p>
          <w:p w14:paraId="69BB6B53">
            <w:pPr>
              <w:pStyle w:val="23"/>
              <w:bidi w:val="0"/>
              <w:rPr>
                <w:rFonts w:hint="default"/>
                <w:color w:val="auto"/>
                <w:u w:val="single" w:color="auto"/>
                <w:lang w:val="en-US" w:eastAsia="zh-CN"/>
              </w:rPr>
            </w:pPr>
            <w:r>
              <w:rPr>
                <w:rFonts w:hint="default"/>
                <w:color w:val="auto"/>
                <w:lang w:val="en-US" w:eastAsia="zh-CN"/>
              </w:rPr>
              <w:t>表3-</w:t>
            </w:r>
            <w:r>
              <w:rPr>
                <w:rFonts w:hint="eastAsia"/>
                <w:color w:val="auto"/>
                <w:lang w:val="en-US" w:eastAsia="zh-CN"/>
              </w:rPr>
              <w:t>8</w:t>
            </w:r>
            <w:r>
              <w:rPr>
                <w:rFonts w:hint="default"/>
                <w:color w:val="4874CB" w:themeColor="accent1"/>
                <w:lang w:val="en-US" w:eastAsia="zh-CN"/>
                <w14:textFill>
                  <w14:solidFill>
                    <w14:schemeClr w14:val="accent1"/>
                  </w14:solidFill>
                </w14:textFill>
              </w:rPr>
              <w:t xml:space="preserve"> </w:t>
            </w:r>
            <w:r>
              <w:rPr>
                <w:rFonts w:hint="eastAsia" w:eastAsia="宋体"/>
                <w:b/>
                <w:color w:val="auto"/>
                <w:spacing w:val="0"/>
                <w:sz w:val="21"/>
                <w:szCs w:val="21"/>
                <w:u w:val="single" w:color="auto"/>
              </w:rPr>
              <w:t>《污水综合排放标准》（GB8978-1996）</w:t>
            </w:r>
          </w:p>
          <w:tbl>
            <w:tblPr>
              <w:tblStyle w:val="16"/>
              <w:tblW w:w="79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4"/>
              <w:gridCol w:w="2955"/>
              <w:gridCol w:w="2115"/>
            </w:tblGrid>
            <w:tr w14:paraId="33AC9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vAlign w:val="top"/>
                </w:tcPr>
                <w:p w14:paraId="1478C866">
                  <w:pPr>
                    <w:pStyle w:val="7"/>
                    <w:ind w:firstLine="0" w:firstLineChars="0"/>
                    <w:jc w:val="center"/>
                    <w:rPr>
                      <w:rFonts w:hint="default"/>
                      <w:color w:val="auto"/>
                      <w:u w:val="single" w:color="auto"/>
                      <w:vertAlign w:val="baseline"/>
                      <w:lang w:val="en-US" w:eastAsia="zh-CN"/>
                    </w:rPr>
                  </w:pPr>
                  <w:r>
                    <w:rPr>
                      <w:rFonts w:hint="eastAsia" w:eastAsia="宋体"/>
                      <w:color w:val="auto"/>
                      <w:spacing w:val="0"/>
                      <w:sz w:val="21"/>
                      <w:szCs w:val="21"/>
                      <w:u w:val="single" w:color="auto"/>
                    </w:rPr>
                    <w:t>污染物名称</w:t>
                  </w:r>
                </w:p>
              </w:tc>
              <w:tc>
                <w:tcPr>
                  <w:tcW w:w="2955" w:type="dxa"/>
                  <w:vAlign w:val="top"/>
                </w:tcPr>
                <w:p w14:paraId="526F53CB">
                  <w:pPr>
                    <w:pStyle w:val="7"/>
                    <w:ind w:firstLine="0" w:firstLineChars="0"/>
                    <w:jc w:val="center"/>
                    <w:rPr>
                      <w:rFonts w:hint="default"/>
                      <w:color w:val="auto"/>
                      <w:u w:val="single" w:color="auto"/>
                      <w:vertAlign w:val="baseline"/>
                      <w:lang w:val="en-US" w:eastAsia="zh-CN"/>
                    </w:rPr>
                  </w:pPr>
                  <w:r>
                    <w:rPr>
                      <w:rFonts w:hint="eastAsia"/>
                      <w:color w:val="auto"/>
                      <w:sz w:val="21"/>
                      <w:szCs w:val="21"/>
                      <w:u w:val="single" w:color="auto"/>
                      <w:vertAlign w:val="baseline"/>
                      <w:lang w:val="en-US" w:eastAsia="zh-CN"/>
                    </w:rPr>
                    <w:t>执行标准</w:t>
                  </w:r>
                </w:p>
              </w:tc>
              <w:tc>
                <w:tcPr>
                  <w:tcW w:w="2115" w:type="dxa"/>
                  <w:vAlign w:val="top"/>
                </w:tcPr>
                <w:p w14:paraId="26604DF9">
                  <w:pPr>
                    <w:pStyle w:val="7"/>
                    <w:ind w:firstLine="0" w:firstLineChars="0"/>
                    <w:jc w:val="center"/>
                    <w:rPr>
                      <w:rFonts w:hint="default"/>
                      <w:color w:val="auto"/>
                      <w:sz w:val="21"/>
                      <w:szCs w:val="21"/>
                      <w:u w:val="single" w:color="auto"/>
                      <w:vertAlign w:val="baseline"/>
                      <w:lang w:val="en-US" w:eastAsia="zh-CN"/>
                    </w:rPr>
                  </w:pPr>
                  <w:r>
                    <w:rPr>
                      <w:rFonts w:hint="eastAsia"/>
                      <w:color w:val="auto"/>
                      <w:sz w:val="21"/>
                      <w:szCs w:val="21"/>
                      <w:u w:val="single" w:color="auto"/>
                      <w:vertAlign w:val="baseline"/>
                      <w:lang w:val="en-US" w:eastAsia="zh-CN"/>
                    </w:rPr>
                    <w:t>单位</w:t>
                  </w:r>
                </w:p>
              </w:tc>
            </w:tr>
            <w:tr w14:paraId="2E99D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vAlign w:val="center"/>
                </w:tcPr>
                <w:p w14:paraId="1437AFC5">
                  <w:pPr>
                    <w:pStyle w:val="24"/>
                    <w:bidi w:val="0"/>
                    <w:ind w:firstLine="0" w:firstLineChars="0"/>
                    <w:jc w:val="center"/>
                    <w:rPr>
                      <w:rFonts w:hint="default"/>
                      <w:color w:val="auto"/>
                      <w:u w:val="single" w:color="auto"/>
                      <w:vertAlign w:val="baseline"/>
                      <w:lang w:val="en-US" w:eastAsia="zh-CN"/>
                    </w:rPr>
                  </w:pPr>
                  <w:r>
                    <w:rPr>
                      <w:rFonts w:hint="eastAsia"/>
                      <w:color w:val="auto"/>
                      <w:u w:val="single" w:color="auto"/>
                      <w:lang w:val="en-US" w:eastAsia="zh-CN"/>
                    </w:rPr>
                    <w:t>pH值</w:t>
                  </w:r>
                </w:p>
              </w:tc>
              <w:tc>
                <w:tcPr>
                  <w:tcW w:w="2955" w:type="dxa"/>
                  <w:vAlign w:val="center"/>
                </w:tcPr>
                <w:p w14:paraId="11BDB964">
                  <w:pPr>
                    <w:pStyle w:val="7"/>
                    <w:ind w:firstLine="0" w:firstLineChars="0"/>
                    <w:jc w:val="center"/>
                    <w:rPr>
                      <w:rFonts w:hint="default"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6~9</w:t>
                  </w:r>
                </w:p>
              </w:tc>
              <w:tc>
                <w:tcPr>
                  <w:tcW w:w="2115" w:type="dxa"/>
                  <w:vAlign w:val="center"/>
                </w:tcPr>
                <w:p w14:paraId="6F7CDD4C">
                  <w:pPr>
                    <w:pStyle w:val="7"/>
                    <w:ind w:firstLine="0" w:firstLineChars="0"/>
                    <w:jc w:val="center"/>
                    <w:rPr>
                      <w:rFonts w:hint="default"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无量纲</w:t>
                  </w:r>
                </w:p>
              </w:tc>
            </w:tr>
            <w:tr w14:paraId="7491E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vAlign w:val="center"/>
                </w:tcPr>
                <w:p w14:paraId="057A7B29">
                  <w:pPr>
                    <w:pStyle w:val="24"/>
                    <w:bidi w:val="0"/>
                    <w:ind w:firstLine="0" w:firstLineChars="0"/>
                    <w:jc w:val="center"/>
                    <w:rPr>
                      <w:rFonts w:hint="default"/>
                      <w:color w:val="auto"/>
                      <w:u w:val="single" w:color="auto"/>
                      <w:vertAlign w:val="baseline"/>
                      <w:lang w:val="en-US" w:eastAsia="zh-CN"/>
                    </w:rPr>
                  </w:pPr>
                  <w:r>
                    <w:rPr>
                      <w:rFonts w:hint="eastAsia"/>
                      <w:color w:val="auto"/>
                      <w:u w:val="single" w:color="auto"/>
                      <w:lang w:val="en-US" w:eastAsia="zh-CN"/>
                    </w:rPr>
                    <w:t>悬浮物</w:t>
                  </w:r>
                </w:p>
              </w:tc>
              <w:tc>
                <w:tcPr>
                  <w:tcW w:w="2955" w:type="dxa"/>
                  <w:vAlign w:val="center"/>
                </w:tcPr>
                <w:p w14:paraId="5801C8E7">
                  <w:pPr>
                    <w:pStyle w:val="7"/>
                    <w:ind w:firstLine="0" w:firstLineChars="0"/>
                    <w:jc w:val="center"/>
                    <w:rPr>
                      <w:rFonts w:hint="default"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400</w:t>
                  </w:r>
                </w:p>
              </w:tc>
              <w:tc>
                <w:tcPr>
                  <w:tcW w:w="2115" w:type="dxa"/>
                  <w:vAlign w:val="center"/>
                </w:tcPr>
                <w:p w14:paraId="69FE95CC">
                  <w:pPr>
                    <w:pStyle w:val="7"/>
                    <w:ind w:firstLine="0" w:firstLineChars="0"/>
                    <w:jc w:val="center"/>
                    <w:rPr>
                      <w:rFonts w:hint="eastAsia"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mg/L</w:t>
                  </w:r>
                </w:p>
              </w:tc>
            </w:tr>
            <w:tr w14:paraId="107BE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vAlign w:val="center"/>
                </w:tcPr>
                <w:p w14:paraId="1604E09E">
                  <w:pPr>
                    <w:pStyle w:val="24"/>
                    <w:bidi w:val="0"/>
                    <w:ind w:firstLine="0" w:firstLineChars="0"/>
                    <w:jc w:val="center"/>
                    <w:rPr>
                      <w:rFonts w:hint="default"/>
                      <w:color w:val="auto"/>
                      <w:u w:val="single" w:color="auto"/>
                      <w:vertAlign w:val="baseline"/>
                      <w:lang w:val="en-US" w:eastAsia="zh-CN"/>
                    </w:rPr>
                  </w:pPr>
                  <w:r>
                    <w:rPr>
                      <w:rFonts w:hint="eastAsia"/>
                      <w:color w:val="auto"/>
                      <w:u w:val="single" w:color="auto"/>
                      <w:lang w:val="en-US" w:eastAsia="zh-CN"/>
                    </w:rPr>
                    <w:t>化学需氧量</w:t>
                  </w:r>
                </w:p>
              </w:tc>
              <w:tc>
                <w:tcPr>
                  <w:tcW w:w="2955" w:type="dxa"/>
                  <w:vAlign w:val="center"/>
                </w:tcPr>
                <w:p w14:paraId="3B8440A1">
                  <w:pPr>
                    <w:pStyle w:val="7"/>
                    <w:ind w:firstLine="0" w:firstLineChars="0"/>
                    <w:jc w:val="center"/>
                    <w:rPr>
                      <w:rFonts w:hint="default"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500</w:t>
                  </w:r>
                </w:p>
              </w:tc>
              <w:tc>
                <w:tcPr>
                  <w:tcW w:w="2115" w:type="dxa"/>
                  <w:vAlign w:val="center"/>
                </w:tcPr>
                <w:p w14:paraId="6DFF5F8B">
                  <w:pPr>
                    <w:pStyle w:val="7"/>
                    <w:ind w:firstLine="0" w:firstLineChars="0"/>
                    <w:jc w:val="center"/>
                    <w:rPr>
                      <w:rFonts w:hint="default"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mg/L</w:t>
                  </w:r>
                </w:p>
              </w:tc>
            </w:tr>
            <w:tr w14:paraId="15610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vAlign w:val="center"/>
                </w:tcPr>
                <w:p w14:paraId="2C2C55A8">
                  <w:pPr>
                    <w:pStyle w:val="24"/>
                    <w:bidi w:val="0"/>
                    <w:ind w:firstLine="0" w:firstLineChars="0"/>
                    <w:jc w:val="center"/>
                    <w:rPr>
                      <w:rFonts w:hint="default"/>
                      <w:color w:val="auto"/>
                      <w:u w:val="single" w:color="auto"/>
                      <w:vertAlign w:val="baseline"/>
                      <w:lang w:val="en-US" w:eastAsia="zh-CN"/>
                    </w:rPr>
                  </w:pPr>
                  <w:r>
                    <w:rPr>
                      <w:rFonts w:hint="eastAsia"/>
                      <w:color w:val="auto"/>
                      <w:u w:val="single" w:color="auto"/>
                      <w:vertAlign w:val="baseline"/>
                      <w:lang w:val="en-US" w:eastAsia="zh-CN"/>
                    </w:rPr>
                    <w:t>氨氮</w:t>
                  </w:r>
                </w:p>
              </w:tc>
              <w:tc>
                <w:tcPr>
                  <w:tcW w:w="2955" w:type="dxa"/>
                  <w:vAlign w:val="center"/>
                </w:tcPr>
                <w:p w14:paraId="7D8226F0">
                  <w:pPr>
                    <w:pStyle w:val="7"/>
                    <w:ind w:firstLine="0" w:firstLineChars="0"/>
                    <w:jc w:val="center"/>
                    <w:rPr>
                      <w:rFonts w:hint="default" w:eastAsia="宋体"/>
                      <w:color w:val="auto"/>
                      <w:sz w:val="21"/>
                      <w:szCs w:val="21"/>
                      <w:u w:val="single" w:color="auto"/>
                      <w:vertAlign w:val="baseline"/>
                      <w:lang w:val="en-US" w:eastAsia="zh-CN"/>
                    </w:rPr>
                  </w:pPr>
                  <w:r>
                    <w:rPr>
                      <w:rFonts w:hint="eastAsia"/>
                      <w:color w:val="auto"/>
                      <w:sz w:val="21"/>
                      <w:szCs w:val="21"/>
                      <w:u w:val="single" w:color="auto"/>
                      <w:vertAlign w:val="baseline"/>
                      <w:lang w:val="en-US" w:eastAsia="zh-CN"/>
                    </w:rPr>
                    <w:t>/</w:t>
                  </w:r>
                </w:p>
              </w:tc>
              <w:tc>
                <w:tcPr>
                  <w:tcW w:w="2115" w:type="dxa"/>
                  <w:vAlign w:val="center"/>
                </w:tcPr>
                <w:p w14:paraId="4DB90EA4">
                  <w:pPr>
                    <w:pStyle w:val="7"/>
                    <w:ind w:firstLine="0" w:firstLineChars="0"/>
                    <w:jc w:val="center"/>
                    <w:rPr>
                      <w:rFonts w:hint="default"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mg/L</w:t>
                  </w:r>
                </w:p>
              </w:tc>
            </w:tr>
            <w:tr w14:paraId="3DEA6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vAlign w:val="center"/>
                </w:tcPr>
                <w:p w14:paraId="35AA0BC7">
                  <w:pPr>
                    <w:pStyle w:val="24"/>
                    <w:bidi w:val="0"/>
                    <w:ind w:firstLine="0" w:firstLineChars="0"/>
                    <w:jc w:val="center"/>
                    <w:rPr>
                      <w:rFonts w:hint="eastAsia"/>
                      <w:color w:val="auto"/>
                      <w:u w:val="single" w:color="auto"/>
                      <w:vertAlign w:val="baseline"/>
                      <w:lang w:val="en-US" w:eastAsia="zh-CN"/>
                    </w:rPr>
                  </w:pPr>
                  <w:r>
                    <w:rPr>
                      <w:rFonts w:hint="eastAsia"/>
                      <w:color w:val="auto"/>
                      <w:u w:val="single" w:color="auto"/>
                      <w:vertAlign w:val="baseline"/>
                      <w:lang w:val="en-US" w:eastAsia="zh-CN"/>
                    </w:rPr>
                    <w:t>总磷</w:t>
                  </w:r>
                </w:p>
              </w:tc>
              <w:tc>
                <w:tcPr>
                  <w:tcW w:w="2955" w:type="dxa"/>
                  <w:vAlign w:val="center"/>
                </w:tcPr>
                <w:p w14:paraId="1E8CB74E">
                  <w:pPr>
                    <w:pStyle w:val="7"/>
                    <w:ind w:firstLine="0" w:firstLineChars="0"/>
                    <w:jc w:val="center"/>
                    <w:rPr>
                      <w:rFonts w:hint="eastAsia" w:eastAsia="宋体"/>
                      <w:color w:val="auto"/>
                      <w:sz w:val="21"/>
                      <w:szCs w:val="21"/>
                      <w:u w:val="single" w:color="auto"/>
                      <w:vertAlign w:val="baseline"/>
                      <w:lang w:val="en-US" w:eastAsia="zh-CN"/>
                    </w:rPr>
                  </w:pPr>
                  <w:r>
                    <w:rPr>
                      <w:rFonts w:hint="eastAsia"/>
                      <w:color w:val="auto"/>
                      <w:sz w:val="21"/>
                      <w:szCs w:val="21"/>
                      <w:u w:val="single" w:color="auto"/>
                      <w:vertAlign w:val="baseline"/>
                      <w:lang w:val="en-US" w:eastAsia="zh-CN"/>
                    </w:rPr>
                    <w:t>/</w:t>
                  </w:r>
                </w:p>
              </w:tc>
              <w:tc>
                <w:tcPr>
                  <w:tcW w:w="2115" w:type="dxa"/>
                  <w:vAlign w:val="center"/>
                </w:tcPr>
                <w:p w14:paraId="31B238F9">
                  <w:pPr>
                    <w:pStyle w:val="7"/>
                    <w:ind w:firstLine="0" w:firstLineChars="0"/>
                    <w:jc w:val="center"/>
                    <w:rPr>
                      <w:rFonts w:hint="eastAsia"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mg/L</w:t>
                  </w:r>
                </w:p>
              </w:tc>
            </w:tr>
            <w:tr w14:paraId="355DE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vAlign w:val="center"/>
                </w:tcPr>
                <w:p w14:paraId="419DDB59">
                  <w:pPr>
                    <w:pStyle w:val="24"/>
                    <w:bidi w:val="0"/>
                    <w:ind w:firstLine="0" w:firstLineChars="0"/>
                    <w:jc w:val="center"/>
                    <w:rPr>
                      <w:rFonts w:hint="eastAsia"/>
                      <w:color w:val="auto"/>
                      <w:u w:val="single" w:color="auto"/>
                      <w:vertAlign w:val="baseline"/>
                      <w:lang w:val="en-US" w:eastAsia="zh-CN"/>
                    </w:rPr>
                  </w:pPr>
                  <w:r>
                    <w:rPr>
                      <w:rFonts w:hint="eastAsia"/>
                      <w:color w:val="auto"/>
                      <w:u w:val="single" w:color="auto"/>
                      <w:vertAlign w:val="baseline"/>
                      <w:lang w:val="en-US" w:eastAsia="zh-CN"/>
                    </w:rPr>
                    <w:t>总氮</w:t>
                  </w:r>
                </w:p>
              </w:tc>
              <w:tc>
                <w:tcPr>
                  <w:tcW w:w="2955" w:type="dxa"/>
                  <w:vAlign w:val="center"/>
                </w:tcPr>
                <w:p w14:paraId="4A496054">
                  <w:pPr>
                    <w:pStyle w:val="7"/>
                    <w:ind w:firstLine="0" w:firstLineChars="0"/>
                    <w:jc w:val="center"/>
                    <w:rPr>
                      <w:rFonts w:hint="eastAsia" w:eastAsia="宋体"/>
                      <w:color w:val="auto"/>
                      <w:sz w:val="21"/>
                      <w:szCs w:val="21"/>
                      <w:u w:val="single" w:color="auto"/>
                      <w:vertAlign w:val="baseline"/>
                      <w:lang w:val="en-US" w:eastAsia="zh-CN"/>
                    </w:rPr>
                  </w:pPr>
                  <w:r>
                    <w:rPr>
                      <w:rFonts w:hint="eastAsia"/>
                      <w:color w:val="auto"/>
                      <w:sz w:val="21"/>
                      <w:szCs w:val="21"/>
                      <w:u w:val="single" w:color="auto"/>
                      <w:vertAlign w:val="baseline"/>
                      <w:lang w:val="en-US" w:eastAsia="zh-CN"/>
                    </w:rPr>
                    <w:t>/</w:t>
                  </w:r>
                </w:p>
              </w:tc>
              <w:tc>
                <w:tcPr>
                  <w:tcW w:w="2115" w:type="dxa"/>
                  <w:vAlign w:val="center"/>
                </w:tcPr>
                <w:p w14:paraId="4DA4FA25">
                  <w:pPr>
                    <w:pStyle w:val="7"/>
                    <w:ind w:firstLine="0" w:firstLineChars="0"/>
                    <w:jc w:val="center"/>
                    <w:rPr>
                      <w:rFonts w:hint="eastAsia"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mg/L</w:t>
                  </w:r>
                </w:p>
              </w:tc>
            </w:tr>
          </w:tbl>
          <w:p w14:paraId="0126DB7E">
            <w:pPr>
              <w:pStyle w:val="23"/>
              <w:bidi w:val="0"/>
              <w:jc w:val="center"/>
              <w:rPr>
                <w:rFonts w:hint="eastAsia" w:eastAsia="宋体"/>
                <w:b/>
                <w:color w:val="auto"/>
                <w:spacing w:val="0"/>
                <w:sz w:val="21"/>
                <w:szCs w:val="21"/>
                <w:u w:val="single" w:color="auto"/>
                <w:lang w:val="en-US" w:eastAsia="zh-CN"/>
              </w:rPr>
            </w:pPr>
            <w:r>
              <w:rPr>
                <w:rFonts w:hint="default"/>
                <w:color w:val="auto"/>
                <w:lang w:val="en-US" w:eastAsia="zh-CN"/>
              </w:rPr>
              <w:t>表3-</w:t>
            </w:r>
            <w:r>
              <w:rPr>
                <w:rFonts w:hint="eastAsia"/>
                <w:color w:val="auto"/>
                <w:lang w:val="en-US" w:eastAsia="zh-CN"/>
              </w:rPr>
              <w:t>9</w:t>
            </w:r>
            <w:r>
              <w:rPr>
                <w:rFonts w:hint="default"/>
                <w:color w:val="4874CB" w:themeColor="accent1"/>
                <w:lang w:val="en-US" w:eastAsia="zh-CN"/>
                <w14:textFill>
                  <w14:solidFill>
                    <w14:schemeClr w14:val="accent1"/>
                  </w14:solidFill>
                </w14:textFill>
              </w:rPr>
              <w:t xml:space="preserve"> </w:t>
            </w:r>
            <w:r>
              <w:rPr>
                <w:rFonts w:hint="eastAsia" w:eastAsia="宋体"/>
                <w:b/>
                <w:color w:val="auto"/>
                <w:spacing w:val="0"/>
                <w:sz w:val="21"/>
                <w:szCs w:val="21"/>
                <w:u w:val="single" w:color="auto"/>
              </w:rPr>
              <w:t>岳阳高新技术产业</w:t>
            </w:r>
            <w:r>
              <w:rPr>
                <w:rFonts w:hint="eastAsia"/>
                <w:b/>
                <w:color w:val="auto"/>
                <w:spacing w:val="0"/>
                <w:sz w:val="21"/>
                <w:szCs w:val="21"/>
                <w:u w:val="single" w:color="auto"/>
                <w:lang w:val="en-US" w:eastAsia="zh-CN"/>
              </w:rPr>
              <w:t>园</w:t>
            </w:r>
            <w:r>
              <w:rPr>
                <w:rFonts w:hint="eastAsia" w:eastAsia="宋体"/>
                <w:b/>
                <w:color w:val="auto"/>
                <w:spacing w:val="0"/>
                <w:sz w:val="21"/>
                <w:szCs w:val="21"/>
                <w:u w:val="single" w:color="auto"/>
              </w:rPr>
              <w:t>区长湖</w:t>
            </w:r>
            <w:r>
              <w:rPr>
                <w:rFonts w:hint="eastAsia"/>
                <w:b/>
                <w:color w:val="auto"/>
                <w:spacing w:val="0"/>
                <w:sz w:val="21"/>
                <w:szCs w:val="21"/>
                <w:u w:val="single" w:color="auto"/>
                <w:lang w:val="en-US" w:eastAsia="zh-CN"/>
              </w:rPr>
              <w:t>片</w:t>
            </w:r>
            <w:r>
              <w:rPr>
                <w:rFonts w:hint="eastAsia" w:eastAsia="宋体"/>
                <w:b/>
                <w:color w:val="auto"/>
                <w:spacing w:val="0"/>
                <w:sz w:val="21"/>
                <w:szCs w:val="21"/>
                <w:u w:val="single" w:color="auto"/>
              </w:rPr>
              <w:t>污水处理厂</w:t>
            </w:r>
            <w:r>
              <w:rPr>
                <w:rFonts w:hint="eastAsia"/>
                <w:b/>
                <w:color w:val="auto"/>
                <w:spacing w:val="0"/>
                <w:sz w:val="21"/>
                <w:szCs w:val="21"/>
                <w:u w:val="single" w:color="auto"/>
                <w:lang w:val="en-US" w:eastAsia="zh-CN"/>
              </w:rPr>
              <w:t>生活污水</w:t>
            </w:r>
            <w:r>
              <w:rPr>
                <w:rFonts w:hint="eastAsia" w:eastAsia="宋体"/>
                <w:b/>
                <w:color w:val="auto"/>
                <w:spacing w:val="0"/>
                <w:sz w:val="21"/>
                <w:szCs w:val="21"/>
                <w:u w:val="single" w:color="auto"/>
              </w:rPr>
              <w:t>进水水质标准</w:t>
            </w:r>
          </w:p>
          <w:tbl>
            <w:tblPr>
              <w:tblStyle w:val="16"/>
              <w:tblW w:w="79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4"/>
              <w:gridCol w:w="2955"/>
              <w:gridCol w:w="2115"/>
            </w:tblGrid>
            <w:tr w14:paraId="154F7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vAlign w:val="top"/>
                </w:tcPr>
                <w:p w14:paraId="0BAC2D89">
                  <w:pPr>
                    <w:pStyle w:val="7"/>
                    <w:ind w:firstLine="0" w:firstLineChars="0"/>
                    <w:jc w:val="center"/>
                    <w:rPr>
                      <w:rFonts w:hint="default"/>
                      <w:color w:val="auto"/>
                      <w:u w:val="single" w:color="auto"/>
                      <w:vertAlign w:val="baseline"/>
                      <w:lang w:val="en-US" w:eastAsia="zh-CN"/>
                    </w:rPr>
                  </w:pPr>
                  <w:r>
                    <w:rPr>
                      <w:rFonts w:hint="eastAsia" w:eastAsia="宋体"/>
                      <w:color w:val="auto"/>
                      <w:spacing w:val="0"/>
                      <w:sz w:val="21"/>
                      <w:szCs w:val="21"/>
                      <w:u w:val="single" w:color="auto"/>
                    </w:rPr>
                    <w:t>污染物名称</w:t>
                  </w:r>
                </w:p>
              </w:tc>
              <w:tc>
                <w:tcPr>
                  <w:tcW w:w="2955" w:type="dxa"/>
                  <w:vAlign w:val="top"/>
                </w:tcPr>
                <w:p w14:paraId="2052739E">
                  <w:pPr>
                    <w:pStyle w:val="7"/>
                    <w:ind w:firstLine="0" w:firstLineChars="0"/>
                    <w:jc w:val="center"/>
                    <w:rPr>
                      <w:rFonts w:hint="default"/>
                      <w:color w:val="auto"/>
                      <w:u w:val="single" w:color="auto"/>
                      <w:vertAlign w:val="baseline"/>
                      <w:lang w:val="en-US" w:eastAsia="zh-CN"/>
                    </w:rPr>
                  </w:pPr>
                  <w:r>
                    <w:rPr>
                      <w:rFonts w:hint="eastAsia"/>
                      <w:color w:val="auto"/>
                      <w:sz w:val="21"/>
                      <w:szCs w:val="21"/>
                      <w:u w:val="single" w:color="auto"/>
                      <w:vertAlign w:val="baseline"/>
                      <w:lang w:val="en-US" w:eastAsia="zh-CN"/>
                    </w:rPr>
                    <w:t>执行标准</w:t>
                  </w:r>
                </w:p>
              </w:tc>
              <w:tc>
                <w:tcPr>
                  <w:tcW w:w="2115" w:type="dxa"/>
                  <w:vAlign w:val="top"/>
                </w:tcPr>
                <w:p w14:paraId="14E1C01A">
                  <w:pPr>
                    <w:pStyle w:val="7"/>
                    <w:ind w:firstLine="0" w:firstLineChars="0"/>
                    <w:jc w:val="center"/>
                    <w:rPr>
                      <w:rFonts w:hint="default"/>
                      <w:color w:val="auto"/>
                      <w:sz w:val="21"/>
                      <w:szCs w:val="21"/>
                      <w:u w:val="single" w:color="auto"/>
                      <w:vertAlign w:val="baseline"/>
                      <w:lang w:val="en-US" w:eastAsia="zh-CN"/>
                    </w:rPr>
                  </w:pPr>
                  <w:r>
                    <w:rPr>
                      <w:rFonts w:hint="eastAsia"/>
                      <w:color w:val="auto"/>
                      <w:sz w:val="21"/>
                      <w:szCs w:val="21"/>
                      <w:u w:val="single" w:color="auto"/>
                      <w:vertAlign w:val="baseline"/>
                      <w:lang w:val="en-US" w:eastAsia="zh-CN"/>
                    </w:rPr>
                    <w:t>单位</w:t>
                  </w:r>
                </w:p>
              </w:tc>
            </w:tr>
            <w:tr w14:paraId="3BF9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vAlign w:val="center"/>
                </w:tcPr>
                <w:p w14:paraId="6EC02988">
                  <w:pPr>
                    <w:pStyle w:val="24"/>
                    <w:bidi w:val="0"/>
                    <w:ind w:firstLine="0" w:firstLineChars="0"/>
                    <w:jc w:val="center"/>
                    <w:rPr>
                      <w:rFonts w:hint="default"/>
                      <w:color w:val="auto"/>
                      <w:u w:val="single" w:color="auto"/>
                      <w:vertAlign w:val="baseline"/>
                      <w:lang w:val="en-US" w:eastAsia="zh-CN"/>
                    </w:rPr>
                  </w:pPr>
                  <w:r>
                    <w:rPr>
                      <w:rFonts w:hint="eastAsia"/>
                      <w:color w:val="auto"/>
                      <w:u w:val="single" w:color="auto"/>
                      <w:lang w:val="en-US" w:eastAsia="zh-CN"/>
                    </w:rPr>
                    <w:t>pH值</w:t>
                  </w:r>
                </w:p>
              </w:tc>
              <w:tc>
                <w:tcPr>
                  <w:tcW w:w="2955" w:type="dxa"/>
                  <w:vAlign w:val="center"/>
                </w:tcPr>
                <w:p w14:paraId="112B7284">
                  <w:pPr>
                    <w:pStyle w:val="7"/>
                    <w:ind w:firstLine="0" w:firstLineChars="0"/>
                    <w:jc w:val="center"/>
                    <w:rPr>
                      <w:rFonts w:hint="default"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6~9</w:t>
                  </w:r>
                </w:p>
              </w:tc>
              <w:tc>
                <w:tcPr>
                  <w:tcW w:w="2115" w:type="dxa"/>
                  <w:vAlign w:val="center"/>
                </w:tcPr>
                <w:p w14:paraId="1D9E0C52">
                  <w:pPr>
                    <w:pStyle w:val="7"/>
                    <w:ind w:firstLine="0" w:firstLineChars="0"/>
                    <w:jc w:val="center"/>
                    <w:rPr>
                      <w:rFonts w:hint="default"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无量纲</w:t>
                  </w:r>
                </w:p>
              </w:tc>
            </w:tr>
            <w:tr w14:paraId="010D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vAlign w:val="center"/>
                </w:tcPr>
                <w:p w14:paraId="7C5F3875">
                  <w:pPr>
                    <w:pStyle w:val="24"/>
                    <w:bidi w:val="0"/>
                    <w:ind w:firstLine="0" w:firstLineChars="0"/>
                    <w:jc w:val="center"/>
                    <w:rPr>
                      <w:rFonts w:hint="default"/>
                      <w:color w:val="auto"/>
                      <w:u w:val="single" w:color="auto"/>
                      <w:vertAlign w:val="baseline"/>
                      <w:lang w:val="en-US" w:eastAsia="zh-CN"/>
                    </w:rPr>
                  </w:pPr>
                  <w:r>
                    <w:rPr>
                      <w:rFonts w:hint="eastAsia"/>
                      <w:color w:val="auto"/>
                      <w:u w:val="single" w:color="auto"/>
                      <w:lang w:val="en-US" w:eastAsia="zh-CN"/>
                    </w:rPr>
                    <w:t>悬浮物</w:t>
                  </w:r>
                </w:p>
              </w:tc>
              <w:tc>
                <w:tcPr>
                  <w:tcW w:w="2955" w:type="dxa"/>
                  <w:vAlign w:val="center"/>
                </w:tcPr>
                <w:p w14:paraId="07AF5129">
                  <w:pPr>
                    <w:pStyle w:val="7"/>
                    <w:ind w:firstLine="0" w:firstLineChars="0"/>
                    <w:jc w:val="center"/>
                    <w:rPr>
                      <w:rFonts w:hint="default" w:eastAsia="宋体"/>
                      <w:color w:val="auto"/>
                      <w:sz w:val="21"/>
                      <w:szCs w:val="21"/>
                      <w:u w:val="single" w:color="auto"/>
                      <w:vertAlign w:val="baseline"/>
                      <w:lang w:val="en-US" w:eastAsia="zh-CN"/>
                    </w:rPr>
                  </w:pPr>
                  <w:r>
                    <w:rPr>
                      <w:rFonts w:hint="eastAsia"/>
                      <w:color w:val="auto"/>
                      <w:sz w:val="21"/>
                      <w:szCs w:val="21"/>
                      <w:u w:val="single" w:color="auto"/>
                      <w:vertAlign w:val="baseline"/>
                      <w:lang w:val="en-US" w:eastAsia="zh-CN"/>
                    </w:rPr>
                    <w:t>200</w:t>
                  </w:r>
                </w:p>
              </w:tc>
              <w:tc>
                <w:tcPr>
                  <w:tcW w:w="2115" w:type="dxa"/>
                  <w:vAlign w:val="center"/>
                </w:tcPr>
                <w:p w14:paraId="54FC2FAA">
                  <w:pPr>
                    <w:pStyle w:val="7"/>
                    <w:ind w:firstLine="0" w:firstLineChars="0"/>
                    <w:jc w:val="center"/>
                    <w:rPr>
                      <w:rFonts w:hint="eastAsia"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mg/L</w:t>
                  </w:r>
                </w:p>
              </w:tc>
            </w:tr>
            <w:tr w14:paraId="30E39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vAlign w:val="center"/>
                </w:tcPr>
                <w:p w14:paraId="7AB00919">
                  <w:pPr>
                    <w:pStyle w:val="24"/>
                    <w:bidi w:val="0"/>
                    <w:ind w:firstLine="0" w:firstLineChars="0"/>
                    <w:jc w:val="center"/>
                    <w:rPr>
                      <w:rFonts w:hint="default"/>
                      <w:color w:val="auto"/>
                      <w:u w:val="single" w:color="auto"/>
                      <w:vertAlign w:val="baseline"/>
                      <w:lang w:val="en-US" w:eastAsia="zh-CN"/>
                    </w:rPr>
                  </w:pPr>
                  <w:r>
                    <w:rPr>
                      <w:rFonts w:hint="eastAsia"/>
                      <w:color w:val="auto"/>
                      <w:u w:val="single" w:color="auto"/>
                      <w:lang w:val="en-US" w:eastAsia="zh-CN"/>
                    </w:rPr>
                    <w:t>化学需氧量</w:t>
                  </w:r>
                </w:p>
              </w:tc>
              <w:tc>
                <w:tcPr>
                  <w:tcW w:w="2955" w:type="dxa"/>
                  <w:vAlign w:val="center"/>
                </w:tcPr>
                <w:p w14:paraId="0DB63E2F">
                  <w:pPr>
                    <w:pStyle w:val="7"/>
                    <w:ind w:firstLine="0" w:firstLineChars="0"/>
                    <w:jc w:val="center"/>
                    <w:rPr>
                      <w:rFonts w:hint="default" w:eastAsia="宋体"/>
                      <w:color w:val="auto"/>
                      <w:sz w:val="21"/>
                      <w:szCs w:val="21"/>
                      <w:u w:val="single" w:color="auto"/>
                      <w:vertAlign w:val="baseline"/>
                      <w:lang w:val="en-US" w:eastAsia="zh-CN"/>
                    </w:rPr>
                  </w:pPr>
                  <w:r>
                    <w:rPr>
                      <w:rFonts w:hint="eastAsia"/>
                      <w:color w:val="auto"/>
                      <w:sz w:val="21"/>
                      <w:szCs w:val="21"/>
                      <w:u w:val="single" w:color="auto"/>
                      <w:vertAlign w:val="baseline"/>
                      <w:lang w:val="en-US" w:eastAsia="zh-CN"/>
                    </w:rPr>
                    <w:t>300</w:t>
                  </w:r>
                </w:p>
              </w:tc>
              <w:tc>
                <w:tcPr>
                  <w:tcW w:w="2115" w:type="dxa"/>
                  <w:vAlign w:val="center"/>
                </w:tcPr>
                <w:p w14:paraId="703F3819">
                  <w:pPr>
                    <w:pStyle w:val="7"/>
                    <w:ind w:firstLine="0" w:firstLineChars="0"/>
                    <w:jc w:val="center"/>
                    <w:rPr>
                      <w:rFonts w:hint="default"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mg/L</w:t>
                  </w:r>
                </w:p>
              </w:tc>
            </w:tr>
            <w:tr w14:paraId="1D95F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vAlign w:val="center"/>
                </w:tcPr>
                <w:p w14:paraId="38866001">
                  <w:pPr>
                    <w:pStyle w:val="24"/>
                    <w:bidi w:val="0"/>
                    <w:ind w:firstLine="0" w:firstLineChars="0"/>
                    <w:jc w:val="center"/>
                    <w:rPr>
                      <w:rFonts w:hint="default"/>
                      <w:color w:val="auto"/>
                      <w:u w:val="single" w:color="auto"/>
                      <w:vertAlign w:val="baseline"/>
                      <w:lang w:val="en-US" w:eastAsia="zh-CN"/>
                    </w:rPr>
                  </w:pPr>
                  <w:r>
                    <w:rPr>
                      <w:rFonts w:hint="eastAsia"/>
                      <w:color w:val="auto"/>
                      <w:u w:val="single" w:color="auto"/>
                      <w:vertAlign w:val="baseline"/>
                      <w:lang w:val="en-US" w:eastAsia="zh-CN"/>
                    </w:rPr>
                    <w:t>氨氮</w:t>
                  </w:r>
                </w:p>
              </w:tc>
              <w:tc>
                <w:tcPr>
                  <w:tcW w:w="2955" w:type="dxa"/>
                  <w:vAlign w:val="center"/>
                </w:tcPr>
                <w:p w14:paraId="643779CF">
                  <w:pPr>
                    <w:pStyle w:val="7"/>
                    <w:ind w:firstLine="0" w:firstLineChars="0"/>
                    <w:jc w:val="center"/>
                    <w:rPr>
                      <w:rFonts w:hint="default"/>
                      <w:color w:val="auto"/>
                      <w:sz w:val="21"/>
                      <w:szCs w:val="21"/>
                      <w:u w:val="single" w:color="auto"/>
                      <w:vertAlign w:val="baseline"/>
                      <w:lang w:val="en-US" w:eastAsia="zh-CN"/>
                    </w:rPr>
                  </w:pPr>
                  <w:r>
                    <w:rPr>
                      <w:rFonts w:hint="eastAsia"/>
                      <w:color w:val="auto"/>
                      <w:sz w:val="21"/>
                      <w:szCs w:val="21"/>
                      <w:u w:val="single" w:color="auto"/>
                      <w:vertAlign w:val="baseline"/>
                      <w:lang w:val="en-US" w:eastAsia="zh-CN"/>
                    </w:rPr>
                    <w:t>25</w:t>
                  </w:r>
                </w:p>
              </w:tc>
              <w:tc>
                <w:tcPr>
                  <w:tcW w:w="2115" w:type="dxa"/>
                  <w:vAlign w:val="center"/>
                </w:tcPr>
                <w:p w14:paraId="6BF13EA2">
                  <w:pPr>
                    <w:pStyle w:val="7"/>
                    <w:ind w:firstLine="0" w:firstLineChars="0"/>
                    <w:jc w:val="center"/>
                    <w:rPr>
                      <w:rFonts w:hint="eastAsia"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mg/L</w:t>
                  </w:r>
                </w:p>
              </w:tc>
            </w:tr>
            <w:tr w14:paraId="1DA63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vAlign w:val="center"/>
                </w:tcPr>
                <w:p w14:paraId="0C97351B">
                  <w:pPr>
                    <w:pStyle w:val="24"/>
                    <w:bidi w:val="0"/>
                    <w:ind w:firstLine="0" w:firstLineChars="0"/>
                    <w:jc w:val="center"/>
                    <w:rPr>
                      <w:rFonts w:hint="default"/>
                      <w:color w:val="auto"/>
                      <w:u w:val="single" w:color="auto"/>
                      <w:vertAlign w:val="baseline"/>
                      <w:lang w:val="en-US" w:eastAsia="zh-CN"/>
                    </w:rPr>
                  </w:pPr>
                  <w:r>
                    <w:rPr>
                      <w:rFonts w:hint="eastAsia"/>
                      <w:color w:val="auto"/>
                      <w:u w:val="single" w:color="auto"/>
                      <w:vertAlign w:val="baseline"/>
                      <w:lang w:val="en-US" w:eastAsia="zh-CN"/>
                    </w:rPr>
                    <w:t>总磷</w:t>
                  </w:r>
                </w:p>
              </w:tc>
              <w:tc>
                <w:tcPr>
                  <w:tcW w:w="2955" w:type="dxa"/>
                  <w:vAlign w:val="center"/>
                </w:tcPr>
                <w:p w14:paraId="78D6B31E">
                  <w:pPr>
                    <w:pStyle w:val="7"/>
                    <w:ind w:firstLine="0" w:firstLineChars="0"/>
                    <w:jc w:val="center"/>
                    <w:rPr>
                      <w:rFonts w:hint="default"/>
                      <w:color w:val="auto"/>
                      <w:sz w:val="21"/>
                      <w:szCs w:val="21"/>
                      <w:u w:val="single" w:color="auto"/>
                      <w:vertAlign w:val="baseline"/>
                      <w:lang w:val="en-US" w:eastAsia="zh-CN"/>
                    </w:rPr>
                  </w:pPr>
                  <w:r>
                    <w:rPr>
                      <w:rFonts w:hint="eastAsia"/>
                      <w:color w:val="auto"/>
                      <w:sz w:val="21"/>
                      <w:szCs w:val="21"/>
                      <w:u w:val="single" w:color="auto"/>
                      <w:vertAlign w:val="baseline"/>
                      <w:lang w:val="en-US" w:eastAsia="zh-CN"/>
                    </w:rPr>
                    <w:t>3</w:t>
                  </w:r>
                </w:p>
              </w:tc>
              <w:tc>
                <w:tcPr>
                  <w:tcW w:w="2115" w:type="dxa"/>
                  <w:vAlign w:val="center"/>
                </w:tcPr>
                <w:p w14:paraId="38257EAC">
                  <w:pPr>
                    <w:pStyle w:val="7"/>
                    <w:ind w:firstLine="0" w:firstLineChars="0"/>
                    <w:jc w:val="center"/>
                    <w:rPr>
                      <w:rFonts w:hint="eastAsia"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mg/L</w:t>
                  </w:r>
                </w:p>
              </w:tc>
            </w:tr>
            <w:tr w14:paraId="4D23C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4" w:type="dxa"/>
                  <w:vAlign w:val="center"/>
                </w:tcPr>
                <w:p w14:paraId="63E5F20C">
                  <w:pPr>
                    <w:pStyle w:val="24"/>
                    <w:bidi w:val="0"/>
                    <w:ind w:firstLine="0" w:firstLineChars="0"/>
                    <w:jc w:val="center"/>
                    <w:rPr>
                      <w:rFonts w:hint="default"/>
                      <w:color w:val="auto"/>
                      <w:u w:val="single" w:color="auto"/>
                      <w:vertAlign w:val="baseline"/>
                      <w:lang w:val="en-US" w:eastAsia="zh-CN"/>
                    </w:rPr>
                  </w:pPr>
                  <w:r>
                    <w:rPr>
                      <w:rFonts w:hint="eastAsia"/>
                      <w:color w:val="auto"/>
                      <w:u w:val="single" w:color="auto"/>
                      <w:vertAlign w:val="baseline"/>
                      <w:lang w:val="en-US" w:eastAsia="zh-CN"/>
                    </w:rPr>
                    <w:t>总氮</w:t>
                  </w:r>
                </w:p>
              </w:tc>
              <w:tc>
                <w:tcPr>
                  <w:tcW w:w="2955" w:type="dxa"/>
                  <w:vAlign w:val="center"/>
                </w:tcPr>
                <w:p w14:paraId="3C00E2B6">
                  <w:pPr>
                    <w:pStyle w:val="7"/>
                    <w:ind w:firstLine="0" w:firstLineChars="0"/>
                    <w:jc w:val="center"/>
                    <w:rPr>
                      <w:rFonts w:hint="default"/>
                      <w:color w:val="auto"/>
                      <w:sz w:val="21"/>
                      <w:szCs w:val="21"/>
                      <w:u w:val="single" w:color="auto"/>
                      <w:vertAlign w:val="baseline"/>
                      <w:lang w:val="en-US" w:eastAsia="zh-CN"/>
                    </w:rPr>
                  </w:pPr>
                  <w:r>
                    <w:rPr>
                      <w:rFonts w:hint="eastAsia"/>
                      <w:color w:val="auto"/>
                      <w:sz w:val="21"/>
                      <w:szCs w:val="21"/>
                      <w:u w:val="single" w:color="auto"/>
                      <w:vertAlign w:val="baseline"/>
                      <w:lang w:val="en-US" w:eastAsia="zh-CN"/>
                    </w:rPr>
                    <w:t>35</w:t>
                  </w:r>
                </w:p>
              </w:tc>
              <w:tc>
                <w:tcPr>
                  <w:tcW w:w="2115" w:type="dxa"/>
                  <w:vAlign w:val="center"/>
                </w:tcPr>
                <w:p w14:paraId="6C6A3934">
                  <w:pPr>
                    <w:pStyle w:val="7"/>
                    <w:ind w:firstLine="0" w:firstLineChars="0"/>
                    <w:jc w:val="center"/>
                    <w:rPr>
                      <w:rFonts w:hint="eastAsia" w:eastAsia="宋体"/>
                      <w:color w:val="auto"/>
                      <w:sz w:val="21"/>
                      <w:szCs w:val="21"/>
                      <w:u w:val="single" w:color="auto"/>
                      <w:vertAlign w:val="baseline"/>
                      <w:lang w:val="en-US" w:eastAsia="zh-CN"/>
                    </w:rPr>
                  </w:pPr>
                  <w:r>
                    <w:rPr>
                      <w:rFonts w:hint="eastAsia" w:eastAsia="宋体"/>
                      <w:color w:val="auto"/>
                      <w:sz w:val="21"/>
                      <w:szCs w:val="21"/>
                      <w:u w:val="single" w:color="auto"/>
                      <w:vertAlign w:val="baseline"/>
                      <w:lang w:val="en-US" w:eastAsia="zh-CN"/>
                    </w:rPr>
                    <w:t>mg/L</w:t>
                  </w:r>
                </w:p>
              </w:tc>
            </w:tr>
          </w:tbl>
          <w:p w14:paraId="6A5EB478">
            <w:pPr>
              <w:pStyle w:val="21"/>
              <w:bidi w:val="0"/>
              <w:ind w:left="0" w:leftChars="0" w:firstLine="0" w:firstLineChars="0"/>
              <w:rPr>
                <w:rFonts w:hint="default"/>
                <w:color w:val="auto"/>
                <w:lang w:val="en-US" w:eastAsia="zh-CN"/>
              </w:rPr>
            </w:pPr>
          </w:p>
          <w:p w14:paraId="4B734EE2">
            <w:pPr>
              <w:pStyle w:val="21"/>
              <w:bidi w:val="0"/>
              <w:ind w:left="0" w:leftChars="0" w:firstLine="482" w:firstLineChars="200"/>
              <w:rPr>
                <w:rFonts w:hint="default"/>
                <w:color w:val="auto"/>
                <w:lang w:val="en-US" w:eastAsia="zh-CN"/>
              </w:rPr>
            </w:pPr>
            <w:r>
              <w:rPr>
                <w:rFonts w:hint="default"/>
                <w:color w:val="auto"/>
                <w:lang w:val="en-US" w:eastAsia="zh-CN"/>
              </w:rPr>
              <w:t>3、噪声</w:t>
            </w:r>
            <w:r>
              <w:rPr>
                <w:rFonts w:hint="eastAsia"/>
                <w:color w:val="auto"/>
                <w:lang w:val="en-US" w:eastAsia="zh-CN"/>
              </w:rPr>
              <w:t>排放标准</w:t>
            </w:r>
          </w:p>
          <w:p w14:paraId="5060E3A0">
            <w:pPr>
              <w:rPr>
                <w:rFonts w:hint="eastAsia"/>
                <w:sz w:val="24"/>
                <w:szCs w:val="24"/>
              </w:rPr>
            </w:pPr>
            <w:r>
              <w:rPr>
                <w:rFonts w:hint="eastAsia"/>
                <w:sz w:val="24"/>
                <w:szCs w:val="24"/>
              </w:rPr>
              <w:t>施工期噪声执行《建筑施工场界环境噪声排放标准》（GB12523-2011）中排放限值要求；运营期执行《工业企业环境噪声排放标准》（GB12348-2008）中</w:t>
            </w:r>
            <w:r>
              <w:rPr>
                <w:rFonts w:hint="eastAsia"/>
                <w:sz w:val="24"/>
                <w:szCs w:val="24"/>
                <w:lang w:val="en-US" w:eastAsia="zh-CN"/>
              </w:rPr>
              <w:t>3</w:t>
            </w:r>
            <w:r>
              <w:rPr>
                <w:rFonts w:hint="eastAsia"/>
                <w:sz w:val="24"/>
                <w:szCs w:val="24"/>
              </w:rPr>
              <w:t>类</w:t>
            </w:r>
            <w:r>
              <w:rPr>
                <w:rFonts w:hint="eastAsia"/>
                <w:sz w:val="24"/>
                <w:szCs w:val="24"/>
                <w:lang w:val="en-US" w:eastAsia="zh-CN"/>
              </w:rPr>
              <w:t>标准</w:t>
            </w:r>
            <w:r>
              <w:rPr>
                <w:rFonts w:hint="eastAsia"/>
                <w:sz w:val="24"/>
                <w:szCs w:val="24"/>
              </w:rPr>
              <w:t>。</w:t>
            </w:r>
          </w:p>
          <w:p w14:paraId="7E60DE31">
            <w:pPr>
              <w:pStyle w:val="7"/>
              <w:jc w:val="center"/>
              <w:rPr>
                <w:rFonts w:eastAsia="宋体"/>
                <w:b/>
                <w:spacing w:val="0"/>
                <w:sz w:val="21"/>
                <w:szCs w:val="21"/>
                <w:u w:val="single"/>
              </w:rPr>
            </w:pPr>
            <w:r>
              <w:rPr>
                <w:rFonts w:hint="eastAsia" w:eastAsia="宋体"/>
                <w:b/>
                <w:color w:val="auto"/>
                <w:spacing w:val="0"/>
                <w:sz w:val="21"/>
                <w:szCs w:val="21"/>
                <w:u w:val="none"/>
              </w:rPr>
              <w:t>表</w:t>
            </w:r>
            <w:r>
              <w:rPr>
                <w:rFonts w:hint="default"/>
                <w:color w:val="auto"/>
                <w:sz w:val="21"/>
                <w:szCs w:val="21"/>
                <w:u w:val="none"/>
                <w:lang w:val="en-US" w:eastAsia="zh-CN"/>
              </w:rPr>
              <w:t>3-</w:t>
            </w:r>
            <w:r>
              <w:rPr>
                <w:rFonts w:hint="eastAsia"/>
                <w:color w:val="auto"/>
                <w:sz w:val="21"/>
                <w:szCs w:val="21"/>
                <w:u w:val="none"/>
                <w:lang w:val="en-US" w:eastAsia="zh-CN"/>
              </w:rPr>
              <w:t>10</w:t>
            </w:r>
            <w:r>
              <w:rPr>
                <w:rFonts w:hint="eastAsia" w:eastAsia="宋体"/>
                <w:b/>
                <w:color w:val="auto"/>
                <w:spacing w:val="0"/>
                <w:sz w:val="21"/>
                <w:szCs w:val="21"/>
                <w:u w:val="none"/>
              </w:rPr>
              <w:t>《建筑施工场界环境噪声排放标准》（GB12523-2011）</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3"/>
              <w:gridCol w:w="3893"/>
            </w:tblGrid>
            <w:tr w14:paraId="0101D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3893" w:type="dxa"/>
                  <w:noWrap w:val="0"/>
                  <w:vAlign w:val="top"/>
                </w:tcPr>
                <w:p w14:paraId="0614C1E8">
                  <w:pPr>
                    <w:pStyle w:val="7"/>
                    <w:jc w:val="center"/>
                    <w:rPr>
                      <w:rFonts w:hint="eastAsia" w:eastAsia="宋体"/>
                      <w:spacing w:val="0"/>
                      <w:sz w:val="21"/>
                      <w:szCs w:val="21"/>
                    </w:rPr>
                  </w:pPr>
                  <w:r>
                    <w:rPr>
                      <w:rFonts w:hint="eastAsia" w:eastAsia="宋体"/>
                      <w:spacing w:val="0"/>
                      <w:sz w:val="21"/>
                      <w:szCs w:val="21"/>
                    </w:rPr>
                    <w:t>昼间</w:t>
                  </w:r>
                </w:p>
              </w:tc>
              <w:tc>
                <w:tcPr>
                  <w:tcW w:w="3893" w:type="dxa"/>
                  <w:noWrap w:val="0"/>
                  <w:vAlign w:val="top"/>
                </w:tcPr>
                <w:p w14:paraId="7DE2938E">
                  <w:pPr>
                    <w:pStyle w:val="7"/>
                    <w:jc w:val="center"/>
                    <w:rPr>
                      <w:rFonts w:hint="eastAsia" w:eastAsia="宋体"/>
                      <w:spacing w:val="0"/>
                      <w:sz w:val="21"/>
                      <w:szCs w:val="21"/>
                    </w:rPr>
                  </w:pPr>
                  <w:r>
                    <w:rPr>
                      <w:rFonts w:hint="eastAsia" w:eastAsia="宋体"/>
                      <w:spacing w:val="0"/>
                      <w:sz w:val="21"/>
                      <w:szCs w:val="21"/>
                    </w:rPr>
                    <w:t>夜间</w:t>
                  </w:r>
                </w:p>
              </w:tc>
            </w:tr>
            <w:tr w14:paraId="4C3A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3893" w:type="dxa"/>
                  <w:noWrap w:val="0"/>
                  <w:vAlign w:val="top"/>
                </w:tcPr>
                <w:p w14:paraId="4CBE1153">
                  <w:pPr>
                    <w:pStyle w:val="7"/>
                    <w:jc w:val="center"/>
                    <w:rPr>
                      <w:rFonts w:hint="eastAsia" w:eastAsia="宋体"/>
                      <w:spacing w:val="0"/>
                      <w:sz w:val="21"/>
                      <w:szCs w:val="21"/>
                    </w:rPr>
                  </w:pPr>
                  <w:r>
                    <w:rPr>
                      <w:rFonts w:hint="eastAsia" w:eastAsia="宋体"/>
                      <w:spacing w:val="0"/>
                      <w:sz w:val="21"/>
                      <w:szCs w:val="21"/>
                    </w:rPr>
                    <w:t>7</w:t>
                  </w:r>
                  <w:r>
                    <w:rPr>
                      <w:rFonts w:eastAsia="宋体"/>
                      <w:spacing w:val="0"/>
                      <w:sz w:val="21"/>
                      <w:szCs w:val="21"/>
                    </w:rPr>
                    <w:t>0</w:t>
                  </w:r>
                </w:p>
              </w:tc>
              <w:tc>
                <w:tcPr>
                  <w:tcW w:w="3893" w:type="dxa"/>
                  <w:noWrap w:val="0"/>
                  <w:vAlign w:val="top"/>
                </w:tcPr>
                <w:p w14:paraId="506547AB">
                  <w:pPr>
                    <w:pStyle w:val="7"/>
                    <w:jc w:val="center"/>
                    <w:rPr>
                      <w:rFonts w:hint="eastAsia" w:eastAsia="宋体"/>
                      <w:spacing w:val="0"/>
                      <w:sz w:val="21"/>
                      <w:szCs w:val="21"/>
                    </w:rPr>
                  </w:pPr>
                  <w:r>
                    <w:rPr>
                      <w:rFonts w:hint="eastAsia" w:eastAsia="宋体"/>
                      <w:spacing w:val="0"/>
                      <w:sz w:val="21"/>
                      <w:szCs w:val="21"/>
                    </w:rPr>
                    <w:t>5</w:t>
                  </w:r>
                  <w:r>
                    <w:rPr>
                      <w:rFonts w:eastAsia="宋体"/>
                      <w:spacing w:val="0"/>
                      <w:sz w:val="21"/>
                      <w:szCs w:val="21"/>
                    </w:rPr>
                    <w:t>5</w:t>
                  </w:r>
                </w:p>
              </w:tc>
            </w:tr>
          </w:tbl>
          <w:p w14:paraId="2F9DFA7B">
            <w:pPr>
              <w:pStyle w:val="7"/>
              <w:jc w:val="both"/>
              <w:rPr>
                <w:rFonts w:hint="eastAsia" w:eastAsia="宋体"/>
                <w:b/>
                <w:color w:val="auto"/>
                <w:spacing w:val="0"/>
                <w:sz w:val="21"/>
                <w:szCs w:val="21"/>
                <w:u w:val="none"/>
              </w:rPr>
            </w:pPr>
          </w:p>
          <w:p w14:paraId="1324B132">
            <w:pPr>
              <w:pStyle w:val="7"/>
              <w:jc w:val="center"/>
              <w:rPr>
                <w:rFonts w:eastAsia="宋体"/>
                <w:b/>
                <w:color w:val="auto"/>
                <w:spacing w:val="0"/>
                <w:sz w:val="21"/>
                <w:szCs w:val="21"/>
                <w:u w:val="none"/>
              </w:rPr>
            </w:pPr>
            <w:r>
              <w:rPr>
                <w:rFonts w:hint="eastAsia" w:eastAsia="宋体"/>
                <w:b/>
                <w:color w:val="auto"/>
                <w:spacing w:val="0"/>
                <w:sz w:val="21"/>
                <w:szCs w:val="21"/>
                <w:u w:val="none"/>
              </w:rPr>
              <w:t>表</w:t>
            </w:r>
            <w:r>
              <w:rPr>
                <w:rFonts w:hint="default"/>
                <w:color w:val="auto"/>
                <w:sz w:val="21"/>
                <w:szCs w:val="21"/>
                <w:u w:val="none"/>
                <w:lang w:val="en-US" w:eastAsia="zh-CN"/>
              </w:rPr>
              <w:t>3-</w:t>
            </w:r>
            <w:r>
              <w:rPr>
                <w:rFonts w:hint="eastAsia"/>
                <w:color w:val="auto"/>
                <w:sz w:val="21"/>
                <w:szCs w:val="21"/>
                <w:u w:val="none"/>
                <w:lang w:val="en-US" w:eastAsia="zh-CN"/>
              </w:rPr>
              <w:t>11</w:t>
            </w:r>
            <w:r>
              <w:rPr>
                <w:rFonts w:hint="eastAsia" w:eastAsia="宋体"/>
                <w:b/>
                <w:color w:val="auto"/>
                <w:spacing w:val="0"/>
                <w:sz w:val="21"/>
                <w:szCs w:val="21"/>
                <w:u w:val="none"/>
                <w:lang w:val="en-US" w:eastAsia="zh-CN"/>
              </w:rPr>
              <w:t xml:space="preserve"> </w:t>
            </w:r>
            <w:r>
              <w:rPr>
                <w:rFonts w:hint="eastAsia" w:eastAsia="宋体"/>
                <w:b/>
                <w:color w:val="auto"/>
                <w:spacing w:val="0"/>
                <w:sz w:val="21"/>
                <w:szCs w:val="21"/>
                <w:u w:val="none"/>
              </w:rPr>
              <w:t>《工业企业环境噪声排放标准》（GB12348-2008）</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1"/>
              <w:gridCol w:w="2701"/>
              <w:gridCol w:w="2382"/>
            </w:tblGrid>
            <w:tr w14:paraId="40205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dxa"/>
                  <w:noWrap w:val="0"/>
                  <w:vAlign w:val="top"/>
                </w:tcPr>
                <w:p w14:paraId="6990FEA2">
                  <w:pPr>
                    <w:pStyle w:val="7"/>
                    <w:jc w:val="center"/>
                    <w:rPr>
                      <w:rFonts w:hint="eastAsia" w:eastAsia="宋体"/>
                      <w:spacing w:val="0"/>
                      <w:sz w:val="21"/>
                      <w:szCs w:val="21"/>
                    </w:rPr>
                  </w:pPr>
                  <w:r>
                    <w:rPr>
                      <w:rFonts w:hint="eastAsia" w:eastAsia="宋体"/>
                      <w:spacing w:val="0"/>
                      <w:sz w:val="21"/>
                      <w:szCs w:val="21"/>
                    </w:rPr>
                    <w:t>标准</w:t>
                  </w:r>
                </w:p>
              </w:tc>
              <w:tc>
                <w:tcPr>
                  <w:tcW w:w="2701" w:type="dxa"/>
                  <w:noWrap w:val="0"/>
                  <w:vAlign w:val="top"/>
                </w:tcPr>
                <w:p w14:paraId="757365D1">
                  <w:pPr>
                    <w:pStyle w:val="7"/>
                    <w:jc w:val="center"/>
                    <w:rPr>
                      <w:rFonts w:hint="eastAsia" w:eastAsia="宋体"/>
                      <w:spacing w:val="0"/>
                      <w:sz w:val="21"/>
                      <w:szCs w:val="21"/>
                    </w:rPr>
                  </w:pPr>
                  <w:r>
                    <w:rPr>
                      <w:rFonts w:hint="eastAsia" w:eastAsia="宋体"/>
                      <w:spacing w:val="0"/>
                      <w:sz w:val="21"/>
                      <w:szCs w:val="21"/>
                    </w:rPr>
                    <w:t>昼间</w:t>
                  </w:r>
                </w:p>
              </w:tc>
              <w:tc>
                <w:tcPr>
                  <w:tcW w:w="2382" w:type="dxa"/>
                  <w:noWrap w:val="0"/>
                  <w:vAlign w:val="top"/>
                </w:tcPr>
                <w:p w14:paraId="05997113">
                  <w:pPr>
                    <w:pStyle w:val="7"/>
                    <w:jc w:val="center"/>
                    <w:rPr>
                      <w:rFonts w:hint="eastAsia" w:eastAsia="宋体"/>
                      <w:spacing w:val="0"/>
                      <w:sz w:val="21"/>
                      <w:szCs w:val="21"/>
                    </w:rPr>
                  </w:pPr>
                  <w:r>
                    <w:rPr>
                      <w:rFonts w:hint="eastAsia" w:eastAsia="宋体"/>
                      <w:spacing w:val="0"/>
                      <w:sz w:val="21"/>
                      <w:szCs w:val="21"/>
                    </w:rPr>
                    <w:t>夜间</w:t>
                  </w:r>
                </w:p>
              </w:tc>
            </w:tr>
            <w:tr w14:paraId="5C398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1" w:type="dxa"/>
                  <w:noWrap w:val="0"/>
                  <w:vAlign w:val="top"/>
                </w:tcPr>
                <w:p w14:paraId="73E9367D">
                  <w:pPr>
                    <w:pStyle w:val="7"/>
                    <w:jc w:val="center"/>
                    <w:rPr>
                      <w:rFonts w:hint="eastAsia" w:eastAsia="宋体"/>
                      <w:spacing w:val="0"/>
                      <w:sz w:val="21"/>
                      <w:szCs w:val="21"/>
                    </w:rPr>
                  </w:pPr>
                  <w:r>
                    <w:rPr>
                      <w:rFonts w:hint="eastAsia"/>
                      <w:spacing w:val="0"/>
                      <w:sz w:val="21"/>
                      <w:szCs w:val="21"/>
                      <w:lang w:val="en-US" w:eastAsia="zh-CN"/>
                    </w:rPr>
                    <w:t>3</w:t>
                  </w:r>
                  <w:r>
                    <w:rPr>
                      <w:rFonts w:hint="eastAsia" w:eastAsia="宋体"/>
                      <w:spacing w:val="0"/>
                      <w:sz w:val="21"/>
                      <w:szCs w:val="21"/>
                    </w:rPr>
                    <w:t>类</w:t>
                  </w:r>
                </w:p>
              </w:tc>
              <w:tc>
                <w:tcPr>
                  <w:tcW w:w="2701" w:type="dxa"/>
                  <w:noWrap w:val="0"/>
                  <w:vAlign w:val="top"/>
                </w:tcPr>
                <w:p w14:paraId="41D97BFE">
                  <w:pPr>
                    <w:pStyle w:val="7"/>
                    <w:jc w:val="center"/>
                    <w:rPr>
                      <w:rFonts w:hint="eastAsia" w:eastAsia="宋体"/>
                      <w:spacing w:val="0"/>
                      <w:sz w:val="21"/>
                      <w:szCs w:val="21"/>
                      <w:lang w:val="en-US" w:eastAsia="zh-CN"/>
                    </w:rPr>
                  </w:pPr>
                  <w:r>
                    <w:rPr>
                      <w:rFonts w:hint="eastAsia" w:eastAsia="宋体"/>
                      <w:spacing w:val="0"/>
                      <w:sz w:val="21"/>
                      <w:szCs w:val="21"/>
                    </w:rPr>
                    <w:t>6</w:t>
                  </w:r>
                  <w:r>
                    <w:rPr>
                      <w:rFonts w:hint="eastAsia"/>
                      <w:spacing w:val="0"/>
                      <w:sz w:val="21"/>
                      <w:szCs w:val="21"/>
                      <w:lang w:val="en-US" w:eastAsia="zh-CN"/>
                    </w:rPr>
                    <w:t>5</w:t>
                  </w:r>
                </w:p>
              </w:tc>
              <w:tc>
                <w:tcPr>
                  <w:tcW w:w="2382" w:type="dxa"/>
                  <w:noWrap w:val="0"/>
                  <w:vAlign w:val="top"/>
                </w:tcPr>
                <w:p w14:paraId="2CC2BE59">
                  <w:pPr>
                    <w:pStyle w:val="7"/>
                    <w:jc w:val="center"/>
                    <w:rPr>
                      <w:rFonts w:hint="eastAsia" w:eastAsia="宋体"/>
                      <w:spacing w:val="0"/>
                      <w:sz w:val="21"/>
                      <w:szCs w:val="21"/>
                      <w:lang w:val="en-US" w:eastAsia="zh-CN"/>
                    </w:rPr>
                  </w:pPr>
                  <w:r>
                    <w:rPr>
                      <w:rFonts w:hint="eastAsia" w:eastAsia="宋体"/>
                      <w:spacing w:val="0"/>
                      <w:sz w:val="21"/>
                      <w:szCs w:val="21"/>
                    </w:rPr>
                    <w:t>5</w:t>
                  </w:r>
                  <w:r>
                    <w:rPr>
                      <w:rFonts w:hint="eastAsia"/>
                      <w:spacing w:val="0"/>
                      <w:sz w:val="21"/>
                      <w:szCs w:val="21"/>
                      <w:lang w:val="en-US" w:eastAsia="zh-CN"/>
                    </w:rPr>
                    <w:t>5</w:t>
                  </w:r>
                </w:p>
              </w:tc>
            </w:tr>
          </w:tbl>
          <w:p w14:paraId="2B984B3C">
            <w:pPr>
              <w:pStyle w:val="21"/>
              <w:bidi w:val="0"/>
              <w:ind w:left="0" w:leftChars="0" w:firstLine="482" w:firstLineChars="200"/>
              <w:rPr>
                <w:rFonts w:hint="default"/>
                <w:color w:val="auto"/>
                <w:lang w:val="en-US" w:eastAsia="zh-CN"/>
              </w:rPr>
            </w:pPr>
            <w:r>
              <w:rPr>
                <w:rFonts w:hint="default"/>
                <w:color w:val="auto"/>
                <w:lang w:val="en-US" w:eastAsia="zh-CN"/>
              </w:rPr>
              <w:t>4、固废</w:t>
            </w:r>
          </w:p>
          <w:p w14:paraId="58A50E8A">
            <w:pPr>
              <w:rPr>
                <w:rFonts w:hint="default"/>
                <w:color w:val="4874CB" w:themeColor="accent1"/>
                <w:lang w:val="en-US" w:eastAsia="zh-CN"/>
                <w14:textFill>
                  <w14:solidFill>
                    <w14:schemeClr w14:val="accent1"/>
                  </w14:solidFill>
                </w14:textFill>
              </w:rPr>
            </w:pPr>
            <w:r>
              <w:rPr>
                <w:rFonts w:hint="eastAsia"/>
                <w:sz w:val="24"/>
                <w:szCs w:val="24"/>
              </w:rPr>
              <w:t>一般固废执行《一般工业固体废物贮存、处置场污染控制标准》（GB18599-2001）及其修改单标准；</w:t>
            </w:r>
            <w:r>
              <w:rPr>
                <w:rFonts w:hint="default"/>
                <w:color w:val="000000" w:themeColor="text1"/>
                <w:lang w:val="en-US" w:eastAsia="zh-CN"/>
                <w14:textFill>
                  <w14:solidFill>
                    <w14:schemeClr w14:val="tx1"/>
                  </w14:solidFill>
                </w14:textFill>
              </w:rPr>
              <w:t>危险废物执行《危险废物贮存污染控制标准》(GB18597-2023)</w:t>
            </w:r>
            <w:r>
              <w:rPr>
                <w:rFonts w:hint="eastAsia"/>
                <w:color w:val="000000" w:themeColor="text1"/>
                <w:lang w:val="en-US" w:eastAsia="zh-CN"/>
                <w14:textFill>
                  <w14:solidFill>
                    <w14:schemeClr w14:val="tx1"/>
                  </w14:solidFill>
                </w14:textFill>
              </w:rPr>
              <w:t>；</w:t>
            </w:r>
            <w:r>
              <w:rPr>
                <w:rFonts w:hint="eastAsia"/>
                <w:sz w:val="24"/>
                <w:szCs w:val="24"/>
              </w:rPr>
              <w:t>生活垃圾交由当地环卫部门处理。</w:t>
            </w:r>
          </w:p>
        </w:tc>
      </w:tr>
      <w:tr w14:paraId="1BF28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9" w:hRule="atLeast"/>
        </w:trPr>
        <w:tc>
          <w:tcPr>
            <w:tcW w:w="407" w:type="dxa"/>
            <w:vAlign w:val="center"/>
          </w:tcPr>
          <w:p w14:paraId="3A0120C9">
            <w:pPr>
              <w:numPr>
                <w:ilvl w:val="0"/>
                <w:numId w:val="0"/>
              </w:numPr>
              <w:jc w:val="center"/>
              <w:rPr>
                <w:rFonts w:hint="eastAsia"/>
                <w:color w:val="4874CB" w:themeColor="accent1"/>
                <w:vertAlign w:val="baseline"/>
                <w:lang w:val="en-US" w:eastAsia="zh-CN"/>
                <w14:textFill>
                  <w14:solidFill>
                    <w14:schemeClr w14:val="accent1"/>
                  </w14:solidFill>
                </w14:textFill>
              </w:rPr>
            </w:pPr>
            <w:r>
              <w:rPr>
                <w:rFonts w:hint="eastAsia"/>
                <w:color w:val="auto"/>
                <w:vertAlign w:val="baseline"/>
                <w:lang w:val="en-US" w:eastAsia="zh-CN"/>
              </w:rPr>
              <w:t>总量控制指标</w:t>
            </w:r>
          </w:p>
        </w:tc>
        <w:tc>
          <w:tcPr>
            <w:tcW w:w="8115" w:type="dxa"/>
          </w:tcPr>
          <w:p w14:paraId="1DAA4F82">
            <w:pPr>
              <w:rPr>
                <w:rFonts w:hint="default"/>
                <w:color w:val="auto"/>
                <w:u w:val="single" w:color="auto"/>
                <w:lang w:val="en-US" w:eastAsia="zh-CN"/>
              </w:rPr>
            </w:pPr>
            <w:r>
              <w:rPr>
                <w:rFonts w:hint="default"/>
                <w:color w:val="auto"/>
                <w:u w:val="single" w:color="auto"/>
                <w:lang w:val="en-US" w:eastAsia="zh-CN"/>
              </w:rPr>
              <w:t>根据《湖南省主要污染物排污权有偿使用和交易管理办法》（湘政办发〔2022〕23号）规定，目前湖南省涉及排污权交易的主要污染物有化学需氧量、氨氮、二氧化硫、氮氧化物、铅、镉、砷、汞、铬、挥发性有机物、总磷等十一类污染物。</w:t>
            </w:r>
          </w:p>
          <w:p w14:paraId="14AAD47C">
            <w:pPr>
              <w:spacing w:line="360" w:lineRule="auto"/>
              <w:ind w:firstLine="480" w:firstLineChars="200"/>
              <w:rPr>
                <w:rFonts w:hint="eastAsia"/>
                <w:sz w:val="24"/>
                <w:szCs w:val="24"/>
                <w:u w:val="single" w:color="auto"/>
              </w:rPr>
            </w:pPr>
            <w:r>
              <w:rPr>
                <w:rFonts w:hint="eastAsia"/>
                <w:sz w:val="24"/>
                <w:szCs w:val="24"/>
                <w:u w:val="single" w:color="auto"/>
              </w:rPr>
              <w:t>项目产生的废气和废水中，纳入总量控制的污染物为SO</w:t>
            </w:r>
            <w:r>
              <w:rPr>
                <w:rFonts w:hint="eastAsia"/>
                <w:sz w:val="24"/>
                <w:szCs w:val="24"/>
                <w:u w:val="single" w:color="auto"/>
                <w:vertAlign w:val="subscript"/>
              </w:rPr>
              <w:t>2</w:t>
            </w:r>
            <w:r>
              <w:rPr>
                <w:rFonts w:hint="eastAsia"/>
                <w:sz w:val="24"/>
                <w:szCs w:val="24"/>
                <w:u w:val="single" w:color="auto"/>
              </w:rPr>
              <w:t>、NO</w:t>
            </w:r>
            <w:r>
              <w:rPr>
                <w:rFonts w:hint="eastAsia"/>
                <w:sz w:val="24"/>
                <w:szCs w:val="24"/>
                <w:u w:val="single" w:color="auto"/>
                <w:vertAlign w:val="subscript"/>
              </w:rPr>
              <w:t>X</w:t>
            </w:r>
            <w:r>
              <w:rPr>
                <w:rFonts w:hint="eastAsia"/>
                <w:sz w:val="24"/>
                <w:szCs w:val="24"/>
                <w:u w:val="single" w:color="auto"/>
              </w:rPr>
              <w:t>、COD、NH</w:t>
            </w:r>
            <w:r>
              <w:rPr>
                <w:rFonts w:hint="eastAsia"/>
                <w:sz w:val="24"/>
                <w:szCs w:val="24"/>
                <w:u w:val="single" w:color="auto"/>
                <w:vertAlign w:val="subscript"/>
              </w:rPr>
              <w:t>3</w:t>
            </w:r>
            <w:r>
              <w:rPr>
                <w:rFonts w:hint="eastAsia"/>
                <w:sz w:val="24"/>
                <w:szCs w:val="24"/>
                <w:u w:val="single" w:color="auto"/>
              </w:rPr>
              <w:t>-N。</w:t>
            </w:r>
          </w:p>
          <w:p w14:paraId="5F8DEA90">
            <w:pPr>
              <w:spacing w:line="360" w:lineRule="auto"/>
              <w:ind w:firstLine="480" w:firstLineChars="200"/>
              <w:rPr>
                <w:sz w:val="24"/>
                <w:szCs w:val="24"/>
                <w:u w:val="single" w:color="auto"/>
              </w:rPr>
            </w:pPr>
            <w:r>
              <w:rPr>
                <w:rFonts w:hint="eastAsia"/>
                <w:sz w:val="24"/>
                <w:szCs w:val="24"/>
                <w:u w:val="single" w:color="auto"/>
              </w:rPr>
              <w:t>（1）水污染物总量控制指标</w:t>
            </w:r>
          </w:p>
          <w:p w14:paraId="0A33D896">
            <w:pPr>
              <w:spacing w:line="360" w:lineRule="auto"/>
              <w:ind w:firstLine="480" w:firstLineChars="200"/>
              <w:jc w:val="left"/>
              <w:rPr>
                <w:rFonts w:hint="eastAsia"/>
                <w:color w:val="auto"/>
                <w:sz w:val="24"/>
                <w:szCs w:val="24"/>
                <w:u w:val="single" w:color="auto"/>
                <w:lang w:val="en-US" w:eastAsia="zh-CN"/>
              </w:rPr>
            </w:pPr>
            <w:r>
              <w:rPr>
                <w:rFonts w:hint="eastAsia"/>
                <w:sz w:val="24"/>
                <w:szCs w:val="24"/>
                <w:u w:val="single" w:color="auto"/>
              </w:rPr>
              <w:t>本项目生产废水不外排。</w:t>
            </w:r>
            <w:r>
              <w:rPr>
                <w:rFonts w:hint="eastAsia"/>
                <w:color w:val="auto"/>
                <w:u w:val="single"/>
                <w:lang w:val="en-US" w:eastAsia="zh-CN"/>
              </w:rPr>
              <w:t>项目生活污水经化粪池处理后排入园区污水管网，最终进入岳阳高新技术产业园区长湖片污水处理厂集中处理。</w:t>
            </w:r>
          </w:p>
          <w:p w14:paraId="0BB895E3">
            <w:pPr>
              <w:spacing w:line="360" w:lineRule="auto"/>
              <w:ind w:firstLine="480" w:firstLineChars="200"/>
              <w:rPr>
                <w:sz w:val="24"/>
                <w:szCs w:val="24"/>
                <w:u w:val="single" w:color="auto"/>
              </w:rPr>
            </w:pPr>
            <w:r>
              <w:rPr>
                <w:rFonts w:hint="eastAsia"/>
                <w:sz w:val="24"/>
                <w:szCs w:val="24"/>
                <w:u w:val="single" w:color="auto"/>
              </w:rPr>
              <w:t>（2）大气污染物总量控制指标</w:t>
            </w:r>
          </w:p>
          <w:p w14:paraId="550E2E04">
            <w:pPr>
              <w:spacing w:line="360" w:lineRule="auto"/>
              <w:ind w:firstLine="480" w:firstLineChars="200"/>
              <w:rPr>
                <w:rFonts w:hint="eastAsia" w:eastAsia="宋体"/>
                <w:sz w:val="24"/>
                <w:szCs w:val="24"/>
                <w:u w:val="single" w:color="auto"/>
                <w:lang w:val="en-US" w:eastAsia="zh-CN"/>
              </w:rPr>
            </w:pPr>
            <w:r>
              <w:rPr>
                <w:rFonts w:hint="eastAsia"/>
                <w:sz w:val="24"/>
                <w:szCs w:val="24"/>
                <w:u w:val="single" w:color="auto"/>
              </w:rPr>
              <w:t>根据计算使用</w:t>
            </w:r>
            <w:r>
              <w:rPr>
                <w:rFonts w:hint="eastAsia" w:ascii="Times New Roman" w:hAnsi="Times New Roman" w:eastAsia="宋体" w:cs="Times New Roman"/>
                <w:b w:val="0"/>
                <w:color w:val="auto"/>
                <w:kern w:val="2"/>
                <w:sz w:val="24"/>
                <w:szCs w:val="24"/>
                <w:u w:val="single" w:color="auto"/>
                <w:lang w:val="en-US" w:eastAsia="zh-CN" w:bidi="ar-SA"/>
              </w:rPr>
              <w:t>轻质柴油（0#）</w:t>
            </w:r>
            <w:r>
              <w:rPr>
                <w:rFonts w:hint="eastAsia" w:cs="Times New Roman"/>
                <w:b w:val="0"/>
                <w:color w:val="auto"/>
                <w:kern w:val="2"/>
                <w:sz w:val="24"/>
                <w:szCs w:val="24"/>
                <w:u w:val="single" w:color="auto"/>
                <w:lang w:val="en-US" w:eastAsia="zh-CN" w:bidi="ar-SA"/>
              </w:rPr>
              <w:t>热风炉</w:t>
            </w:r>
            <w:r>
              <w:rPr>
                <w:rFonts w:hint="eastAsia"/>
                <w:sz w:val="24"/>
                <w:szCs w:val="24"/>
                <w:u w:val="single" w:color="auto"/>
              </w:rPr>
              <w:t>所产生的SO</w:t>
            </w:r>
            <w:r>
              <w:rPr>
                <w:rFonts w:hint="eastAsia"/>
                <w:sz w:val="24"/>
                <w:szCs w:val="24"/>
                <w:u w:val="single" w:color="auto"/>
                <w:vertAlign w:val="subscript"/>
              </w:rPr>
              <w:t>2</w:t>
            </w:r>
            <w:r>
              <w:rPr>
                <w:rFonts w:hint="eastAsia"/>
                <w:sz w:val="24"/>
                <w:szCs w:val="24"/>
                <w:u w:val="single" w:color="auto"/>
              </w:rPr>
              <w:t>排放量为</w:t>
            </w:r>
            <w:r>
              <w:rPr>
                <w:rFonts w:hint="eastAsia"/>
                <w:sz w:val="24"/>
                <w:szCs w:val="24"/>
                <w:u w:val="single" w:color="auto"/>
                <w:lang w:val="en-US" w:eastAsia="zh-CN"/>
              </w:rPr>
              <w:t>0.07t</w:t>
            </w:r>
            <w:r>
              <w:rPr>
                <w:rFonts w:hint="eastAsia"/>
                <w:sz w:val="24"/>
                <w:szCs w:val="24"/>
                <w:u w:val="single" w:color="auto"/>
              </w:rPr>
              <w:t>/a，NO</w:t>
            </w:r>
            <w:r>
              <w:rPr>
                <w:rFonts w:hint="eastAsia"/>
                <w:sz w:val="24"/>
                <w:szCs w:val="24"/>
                <w:u w:val="single" w:color="auto"/>
                <w:vertAlign w:val="subscript"/>
              </w:rPr>
              <w:t>X</w:t>
            </w:r>
            <w:r>
              <w:rPr>
                <w:rFonts w:hint="eastAsia"/>
                <w:sz w:val="24"/>
                <w:szCs w:val="24"/>
                <w:u w:val="single" w:color="auto"/>
              </w:rPr>
              <w:t>排放量为</w:t>
            </w:r>
            <w:r>
              <w:rPr>
                <w:rFonts w:hint="eastAsia"/>
                <w:sz w:val="24"/>
                <w:szCs w:val="24"/>
                <w:u w:val="single" w:color="auto"/>
                <w:lang w:val="en-US" w:eastAsia="zh-CN"/>
              </w:rPr>
              <w:t>0.54</w:t>
            </w:r>
            <w:r>
              <w:rPr>
                <w:rFonts w:hint="eastAsia"/>
                <w:sz w:val="24"/>
                <w:szCs w:val="24"/>
                <w:u w:val="single" w:color="auto"/>
              </w:rPr>
              <w:t>t/a。</w:t>
            </w:r>
            <w:r>
              <w:rPr>
                <w:rFonts w:hint="eastAsia"/>
                <w:sz w:val="24"/>
                <w:szCs w:val="24"/>
                <w:u w:val="single" w:color="auto"/>
                <w:lang w:val="en-US" w:eastAsia="zh-CN"/>
              </w:rPr>
              <w:t>本项目建议购买量为：二氧化硫0.07t</w:t>
            </w:r>
            <w:r>
              <w:rPr>
                <w:rFonts w:hint="eastAsia"/>
                <w:sz w:val="24"/>
                <w:szCs w:val="24"/>
                <w:u w:val="single" w:color="auto"/>
              </w:rPr>
              <w:t>/a</w:t>
            </w:r>
            <w:r>
              <w:rPr>
                <w:rFonts w:hint="eastAsia"/>
                <w:sz w:val="24"/>
                <w:szCs w:val="24"/>
                <w:u w:val="single" w:color="auto"/>
                <w:lang w:eastAsia="zh-CN"/>
              </w:rPr>
              <w:t>，</w:t>
            </w:r>
            <w:r>
              <w:rPr>
                <w:rFonts w:hint="eastAsia"/>
                <w:sz w:val="24"/>
                <w:szCs w:val="24"/>
                <w:u w:val="single" w:color="auto"/>
                <w:lang w:val="en-US" w:eastAsia="zh-CN"/>
              </w:rPr>
              <w:t>氮氧化物0.54</w:t>
            </w:r>
            <w:r>
              <w:rPr>
                <w:rFonts w:hint="eastAsia"/>
                <w:sz w:val="24"/>
                <w:szCs w:val="24"/>
                <w:u w:val="single" w:color="auto"/>
              </w:rPr>
              <w:t>t/a</w:t>
            </w:r>
            <w:r>
              <w:rPr>
                <w:rFonts w:hint="eastAsia"/>
                <w:sz w:val="24"/>
                <w:szCs w:val="24"/>
                <w:u w:val="single" w:color="auto"/>
                <w:lang w:eastAsia="zh-CN"/>
              </w:rPr>
              <w:t>。</w:t>
            </w:r>
          </w:p>
          <w:p w14:paraId="673AB61F">
            <w:pPr>
              <w:rPr>
                <w:rFonts w:hint="default"/>
                <w:color w:val="4874CB" w:themeColor="accent1"/>
                <w:lang w:val="en-US" w:eastAsia="zh-CN"/>
                <w14:textFill>
                  <w14:solidFill>
                    <w14:schemeClr w14:val="accent1"/>
                  </w14:solidFill>
                </w14:textFill>
              </w:rPr>
            </w:pPr>
          </w:p>
        </w:tc>
      </w:tr>
    </w:tbl>
    <w:p w14:paraId="62DA9631">
      <w:pPr>
        <w:rPr>
          <w:rFonts w:hint="eastAsia"/>
          <w:color w:val="4874CB" w:themeColor="accent1"/>
          <w:lang w:val="en-US" w:eastAsia="zh-CN"/>
          <w14:textFill>
            <w14:solidFill>
              <w14:schemeClr w14:val="accent1"/>
            </w14:solidFill>
          </w14:textFill>
        </w:rPr>
      </w:pPr>
      <w:r>
        <w:rPr>
          <w:rFonts w:hint="eastAsia"/>
          <w:color w:val="4874CB" w:themeColor="accent1"/>
          <w:lang w:val="en-US" w:eastAsia="zh-CN"/>
          <w14:textFill>
            <w14:solidFill>
              <w14:schemeClr w14:val="accent1"/>
            </w14:solidFill>
          </w14:textFill>
        </w:rPr>
        <w:br w:type="page"/>
      </w:r>
    </w:p>
    <w:p w14:paraId="6075C53B">
      <w:pPr>
        <w:pStyle w:val="2"/>
        <w:numPr>
          <w:ilvl w:val="0"/>
          <w:numId w:val="4"/>
        </w:numPr>
        <w:bidi w:val="0"/>
        <w:jc w:val="center"/>
        <w:rPr>
          <w:rFonts w:hint="eastAsia" w:ascii="Times New Roman" w:hAnsi="Times New Roman" w:eastAsia="宋体" w:cs="Times New Roman"/>
          <w:color w:val="auto"/>
          <w:u w:val="none" w:color="auto"/>
          <w:lang w:val="en-US" w:eastAsia="zh-CN"/>
        </w:rPr>
      </w:pPr>
      <w:bookmarkStart w:id="11" w:name="_Toc30748"/>
      <w:r>
        <w:rPr>
          <w:rFonts w:hint="eastAsia" w:ascii="Times New Roman" w:hAnsi="Times New Roman" w:eastAsia="宋体" w:cs="Times New Roman"/>
          <w:color w:val="auto"/>
          <w:u w:val="none" w:color="auto"/>
          <w:lang w:val="en-US" w:eastAsia="zh-CN"/>
        </w:rPr>
        <w:t>主要环境影响和保护措施</w:t>
      </w:r>
      <w:bookmarkEnd w:id="11"/>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
        <w:gridCol w:w="8115"/>
      </w:tblGrid>
      <w:tr w14:paraId="10E63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1" w:hRule="atLeast"/>
        </w:trPr>
        <w:tc>
          <w:tcPr>
            <w:tcW w:w="407" w:type="dxa"/>
            <w:vAlign w:val="center"/>
          </w:tcPr>
          <w:p w14:paraId="5CD7C4B8">
            <w:pPr>
              <w:ind w:left="0" w:leftChars="0" w:firstLine="0" w:firstLineChars="0"/>
              <w:jc w:val="center"/>
              <w:rPr>
                <w:rFonts w:hint="eastAsia"/>
                <w:color w:val="4874CB" w:themeColor="accent1"/>
                <w:vertAlign w:val="baseline"/>
                <w:lang w:val="en-US" w:eastAsia="zh-CN"/>
                <w14:textFill>
                  <w14:solidFill>
                    <w14:schemeClr w14:val="accent1"/>
                  </w14:solidFill>
                </w14:textFill>
              </w:rPr>
            </w:pPr>
            <w:r>
              <w:rPr>
                <w:rFonts w:hint="eastAsia"/>
                <w:color w:val="auto"/>
                <w:vertAlign w:val="baseline"/>
                <w:lang w:val="en-US" w:eastAsia="zh-CN"/>
              </w:rPr>
              <w:t>施工期环境保护措施</w:t>
            </w:r>
          </w:p>
        </w:tc>
        <w:tc>
          <w:tcPr>
            <w:tcW w:w="8115" w:type="dxa"/>
          </w:tcPr>
          <w:p w14:paraId="50EF215C">
            <w:pPr>
              <w:pStyle w:val="22"/>
              <w:bidi w:val="0"/>
              <w:rPr>
                <w:rFonts w:hint="default" w:ascii="Times New Roman" w:hAnsi="Times New Roman" w:eastAsia="宋体" w:cs="Times New Roman"/>
                <w:color w:val="auto"/>
                <w:lang w:val="en-US" w:eastAsia="zh-CN"/>
              </w:rPr>
            </w:pPr>
            <w:r>
              <w:rPr>
                <w:rFonts w:hint="eastAsia" w:cs="Times New Roman"/>
                <w:color w:val="auto"/>
                <w:u w:val="single"/>
                <w:lang w:val="en-US" w:eastAsia="zh-CN"/>
              </w:rPr>
              <w:t>项目施工地点为</w:t>
            </w:r>
            <w:r>
              <w:rPr>
                <w:rFonts w:hint="eastAsia" w:cs="Times New Roman"/>
                <w:color w:val="auto"/>
                <w:u w:val="single" w:color="auto"/>
                <w:lang w:eastAsia="zh-CN"/>
              </w:rPr>
              <w:t>岳阳县高新技术产业开发区</w:t>
            </w:r>
            <w:r>
              <w:rPr>
                <w:rFonts w:hint="eastAsia"/>
                <w:sz w:val="24"/>
                <w:u w:val="single"/>
              </w:rPr>
              <w:t>洪山洞片区</w:t>
            </w:r>
            <w:r>
              <w:rPr>
                <w:rFonts w:hint="eastAsia"/>
                <w:sz w:val="24"/>
                <w:u w:val="single"/>
                <w:lang w:val="en-US" w:eastAsia="zh-CN"/>
              </w:rPr>
              <w:t>纬五路和经四路交叉路口西北角，建设前园区已完成外部道路铺设和土地平整。</w:t>
            </w:r>
            <w:r>
              <w:rPr>
                <w:rFonts w:hint="eastAsia" w:ascii="Times New Roman" w:hAnsi="Times New Roman" w:eastAsia="宋体" w:cs="Times New Roman"/>
                <w:color w:val="auto"/>
                <w:u w:val="single"/>
                <w:lang w:val="en-US" w:eastAsia="zh-CN"/>
              </w:rPr>
              <w:t>本项目施工期为 1</w:t>
            </w:r>
            <w:r>
              <w:rPr>
                <w:rFonts w:hint="eastAsia" w:cs="Times New Roman"/>
                <w:color w:val="auto"/>
                <w:u w:val="single"/>
                <w:lang w:val="en-US" w:eastAsia="zh-CN"/>
              </w:rPr>
              <w:t>0</w:t>
            </w:r>
            <w:r>
              <w:rPr>
                <w:rFonts w:hint="eastAsia" w:ascii="Times New Roman" w:hAnsi="Times New Roman" w:eastAsia="宋体" w:cs="Times New Roman"/>
                <w:color w:val="auto"/>
                <w:u w:val="single"/>
                <w:lang w:val="en-US" w:eastAsia="zh-CN"/>
              </w:rPr>
              <w:t xml:space="preserve"> 个月，期间完成主要建筑物建设、</w:t>
            </w:r>
            <w:r>
              <w:rPr>
                <w:rFonts w:hint="eastAsia" w:cs="Times New Roman"/>
                <w:color w:val="auto"/>
                <w:u w:val="single"/>
                <w:lang w:val="en-US" w:eastAsia="zh-CN"/>
              </w:rPr>
              <w:t>水电线路铺设、</w:t>
            </w:r>
            <w:r>
              <w:rPr>
                <w:rFonts w:hint="eastAsia" w:ascii="Times New Roman" w:hAnsi="Times New Roman" w:eastAsia="宋体" w:cs="Times New Roman"/>
                <w:color w:val="auto"/>
                <w:u w:val="single"/>
                <w:lang w:val="en-US" w:eastAsia="zh-CN"/>
              </w:rPr>
              <w:t>设备安装、绿化等工作，施工期污染情况如下</w:t>
            </w:r>
            <w:r>
              <w:rPr>
                <w:rFonts w:hint="eastAsia" w:ascii="Times New Roman" w:hAnsi="Times New Roman" w:eastAsia="宋体" w:cs="Times New Roman"/>
                <w:color w:val="auto"/>
                <w:lang w:val="en-US" w:eastAsia="zh-CN"/>
              </w:rPr>
              <w:t>：</w:t>
            </w:r>
          </w:p>
          <w:p w14:paraId="1D7BF140">
            <w:pPr>
              <w:pStyle w:val="22"/>
              <w:bidi w:val="0"/>
              <w:rPr>
                <w:rFonts w:hint="eastAsia"/>
                <w:color w:val="auto"/>
                <w:lang w:val="en-US" w:eastAsia="zh-CN"/>
              </w:rPr>
            </w:pPr>
            <w:r>
              <w:rPr>
                <w:rFonts w:hint="eastAsia"/>
                <w:color w:val="auto"/>
                <w:lang w:val="en-US" w:eastAsia="zh-CN"/>
              </w:rPr>
              <w:t>（1）施工扬尘</w:t>
            </w:r>
          </w:p>
          <w:p w14:paraId="0954F387">
            <w:pPr>
              <w:pStyle w:val="22"/>
              <w:bidi w:val="0"/>
              <w:rPr>
                <w:rFonts w:hint="eastAsia"/>
                <w:color w:val="auto"/>
                <w:lang w:val="en-US" w:eastAsia="zh-CN"/>
              </w:rPr>
            </w:pPr>
            <w:r>
              <w:rPr>
                <w:rFonts w:hint="eastAsia"/>
                <w:color w:val="auto"/>
                <w:lang w:val="en-US" w:eastAsia="zh-CN"/>
              </w:rPr>
              <w:t>在整个建设施工阶段，建材的运输和装卸等施工作业过程都会产生扬尘。施工扬尘会对周围环境及居民区等敏感点带来一定影响。</w:t>
            </w:r>
          </w:p>
          <w:p w14:paraId="01AA6AC5">
            <w:pPr>
              <w:pStyle w:val="22"/>
              <w:bidi w:val="0"/>
              <w:rPr>
                <w:rFonts w:hint="eastAsia"/>
                <w:color w:val="auto"/>
                <w:lang w:val="en-US" w:eastAsia="zh-CN"/>
              </w:rPr>
            </w:pPr>
            <w:r>
              <w:rPr>
                <w:rFonts w:hint="eastAsia"/>
                <w:color w:val="auto"/>
                <w:lang w:val="en-US" w:eastAsia="zh-CN"/>
              </w:rPr>
              <w:t>建筑施工阶段产生的扬尘将可能使该地区和下风向一定范围内空气中总悬浮颗粒物浓度增大，超过《环境空气质量标准》(GB3095-2012)中的二级标准，特别是天气干燥、风速较大时影响更为严重。施工期影响较大的主要是项目四周的居民。为了减少项目运行对周边环境的影响，本项目施工期应采取一系列有效措施，例如工地上配置滞尘防护网，厂界设置施工围挡，定期对扬尘作业面喷洒水等，最大程度地减少扬尘对周围空气环境质量的影响。</w:t>
            </w:r>
          </w:p>
          <w:p w14:paraId="2A5E0938">
            <w:pPr>
              <w:pStyle w:val="22"/>
              <w:bidi w:val="0"/>
              <w:rPr>
                <w:rFonts w:hint="eastAsia"/>
                <w:color w:val="auto"/>
                <w:lang w:val="en-US" w:eastAsia="zh-CN"/>
              </w:rPr>
            </w:pPr>
            <w:r>
              <w:rPr>
                <w:rFonts w:hint="eastAsia"/>
                <w:color w:val="auto"/>
                <w:lang w:val="en-US" w:eastAsia="zh-CN"/>
              </w:rPr>
              <w:t>为减轻施工废气的污染程度，缩小其影响范围，同时结合《岳阳市扬尘污染防治条例》，在施工期采取以下措施：</w:t>
            </w:r>
          </w:p>
          <w:p w14:paraId="684E1765">
            <w:pPr>
              <w:pStyle w:val="22"/>
              <w:bidi w:val="0"/>
              <w:rPr>
                <w:rFonts w:hint="eastAsia"/>
                <w:color w:val="auto"/>
                <w:lang w:val="en-US" w:eastAsia="zh-CN"/>
              </w:rPr>
            </w:pPr>
            <w:r>
              <w:rPr>
                <w:rFonts w:hint="eastAsia"/>
                <w:color w:val="auto"/>
                <w:lang w:val="en-US" w:eastAsia="zh-CN"/>
              </w:rPr>
              <w:t>（1）施工工地周围按照相关规定设置围挡或者围墙；</w:t>
            </w:r>
          </w:p>
          <w:p w14:paraId="338A52AA">
            <w:pPr>
              <w:pStyle w:val="22"/>
              <w:bidi w:val="0"/>
              <w:rPr>
                <w:rFonts w:hint="eastAsia"/>
                <w:color w:val="auto"/>
                <w:lang w:val="en-US" w:eastAsia="zh-CN"/>
              </w:rPr>
            </w:pPr>
            <w:r>
              <w:rPr>
                <w:rFonts w:hint="eastAsia"/>
                <w:color w:val="auto"/>
                <w:lang w:val="en-US" w:eastAsia="zh-CN"/>
              </w:rPr>
              <w:t>（2）施工工地内的裸露土地超过四十八小时不能连续施工的，采取覆盖防尘布、防尘网或者喷淋、洒水等其他有效防尘措施；</w:t>
            </w:r>
          </w:p>
          <w:p w14:paraId="493481F8">
            <w:pPr>
              <w:pStyle w:val="22"/>
              <w:bidi w:val="0"/>
              <w:rPr>
                <w:rFonts w:hint="eastAsia"/>
                <w:color w:val="auto"/>
                <w:lang w:val="en-US" w:eastAsia="zh-CN"/>
              </w:rPr>
            </w:pPr>
            <w:r>
              <w:rPr>
                <w:rFonts w:hint="eastAsia"/>
                <w:color w:val="auto"/>
                <w:lang w:val="en-US" w:eastAsia="zh-CN"/>
              </w:rPr>
              <w:t>（3）散装物料集中分区、分类存放，并根据易产生扬尘污染程度，分别采取密闭存放或者覆盖等其他有效防尘措施，禁止抛掷、扬撒和在围挡外堆放；</w:t>
            </w:r>
          </w:p>
          <w:p w14:paraId="62E08A1A">
            <w:pPr>
              <w:pStyle w:val="22"/>
              <w:bidi w:val="0"/>
              <w:rPr>
                <w:rFonts w:hint="eastAsia"/>
                <w:color w:val="auto"/>
                <w:lang w:val="en-US" w:eastAsia="zh-CN"/>
              </w:rPr>
            </w:pPr>
            <w:r>
              <w:rPr>
                <w:rFonts w:hint="eastAsia"/>
                <w:color w:val="auto"/>
                <w:lang w:val="en-US" w:eastAsia="zh-CN"/>
              </w:rPr>
              <w:t>（4）及时清运建筑土方、工程渣土、建筑垃圾，不能及时清运的，分类存放和覆盖，并定时喷淋；</w:t>
            </w:r>
          </w:p>
          <w:p w14:paraId="4D68FD27">
            <w:pPr>
              <w:pStyle w:val="22"/>
              <w:bidi w:val="0"/>
              <w:rPr>
                <w:rFonts w:hint="eastAsia"/>
                <w:color w:val="auto"/>
                <w:lang w:val="en-US" w:eastAsia="zh-CN"/>
              </w:rPr>
            </w:pPr>
            <w:r>
              <w:rPr>
                <w:rFonts w:hint="eastAsia"/>
                <w:color w:val="auto"/>
                <w:lang w:val="en-US" w:eastAsia="zh-CN"/>
              </w:rPr>
              <w:t>（5）工地车辆出口配备车辆冲洗装置和污水收集设施，并保持正常使用，对出场车辆冲洗干净，禁止带泥上路；</w:t>
            </w:r>
          </w:p>
          <w:p w14:paraId="4849A7C9">
            <w:pPr>
              <w:pStyle w:val="22"/>
              <w:bidi w:val="0"/>
              <w:rPr>
                <w:rFonts w:hint="eastAsia"/>
                <w:color w:val="auto"/>
                <w:lang w:val="en-US" w:eastAsia="zh-CN"/>
              </w:rPr>
            </w:pPr>
            <w:r>
              <w:rPr>
                <w:rFonts w:hint="eastAsia"/>
                <w:color w:val="auto"/>
                <w:lang w:val="en-US" w:eastAsia="zh-CN"/>
              </w:rPr>
              <w:t>（6）对工地出入口、材料堆放区、材料加工区、生活区和主要道路等进行硬化并辅以喷淋、洒水等措施；</w:t>
            </w:r>
          </w:p>
          <w:p w14:paraId="52F214E5">
            <w:pPr>
              <w:pStyle w:val="22"/>
              <w:bidi w:val="0"/>
              <w:rPr>
                <w:rFonts w:hint="eastAsia"/>
                <w:color w:val="auto"/>
                <w:lang w:val="en-US" w:eastAsia="zh-CN"/>
              </w:rPr>
            </w:pPr>
            <w:r>
              <w:rPr>
                <w:rFonts w:hint="eastAsia"/>
                <w:color w:val="auto"/>
                <w:lang w:val="en-US" w:eastAsia="zh-CN"/>
              </w:rPr>
              <w:t>（7）施工现场进行切割、钻孔、凿槽等易产生粉尘的作业时，采取喷淋、洒水等措施；</w:t>
            </w:r>
          </w:p>
          <w:p w14:paraId="0E34BA84">
            <w:pPr>
              <w:pStyle w:val="22"/>
              <w:bidi w:val="0"/>
              <w:rPr>
                <w:rFonts w:hint="eastAsia"/>
                <w:color w:val="auto"/>
                <w:lang w:val="en-US" w:eastAsia="zh-CN"/>
              </w:rPr>
            </w:pPr>
            <w:r>
              <w:rPr>
                <w:rFonts w:hint="eastAsia"/>
                <w:color w:val="auto"/>
                <w:lang w:val="en-US" w:eastAsia="zh-CN"/>
              </w:rPr>
              <w:t>（8）开挖和回填土方作业面采取喷淋、洒水等有效防尘措施；</w:t>
            </w:r>
          </w:p>
          <w:p w14:paraId="1485D0D9">
            <w:pPr>
              <w:pStyle w:val="22"/>
              <w:bidi w:val="0"/>
              <w:rPr>
                <w:rFonts w:hint="eastAsia"/>
                <w:color w:val="auto"/>
                <w:lang w:val="en-US" w:eastAsia="zh-CN"/>
              </w:rPr>
            </w:pPr>
            <w:r>
              <w:rPr>
                <w:rFonts w:hint="eastAsia"/>
                <w:color w:val="auto"/>
                <w:lang w:val="en-US" w:eastAsia="zh-CN"/>
              </w:rPr>
              <w:t>（9）按照市人民政府的规定使用预拌混凝土；</w:t>
            </w:r>
          </w:p>
          <w:p w14:paraId="6BD7FF7B">
            <w:pPr>
              <w:pStyle w:val="22"/>
              <w:bidi w:val="0"/>
              <w:rPr>
                <w:rFonts w:hint="eastAsia"/>
                <w:color w:val="auto"/>
                <w:lang w:val="en-US" w:eastAsia="zh-CN"/>
              </w:rPr>
            </w:pPr>
            <w:r>
              <w:rPr>
                <w:rFonts w:hint="eastAsia"/>
                <w:color w:val="auto"/>
                <w:lang w:val="en-US" w:eastAsia="zh-CN"/>
              </w:rPr>
              <w:t>（10）采取分段作业、择时施工等其他有效防尘降尘措施。</w:t>
            </w:r>
          </w:p>
          <w:p w14:paraId="1CC51B83">
            <w:pPr>
              <w:pStyle w:val="22"/>
              <w:bidi w:val="0"/>
              <w:rPr>
                <w:rFonts w:hint="eastAsia"/>
                <w:color w:val="auto"/>
                <w:lang w:val="en-US" w:eastAsia="zh-CN"/>
              </w:rPr>
            </w:pPr>
            <w:r>
              <w:rPr>
                <w:rFonts w:hint="eastAsia"/>
                <w:color w:val="auto"/>
                <w:lang w:val="en-US" w:eastAsia="zh-CN"/>
              </w:rPr>
              <w:t>（11）同时严格执行住建部“六个”100%，①施工工地周边100%围挡（建筑工地围挡必须100%全封闭，且达到美观大方，安全实用要求）；②物料堆放100%覆盖（建筑工地砂石、裸露黄土（含地面）必须100%全覆盖）；③出入车辆100%冲洗（工地大门内必须安装定型车辆冲洗设备，保证出来的车辆必须100%全冲洗）；④施工现场地面100%硬化（施工现场的主要施工道路必须100%全硬化）；⑤拆除工程100%湿法作业（施工现场划分为三个施工段：每个施工段各配备1台抑尘车，全段共配备3台抑尘车，结合喷淋系统在土方挖运、回填全过程100%洒水抑尘，进行湿法作业）；⑥渣土车辆100%密闭运输（由工地驶出车辆必须用苫布对厢体所运渣土遮盖严实）。</w:t>
            </w:r>
          </w:p>
          <w:p w14:paraId="6DFB17F8">
            <w:pPr>
              <w:pStyle w:val="22"/>
              <w:bidi w:val="0"/>
              <w:rPr>
                <w:rFonts w:hint="eastAsia"/>
                <w:color w:val="auto"/>
                <w:lang w:val="en-US" w:eastAsia="zh-CN"/>
              </w:rPr>
            </w:pPr>
            <w:r>
              <w:rPr>
                <w:rFonts w:hint="eastAsia"/>
                <w:color w:val="auto"/>
                <w:lang w:val="en-US" w:eastAsia="zh-CN"/>
              </w:rPr>
              <w:t>经以上措施处理后项目施工废气对周围环境及居民点等敏感点影响较小。</w:t>
            </w:r>
          </w:p>
          <w:p w14:paraId="1A458D0D">
            <w:pPr>
              <w:pStyle w:val="22"/>
              <w:bidi w:val="0"/>
              <w:rPr>
                <w:rFonts w:hint="eastAsia"/>
                <w:color w:val="auto"/>
                <w:lang w:val="en-US" w:eastAsia="zh-CN"/>
              </w:rPr>
            </w:pPr>
            <w:r>
              <w:rPr>
                <w:rFonts w:hint="eastAsia"/>
                <w:color w:val="auto"/>
                <w:lang w:val="en-US" w:eastAsia="zh-CN"/>
              </w:rPr>
              <w:t>（2）汽车尾气</w:t>
            </w:r>
          </w:p>
          <w:p w14:paraId="7292785E">
            <w:pPr>
              <w:pStyle w:val="22"/>
              <w:bidi w:val="0"/>
              <w:rPr>
                <w:rFonts w:hint="eastAsia"/>
                <w:color w:val="auto"/>
                <w:lang w:val="en-US" w:eastAsia="zh-CN"/>
              </w:rPr>
            </w:pPr>
            <w:r>
              <w:rPr>
                <w:rFonts w:hint="eastAsia"/>
                <w:color w:val="auto"/>
                <w:lang w:val="en-US" w:eastAsia="zh-CN"/>
              </w:rPr>
              <w:t>运输车辆及施工机械在运行中将产生机动车尾气，其中主要含有CO、NO</w:t>
            </w:r>
            <w:r>
              <w:rPr>
                <w:rFonts w:hint="eastAsia"/>
                <w:color w:val="auto"/>
                <w:vertAlign w:val="subscript"/>
                <w:lang w:val="en-US" w:eastAsia="zh-CN"/>
              </w:rPr>
              <w:t>X</w:t>
            </w:r>
            <w:r>
              <w:rPr>
                <w:rFonts w:hint="eastAsia"/>
                <w:color w:val="auto"/>
                <w:lang w:val="en-US" w:eastAsia="zh-CN"/>
              </w:rPr>
              <w:t>等污染物。尾气污染产生的主要决定因素为燃料油种类、机械性能、作业方式和风力等，其中机械性能、作业方式等因素的影响最大。</w:t>
            </w:r>
          </w:p>
          <w:p w14:paraId="7557EE69">
            <w:pPr>
              <w:pStyle w:val="22"/>
              <w:bidi w:val="0"/>
              <w:rPr>
                <w:rFonts w:hint="eastAsia"/>
                <w:color w:val="auto"/>
                <w:lang w:val="en-US" w:eastAsia="zh-CN"/>
              </w:rPr>
            </w:pPr>
            <w:r>
              <w:rPr>
                <w:rFonts w:hint="eastAsia"/>
                <w:color w:val="auto"/>
                <w:lang w:val="en-US" w:eastAsia="zh-CN"/>
              </w:rPr>
              <w:t>由于汽车尾气排放局限于施工现场和运输沿线，为非连续性的污染源，评价建议项目方加强管理，合理规划进出施工场地行车路线、缩短怠速、减速和加速的时间，增加正常运行时间，以减少NO</w:t>
            </w:r>
            <w:r>
              <w:rPr>
                <w:rFonts w:hint="eastAsia"/>
                <w:color w:val="auto"/>
                <w:vertAlign w:val="subscript"/>
                <w:lang w:val="en-US" w:eastAsia="zh-CN"/>
              </w:rPr>
              <w:t>X</w:t>
            </w:r>
            <w:r>
              <w:rPr>
                <w:rFonts w:hint="eastAsia"/>
                <w:color w:val="auto"/>
                <w:lang w:val="en-US" w:eastAsia="zh-CN"/>
              </w:rPr>
              <w:t>及CO等汽车尾气的排放量；另外进出项目区的燃油机车和施工机械必须是符合国家机动车尾气排放标准的车型，并加强施工管理。</w:t>
            </w:r>
          </w:p>
          <w:p w14:paraId="04AB2125">
            <w:pPr>
              <w:pStyle w:val="21"/>
              <w:bidi w:val="0"/>
              <w:rPr>
                <w:rFonts w:hint="default"/>
                <w:color w:val="auto"/>
                <w:lang w:val="en-US" w:eastAsia="zh-CN"/>
              </w:rPr>
            </w:pPr>
            <w:r>
              <w:rPr>
                <w:rFonts w:hint="eastAsia"/>
                <w:color w:val="auto"/>
                <w:lang w:val="en-US" w:eastAsia="zh-CN"/>
              </w:rPr>
              <w:t>2、施工期水环境影响分析</w:t>
            </w:r>
          </w:p>
          <w:p w14:paraId="79D6194E">
            <w:pPr>
              <w:tabs>
                <w:tab w:val="left" w:pos="878"/>
              </w:tabs>
              <w:spacing w:line="360" w:lineRule="auto"/>
              <w:ind w:firstLine="480" w:firstLineChars="200"/>
              <w:jc w:val="left"/>
              <w:rPr>
                <w:rFonts w:hint="default" w:ascii="宋体" w:hAnsi="宋体" w:eastAsia="宋体" w:cs="宋体"/>
                <w:sz w:val="24"/>
                <w:szCs w:val="24"/>
                <w:u w:val="single"/>
                <w:lang w:val="en-US" w:eastAsia="zh-CN"/>
              </w:rPr>
            </w:pPr>
            <w:r>
              <w:rPr>
                <w:rFonts w:hint="eastAsia" w:ascii="宋体" w:hAnsi="宋体" w:cs="宋体"/>
                <w:sz w:val="24"/>
                <w:szCs w:val="24"/>
                <w:u w:val="single"/>
              </w:rPr>
              <w:t>项目施工现场不设临时施工营地，施工过程中产生的废水主要为施工废水</w:t>
            </w:r>
            <w:r>
              <w:rPr>
                <w:rFonts w:hint="eastAsia" w:ascii="宋体" w:hAnsi="宋体" w:cs="宋体"/>
                <w:sz w:val="24"/>
                <w:szCs w:val="24"/>
                <w:u w:val="single"/>
                <w:lang w:val="en-US" w:eastAsia="zh-CN"/>
              </w:rPr>
              <w:t>以及员工生活废水</w:t>
            </w:r>
            <w:r>
              <w:rPr>
                <w:rFonts w:hint="eastAsia" w:ascii="宋体" w:hAnsi="宋体" w:cs="宋体"/>
                <w:sz w:val="24"/>
                <w:szCs w:val="24"/>
                <w:u w:val="single"/>
              </w:rPr>
              <w:t>。施工废水主要为设备及工具冲洗废水，主要污染物为石油类和 SS，废水产生量为2m</w:t>
            </w:r>
            <w:r>
              <w:rPr>
                <w:rFonts w:hint="eastAsia" w:ascii="宋体" w:hAnsi="宋体" w:cs="宋体"/>
                <w:sz w:val="24"/>
                <w:szCs w:val="24"/>
                <w:u w:val="single"/>
                <w:vertAlign w:val="superscript"/>
              </w:rPr>
              <w:t>3</w:t>
            </w:r>
            <w:r>
              <w:rPr>
                <w:rFonts w:hint="eastAsia" w:ascii="宋体" w:hAnsi="宋体" w:cs="宋体"/>
                <w:sz w:val="24"/>
                <w:szCs w:val="24"/>
                <w:u w:val="single"/>
              </w:rPr>
              <w:t>/d。项目施工废水经过简易隔油、沉淀处理后的废水作为场地降尘用水或绿化用水，不外排。</w:t>
            </w:r>
            <w:r>
              <w:rPr>
                <w:rFonts w:hint="eastAsia" w:ascii="宋体" w:hAnsi="宋体" w:cs="宋体"/>
                <w:sz w:val="24"/>
                <w:szCs w:val="24"/>
                <w:u w:val="single"/>
                <w:lang w:val="en-US" w:eastAsia="zh-CN"/>
              </w:rPr>
              <w:t>员工生活废水的产生量为1.5</w:t>
            </w:r>
            <w:r>
              <w:rPr>
                <w:rFonts w:hint="eastAsia" w:ascii="宋体" w:hAnsi="宋体" w:cs="宋体"/>
                <w:sz w:val="24"/>
                <w:szCs w:val="24"/>
                <w:u w:val="single"/>
              </w:rPr>
              <w:t>m</w:t>
            </w:r>
            <w:r>
              <w:rPr>
                <w:rFonts w:hint="eastAsia" w:ascii="宋体" w:hAnsi="宋体" w:cs="宋体"/>
                <w:sz w:val="24"/>
                <w:szCs w:val="24"/>
                <w:u w:val="single"/>
                <w:vertAlign w:val="superscript"/>
              </w:rPr>
              <w:t>3</w:t>
            </w:r>
            <w:r>
              <w:rPr>
                <w:rFonts w:hint="eastAsia" w:ascii="宋体" w:hAnsi="宋体" w:cs="宋体"/>
                <w:sz w:val="24"/>
                <w:szCs w:val="24"/>
                <w:u w:val="single"/>
              </w:rPr>
              <w:t>/d</w:t>
            </w:r>
            <w:r>
              <w:rPr>
                <w:rFonts w:hint="eastAsia" w:ascii="宋体" w:hAnsi="宋体" w:cs="宋体"/>
                <w:sz w:val="24"/>
                <w:szCs w:val="24"/>
                <w:u w:val="single"/>
                <w:lang w:eastAsia="zh-CN"/>
              </w:rPr>
              <w:t>，</w:t>
            </w:r>
            <w:r>
              <w:rPr>
                <w:rFonts w:hint="eastAsia" w:ascii="宋体" w:hAnsi="宋体" w:cs="宋体"/>
                <w:sz w:val="24"/>
                <w:szCs w:val="24"/>
                <w:u w:val="single"/>
                <w:lang w:val="en-US" w:eastAsia="zh-CN"/>
              </w:rPr>
              <w:t>通过租用场地化粪池收集处理后，排往岳阳高新技术产业园区</w:t>
            </w:r>
            <w:r>
              <w:rPr>
                <w:rFonts w:hint="eastAsia"/>
                <w:color w:val="auto"/>
                <w:u w:val="single"/>
                <w:lang w:val="en-US" w:eastAsia="zh-CN"/>
              </w:rPr>
              <w:t>长湖片污水处理厂进行处理。</w:t>
            </w:r>
          </w:p>
          <w:p w14:paraId="14DD51F8">
            <w:pPr>
              <w:tabs>
                <w:tab w:val="left" w:pos="878"/>
              </w:tabs>
              <w:spacing w:line="360" w:lineRule="auto"/>
              <w:ind w:firstLine="480" w:firstLineChars="200"/>
              <w:jc w:val="left"/>
              <w:rPr>
                <w:rFonts w:ascii="宋体" w:hAnsi="宋体" w:cs="宋体"/>
                <w:sz w:val="24"/>
                <w:szCs w:val="24"/>
                <w:u w:val="single"/>
              </w:rPr>
            </w:pPr>
            <w:r>
              <w:rPr>
                <w:rFonts w:hint="eastAsia" w:ascii="宋体" w:hAnsi="宋体" w:cs="宋体"/>
                <w:sz w:val="24"/>
                <w:szCs w:val="24"/>
                <w:u w:val="single"/>
              </w:rPr>
              <w:t>经以上措施处理后，项目施工期产生的废水对区域水环境影响较小。</w:t>
            </w:r>
          </w:p>
          <w:p w14:paraId="09E4A989">
            <w:pPr>
              <w:pStyle w:val="21"/>
              <w:bidi w:val="0"/>
              <w:rPr>
                <w:rFonts w:hint="eastAsia"/>
                <w:color w:val="auto"/>
                <w:lang w:val="en-US" w:eastAsia="zh-CN"/>
              </w:rPr>
            </w:pPr>
            <w:r>
              <w:rPr>
                <w:rFonts w:hint="eastAsia"/>
                <w:color w:val="auto"/>
                <w:lang w:val="en-US" w:eastAsia="zh-CN"/>
              </w:rPr>
              <w:t>3、施工期噪声影响分析</w:t>
            </w:r>
          </w:p>
          <w:p w14:paraId="7C5B4156">
            <w:pPr>
              <w:pStyle w:val="22"/>
              <w:bidi w:val="0"/>
              <w:rPr>
                <w:rFonts w:hint="eastAsia"/>
                <w:color w:val="auto"/>
                <w:lang w:val="en-US" w:eastAsia="zh-CN"/>
              </w:rPr>
            </w:pPr>
            <w:r>
              <w:rPr>
                <w:rFonts w:hint="eastAsia"/>
                <w:color w:val="auto"/>
                <w:lang w:val="en-US" w:eastAsia="zh-CN"/>
              </w:rPr>
              <w:t>施工期噪声主要来自施工机械噪声、施工作业噪声和运输车辆噪声。施工机械噪声由施工机械所造成，如打桩机械、升降机等，多为点声源；施工作业噪声主要指一些零星的敲打声、装卸建材的撞击声、拆装模板的撞击声等，多为瞬间噪声；运输车辆的噪声属于交通噪声。在这些施工噪声中对声环境影响最大的是施工机械噪声。主要噪声源源强见下表。</w:t>
            </w:r>
          </w:p>
          <w:p w14:paraId="482C6CE0">
            <w:pPr>
              <w:pStyle w:val="7"/>
              <w:jc w:val="center"/>
              <w:rPr>
                <w:rFonts w:eastAsia="宋体"/>
                <w:b/>
                <w:spacing w:val="0"/>
                <w:sz w:val="21"/>
                <w:szCs w:val="21"/>
                <w:u w:val="none"/>
              </w:rPr>
            </w:pPr>
            <w:r>
              <w:rPr>
                <w:rFonts w:hint="eastAsia" w:eastAsia="宋体"/>
                <w:b/>
                <w:color w:val="auto"/>
                <w:spacing w:val="0"/>
                <w:sz w:val="21"/>
                <w:szCs w:val="21"/>
                <w:u w:val="none"/>
              </w:rPr>
              <w:t>表</w:t>
            </w:r>
            <w:r>
              <w:rPr>
                <w:rFonts w:hint="eastAsia"/>
                <w:b/>
                <w:color w:val="auto"/>
                <w:spacing w:val="0"/>
                <w:sz w:val="21"/>
                <w:szCs w:val="21"/>
                <w:u w:val="none"/>
                <w:lang w:val="en-US" w:eastAsia="zh-CN"/>
              </w:rPr>
              <w:t>4-1</w:t>
            </w:r>
            <w:r>
              <w:rPr>
                <w:rFonts w:hint="eastAsia" w:eastAsia="宋体"/>
                <w:b/>
                <w:color w:val="4874CB" w:themeColor="accent1"/>
                <w:spacing w:val="0"/>
                <w:sz w:val="21"/>
                <w:szCs w:val="21"/>
                <w:u w:val="none"/>
                <w:lang w:val="en-US" w:eastAsia="zh-CN"/>
                <w14:textFill>
                  <w14:solidFill>
                    <w14:schemeClr w14:val="accent1"/>
                  </w14:solidFill>
                </w14:textFill>
              </w:rPr>
              <w:t xml:space="preserve"> </w:t>
            </w:r>
            <w:r>
              <w:rPr>
                <w:rFonts w:hint="eastAsia" w:eastAsia="宋体"/>
                <w:b/>
                <w:spacing w:val="0"/>
                <w:sz w:val="21"/>
                <w:szCs w:val="21"/>
                <w:u w:val="none"/>
              </w:rPr>
              <w:t>主要施工车辆噪声强度 单位：dB(A)</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87"/>
              <w:gridCol w:w="2685"/>
              <w:gridCol w:w="2040"/>
              <w:gridCol w:w="1172"/>
            </w:tblGrid>
            <w:tr w14:paraId="0FE97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87" w:type="dxa"/>
                  <w:noWrap w:val="0"/>
                  <w:vAlign w:val="center"/>
                </w:tcPr>
                <w:p w14:paraId="378CEAE0">
                  <w:pPr>
                    <w:pStyle w:val="7"/>
                    <w:jc w:val="center"/>
                    <w:rPr>
                      <w:rFonts w:hint="default" w:eastAsia="宋体"/>
                      <w:spacing w:val="0"/>
                      <w:sz w:val="21"/>
                      <w:szCs w:val="21"/>
                      <w:lang w:val="en-US" w:eastAsia="zh-CN"/>
                    </w:rPr>
                  </w:pPr>
                  <w:r>
                    <w:rPr>
                      <w:rFonts w:hint="eastAsia" w:eastAsia="宋体"/>
                      <w:spacing w:val="0"/>
                      <w:sz w:val="21"/>
                      <w:szCs w:val="21"/>
                      <w:lang w:val="en-US" w:eastAsia="zh-CN"/>
                    </w:rPr>
                    <w:t>施工阶段</w:t>
                  </w:r>
                </w:p>
              </w:tc>
              <w:tc>
                <w:tcPr>
                  <w:tcW w:w="2685" w:type="dxa"/>
                  <w:noWrap w:val="0"/>
                  <w:vAlign w:val="center"/>
                </w:tcPr>
                <w:p w14:paraId="7F5754BA">
                  <w:pPr>
                    <w:pStyle w:val="7"/>
                    <w:jc w:val="center"/>
                    <w:rPr>
                      <w:rFonts w:hint="eastAsia" w:eastAsia="宋体"/>
                      <w:spacing w:val="0"/>
                      <w:sz w:val="21"/>
                      <w:szCs w:val="21"/>
                    </w:rPr>
                  </w:pPr>
                  <w:r>
                    <w:rPr>
                      <w:rFonts w:hint="eastAsia" w:eastAsia="宋体"/>
                      <w:spacing w:val="0"/>
                      <w:sz w:val="21"/>
                      <w:szCs w:val="21"/>
                    </w:rPr>
                    <w:t>运输内容</w:t>
                  </w:r>
                </w:p>
              </w:tc>
              <w:tc>
                <w:tcPr>
                  <w:tcW w:w="2040" w:type="dxa"/>
                  <w:noWrap w:val="0"/>
                  <w:vAlign w:val="center"/>
                </w:tcPr>
                <w:p w14:paraId="2AEB09BB">
                  <w:pPr>
                    <w:pStyle w:val="7"/>
                    <w:jc w:val="center"/>
                    <w:rPr>
                      <w:rFonts w:hint="eastAsia" w:eastAsia="宋体"/>
                      <w:spacing w:val="0"/>
                      <w:sz w:val="21"/>
                      <w:szCs w:val="21"/>
                    </w:rPr>
                  </w:pPr>
                  <w:r>
                    <w:rPr>
                      <w:rFonts w:hint="eastAsia" w:eastAsia="宋体"/>
                      <w:spacing w:val="0"/>
                      <w:sz w:val="21"/>
                      <w:szCs w:val="21"/>
                    </w:rPr>
                    <w:t>车辆类型</w:t>
                  </w:r>
                </w:p>
              </w:tc>
              <w:tc>
                <w:tcPr>
                  <w:tcW w:w="1172" w:type="dxa"/>
                  <w:noWrap w:val="0"/>
                  <w:vAlign w:val="center"/>
                </w:tcPr>
                <w:p w14:paraId="257EAA03">
                  <w:pPr>
                    <w:pStyle w:val="7"/>
                    <w:jc w:val="center"/>
                    <w:rPr>
                      <w:rFonts w:hint="eastAsia" w:eastAsia="宋体"/>
                      <w:spacing w:val="0"/>
                      <w:sz w:val="21"/>
                      <w:szCs w:val="21"/>
                    </w:rPr>
                  </w:pPr>
                  <w:r>
                    <w:rPr>
                      <w:rFonts w:hint="eastAsia" w:eastAsia="宋体"/>
                      <w:spacing w:val="0"/>
                      <w:sz w:val="21"/>
                      <w:szCs w:val="21"/>
                    </w:rPr>
                    <w:t>声源强度</w:t>
                  </w:r>
                </w:p>
              </w:tc>
            </w:tr>
            <w:tr w14:paraId="34AC5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7" w:type="dxa"/>
                  <w:noWrap w:val="0"/>
                  <w:vAlign w:val="center"/>
                </w:tcPr>
                <w:p w14:paraId="1227D4BF">
                  <w:pPr>
                    <w:pStyle w:val="7"/>
                    <w:jc w:val="center"/>
                    <w:rPr>
                      <w:rFonts w:hint="eastAsia" w:eastAsia="宋体"/>
                      <w:spacing w:val="0"/>
                      <w:sz w:val="21"/>
                      <w:szCs w:val="21"/>
                    </w:rPr>
                  </w:pPr>
                  <w:r>
                    <w:rPr>
                      <w:rFonts w:hint="eastAsia" w:eastAsia="宋体"/>
                      <w:spacing w:val="0"/>
                      <w:sz w:val="21"/>
                      <w:szCs w:val="21"/>
                    </w:rPr>
                    <w:t>底板及结构阶段</w:t>
                  </w:r>
                </w:p>
              </w:tc>
              <w:tc>
                <w:tcPr>
                  <w:tcW w:w="2685" w:type="dxa"/>
                  <w:noWrap w:val="0"/>
                  <w:vAlign w:val="center"/>
                </w:tcPr>
                <w:p w14:paraId="71A36FEB">
                  <w:pPr>
                    <w:pStyle w:val="7"/>
                    <w:jc w:val="center"/>
                    <w:rPr>
                      <w:rFonts w:hint="eastAsia" w:eastAsia="宋体"/>
                      <w:spacing w:val="0"/>
                      <w:sz w:val="21"/>
                      <w:szCs w:val="21"/>
                    </w:rPr>
                  </w:pPr>
                  <w:r>
                    <w:rPr>
                      <w:rFonts w:hint="eastAsia" w:eastAsia="宋体"/>
                      <w:spacing w:val="0"/>
                      <w:sz w:val="21"/>
                      <w:szCs w:val="21"/>
                    </w:rPr>
                    <w:t>钢筋、商品混凝土</w:t>
                  </w:r>
                </w:p>
              </w:tc>
              <w:tc>
                <w:tcPr>
                  <w:tcW w:w="2040" w:type="dxa"/>
                  <w:noWrap w:val="0"/>
                  <w:vAlign w:val="center"/>
                </w:tcPr>
                <w:p w14:paraId="7C8964E3">
                  <w:pPr>
                    <w:pStyle w:val="7"/>
                    <w:jc w:val="center"/>
                    <w:rPr>
                      <w:rFonts w:hint="eastAsia" w:eastAsia="宋体"/>
                      <w:spacing w:val="0"/>
                      <w:sz w:val="21"/>
                      <w:szCs w:val="21"/>
                    </w:rPr>
                  </w:pPr>
                  <w:r>
                    <w:rPr>
                      <w:rFonts w:hint="eastAsia" w:eastAsia="宋体"/>
                      <w:spacing w:val="0"/>
                      <w:sz w:val="21"/>
                      <w:szCs w:val="21"/>
                    </w:rPr>
                    <w:t>混凝土罐车、载重车</w:t>
                  </w:r>
                </w:p>
              </w:tc>
              <w:tc>
                <w:tcPr>
                  <w:tcW w:w="1172" w:type="dxa"/>
                  <w:noWrap w:val="0"/>
                  <w:vAlign w:val="center"/>
                </w:tcPr>
                <w:p w14:paraId="7CAE02F2">
                  <w:pPr>
                    <w:pStyle w:val="7"/>
                    <w:jc w:val="center"/>
                    <w:rPr>
                      <w:rFonts w:hint="eastAsia" w:eastAsia="宋体"/>
                      <w:spacing w:val="0"/>
                      <w:sz w:val="21"/>
                      <w:szCs w:val="21"/>
                    </w:rPr>
                  </w:pPr>
                  <w:r>
                    <w:rPr>
                      <w:rFonts w:hint="eastAsia" w:eastAsia="宋体"/>
                      <w:spacing w:val="0"/>
                      <w:sz w:val="21"/>
                      <w:szCs w:val="21"/>
                    </w:rPr>
                    <w:t>80～85</w:t>
                  </w:r>
                </w:p>
              </w:tc>
            </w:tr>
            <w:tr w14:paraId="1F7C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7" w:type="dxa"/>
                  <w:noWrap w:val="0"/>
                  <w:vAlign w:val="center"/>
                </w:tcPr>
                <w:p w14:paraId="561FFD6E">
                  <w:pPr>
                    <w:pStyle w:val="7"/>
                    <w:jc w:val="center"/>
                    <w:rPr>
                      <w:rFonts w:hint="eastAsia" w:eastAsia="宋体"/>
                      <w:spacing w:val="0"/>
                      <w:sz w:val="21"/>
                      <w:szCs w:val="21"/>
                    </w:rPr>
                  </w:pPr>
                  <w:r>
                    <w:rPr>
                      <w:rFonts w:hint="eastAsia" w:eastAsia="宋体"/>
                      <w:spacing w:val="0"/>
                      <w:sz w:val="21"/>
                      <w:szCs w:val="21"/>
                    </w:rPr>
                    <w:t>装修阶段</w:t>
                  </w:r>
                </w:p>
              </w:tc>
              <w:tc>
                <w:tcPr>
                  <w:tcW w:w="2685" w:type="dxa"/>
                  <w:noWrap w:val="0"/>
                  <w:vAlign w:val="center"/>
                </w:tcPr>
                <w:p w14:paraId="6A48A082">
                  <w:pPr>
                    <w:pStyle w:val="7"/>
                    <w:jc w:val="center"/>
                    <w:rPr>
                      <w:rFonts w:hint="eastAsia" w:eastAsia="宋体"/>
                      <w:spacing w:val="0"/>
                      <w:sz w:val="21"/>
                      <w:szCs w:val="21"/>
                    </w:rPr>
                  </w:pPr>
                  <w:r>
                    <w:rPr>
                      <w:rFonts w:hint="eastAsia" w:eastAsia="宋体"/>
                      <w:spacing w:val="0"/>
                      <w:sz w:val="21"/>
                      <w:szCs w:val="21"/>
                    </w:rPr>
                    <w:t>各种装修材料及必备设备</w:t>
                  </w:r>
                </w:p>
              </w:tc>
              <w:tc>
                <w:tcPr>
                  <w:tcW w:w="2040" w:type="dxa"/>
                  <w:noWrap w:val="0"/>
                  <w:vAlign w:val="center"/>
                </w:tcPr>
                <w:p w14:paraId="3248EEA4">
                  <w:pPr>
                    <w:pStyle w:val="7"/>
                    <w:jc w:val="center"/>
                    <w:rPr>
                      <w:rFonts w:hint="eastAsia" w:eastAsia="宋体"/>
                      <w:spacing w:val="0"/>
                      <w:sz w:val="21"/>
                      <w:szCs w:val="21"/>
                    </w:rPr>
                  </w:pPr>
                  <w:r>
                    <w:rPr>
                      <w:rFonts w:hint="eastAsia" w:eastAsia="宋体"/>
                      <w:spacing w:val="0"/>
                      <w:sz w:val="21"/>
                      <w:szCs w:val="21"/>
                    </w:rPr>
                    <w:t>轻型载重卡车</w:t>
                  </w:r>
                </w:p>
              </w:tc>
              <w:tc>
                <w:tcPr>
                  <w:tcW w:w="1172" w:type="dxa"/>
                  <w:noWrap w:val="0"/>
                  <w:vAlign w:val="center"/>
                </w:tcPr>
                <w:p w14:paraId="009848B4">
                  <w:pPr>
                    <w:pStyle w:val="7"/>
                    <w:jc w:val="center"/>
                    <w:rPr>
                      <w:rFonts w:hint="eastAsia" w:eastAsia="宋体"/>
                      <w:spacing w:val="0"/>
                      <w:sz w:val="21"/>
                      <w:szCs w:val="21"/>
                    </w:rPr>
                  </w:pPr>
                  <w:r>
                    <w:rPr>
                      <w:rFonts w:hint="eastAsia" w:eastAsia="宋体"/>
                      <w:spacing w:val="0"/>
                      <w:sz w:val="21"/>
                      <w:szCs w:val="21"/>
                    </w:rPr>
                    <w:t>75～80</w:t>
                  </w:r>
                </w:p>
              </w:tc>
            </w:tr>
          </w:tbl>
          <w:p w14:paraId="4479248C">
            <w:pPr>
              <w:pStyle w:val="7"/>
              <w:jc w:val="center"/>
              <w:rPr>
                <w:rFonts w:eastAsia="宋体"/>
                <w:b/>
                <w:spacing w:val="0"/>
                <w:sz w:val="21"/>
                <w:szCs w:val="21"/>
                <w:u w:val="none"/>
              </w:rPr>
            </w:pPr>
            <w:r>
              <w:rPr>
                <w:rFonts w:hint="eastAsia" w:eastAsia="宋体"/>
                <w:b/>
                <w:color w:val="auto"/>
                <w:spacing w:val="0"/>
                <w:sz w:val="21"/>
                <w:szCs w:val="21"/>
                <w:u w:val="none"/>
              </w:rPr>
              <w:t>表</w:t>
            </w:r>
            <w:r>
              <w:rPr>
                <w:rFonts w:hint="eastAsia"/>
                <w:b/>
                <w:color w:val="auto"/>
                <w:spacing w:val="0"/>
                <w:sz w:val="21"/>
                <w:szCs w:val="21"/>
                <w:u w:val="none"/>
                <w:lang w:val="en-US" w:eastAsia="zh-CN"/>
              </w:rPr>
              <w:t>4-2</w:t>
            </w:r>
            <w:r>
              <w:rPr>
                <w:rFonts w:hint="eastAsia" w:eastAsia="宋体"/>
                <w:b/>
                <w:color w:val="4874CB" w:themeColor="accent1"/>
                <w:spacing w:val="0"/>
                <w:sz w:val="21"/>
                <w:szCs w:val="21"/>
                <w:u w:val="none"/>
                <w:lang w:val="en-US" w:eastAsia="zh-CN"/>
                <w14:textFill>
                  <w14:solidFill>
                    <w14:schemeClr w14:val="accent1"/>
                  </w14:solidFill>
                </w14:textFill>
              </w:rPr>
              <w:t xml:space="preserve"> </w:t>
            </w:r>
            <w:r>
              <w:rPr>
                <w:rFonts w:hint="eastAsia" w:eastAsia="宋体"/>
                <w:b/>
                <w:spacing w:val="0"/>
                <w:sz w:val="21"/>
                <w:szCs w:val="21"/>
                <w:u w:val="none"/>
              </w:rPr>
              <w:t>主要施工机械噪声强度 单位：dB(A)</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1351"/>
              <w:gridCol w:w="1350"/>
              <w:gridCol w:w="1351"/>
              <w:gridCol w:w="1191"/>
              <w:gridCol w:w="1191"/>
            </w:tblGrid>
            <w:tr w14:paraId="100B4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noWrap w:val="0"/>
                  <w:vAlign w:val="center"/>
                </w:tcPr>
                <w:p w14:paraId="233D4683">
                  <w:pPr>
                    <w:pStyle w:val="7"/>
                    <w:jc w:val="center"/>
                    <w:rPr>
                      <w:rFonts w:hint="eastAsia" w:eastAsia="宋体"/>
                      <w:spacing w:val="0"/>
                      <w:sz w:val="21"/>
                      <w:szCs w:val="21"/>
                    </w:rPr>
                  </w:pPr>
                  <w:r>
                    <w:rPr>
                      <w:rFonts w:hint="eastAsia" w:eastAsia="宋体"/>
                      <w:spacing w:val="0"/>
                      <w:sz w:val="21"/>
                      <w:szCs w:val="21"/>
                    </w:rPr>
                    <w:t>施工阶段</w:t>
                  </w:r>
                </w:p>
              </w:tc>
              <w:tc>
                <w:tcPr>
                  <w:tcW w:w="1351" w:type="dxa"/>
                  <w:noWrap w:val="0"/>
                  <w:vAlign w:val="center"/>
                </w:tcPr>
                <w:p w14:paraId="4E0C8012">
                  <w:pPr>
                    <w:pStyle w:val="7"/>
                    <w:jc w:val="center"/>
                    <w:rPr>
                      <w:rFonts w:hint="eastAsia" w:eastAsia="宋体"/>
                      <w:spacing w:val="0"/>
                      <w:sz w:val="21"/>
                      <w:szCs w:val="21"/>
                    </w:rPr>
                  </w:pPr>
                  <w:r>
                    <w:rPr>
                      <w:rFonts w:hint="eastAsia" w:eastAsia="宋体"/>
                      <w:spacing w:val="0"/>
                      <w:sz w:val="21"/>
                      <w:szCs w:val="21"/>
                    </w:rPr>
                    <w:t>声源</w:t>
                  </w:r>
                </w:p>
              </w:tc>
              <w:tc>
                <w:tcPr>
                  <w:tcW w:w="1350" w:type="dxa"/>
                  <w:noWrap w:val="0"/>
                  <w:vAlign w:val="center"/>
                </w:tcPr>
                <w:p w14:paraId="1091FE75">
                  <w:pPr>
                    <w:pStyle w:val="7"/>
                    <w:jc w:val="center"/>
                    <w:rPr>
                      <w:rFonts w:hint="eastAsia" w:eastAsia="宋体"/>
                      <w:spacing w:val="0"/>
                      <w:sz w:val="21"/>
                      <w:szCs w:val="21"/>
                    </w:rPr>
                  </w:pPr>
                  <w:r>
                    <w:rPr>
                      <w:rFonts w:hint="eastAsia" w:eastAsia="宋体"/>
                      <w:spacing w:val="0"/>
                      <w:sz w:val="21"/>
                      <w:szCs w:val="21"/>
                    </w:rPr>
                    <w:t>声源强度</w:t>
                  </w:r>
                </w:p>
              </w:tc>
              <w:tc>
                <w:tcPr>
                  <w:tcW w:w="1351" w:type="dxa"/>
                  <w:noWrap w:val="0"/>
                  <w:vAlign w:val="center"/>
                </w:tcPr>
                <w:p w14:paraId="4F718507">
                  <w:pPr>
                    <w:pStyle w:val="7"/>
                    <w:jc w:val="center"/>
                    <w:rPr>
                      <w:rFonts w:hint="eastAsia" w:eastAsia="宋体"/>
                      <w:spacing w:val="0"/>
                      <w:sz w:val="21"/>
                      <w:szCs w:val="21"/>
                    </w:rPr>
                  </w:pPr>
                  <w:r>
                    <w:rPr>
                      <w:rFonts w:hint="eastAsia" w:eastAsia="宋体"/>
                      <w:spacing w:val="0"/>
                      <w:sz w:val="21"/>
                      <w:szCs w:val="21"/>
                    </w:rPr>
                    <w:t>施工阶段</w:t>
                  </w:r>
                </w:p>
              </w:tc>
              <w:tc>
                <w:tcPr>
                  <w:tcW w:w="1191" w:type="dxa"/>
                  <w:noWrap w:val="0"/>
                  <w:vAlign w:val="center"/>
                </w:tcPr>
                <w:p w14:paraId="5A3FFEDE">
                  <w:pPr>
                    <w:pStyle w:val="7"/>
                    <w:jc w:val="center"/>
                    <w:rPr>
                      <w:rFonts w:hint="eastAsia" w:eastAsia="宋体"/>
                      <w:spacing w:val="0"/>
                      <w:sz w:val="21"/>
                      <w:szCs w:val="21"/>
                      <w:lang w:val="en-US" w:eastAsia="zh-CN"/>
                    </w:rPr>
                  </w:pPr>
                  <w:r>
                    <w:rPr>
                      <w:rFonts w:hint="eastAsia" w:eastAsia="宋体"/>
                      <w:spacing w:val="0"/>
                      <w:sz w:val="21"/>
                      <w:szCs w:val="21"/>
                      <w:lang w:val="en-US" w:eastAsia="zh-CN"/>
                    </w:rPr>
                    <w:t>声源</w:t>
                  </w:r>
                </w:p>
              </w:tc>
              <w:tc>
                <w:tcPr>
                  <w:tcW w:w="1191" w:type="dxa"/>
                  <w:noWrap w:val="0"/>
                  <w:vAlign w:val="center"/>
                </w:tcPr>
                <w:p w14:paraId="24927649">
                  <w:pPr>
                    <w:pStyle w:val="7"/>
                    <w:jc w:val="center"/>
                    <w:rPr>
                      <w:rFonts w:hint="default" w:eastAsia="宋体"/>
                      <w:spacing w:val="0"/>
                      <w:sz w:val="21"/>
                      <w:szCs w:val="21"/>
                      <w:lang w:val="en-US" w:eastAsia="zh-CN"/>
                    </w:rPr>
                  </w:pPr>
                  <w:r>
                    <w:rPr>
                      <w:rFonts w:hint="eastAsia" w:eastAsia="宋体"/>
                      <w:spacing w:val="0"/>
                      <w:sz w:val="21"/>
                      <w:szCs w:val="21"/>
                      <w:lang w:val="en-US" w:eastAsia="zh-CN"/>
                    </w:rPr>
                    <w:t>声源强度</w:t>
                  </w:r>
                </w:p>
              </w:tc>
            </w:tr>
            <w:tr w14:paraId="1EAC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restart"/>
                  <w:noWrap w:val="0"/>
                  <w:vAlign w:val="center"/>
                </w:tcPr>
                <w:p w14:paraId="4954A992">
                  <w:pPr>
                    <w:pStyle w:val="7"/>
                    <w:jc w:val="center"/>
                    <w:rPr>
                      <w:rFonts w:hint="eastAsia" w:eastAsia="宋体"/>
                      <w:spacing w:val="0"/>
                      <w:sz w:val="21"/>
                      <w:szCs w:val="21"/>
                    </w:rPr>
                  </w:pPr>
                  <w:r>
                    <w:rPr>
                      <w:rFonts w:hint="eastAsia" w:eastAsia="宋体"/>
                      <w:spacing w:val="0"/>
                      <w:sz w:val="21"/>
                      <w:szCs w:val="21"/>
                    </w:rPr>
                    <w:t>底板与结构</w:t>
                  </w:r>
                </w:p>
                <w:p w14:paraId="4B4A1AA4">
                  <w:pPr>
                    <w:pStyle w:val="7"/>
                    <w:jc w:val="center"/>
                    <w:rPr>
                      <w:rFonts w:hint="eastAsia" w:eastAsia="宋体"/>
                      <w:spacing w:val="0"/>
                      <w:sz w:val="21"/>
                      <w:szCs w:val="21"/>
                    </w:rPr>
                  </w:pPr>
                  <w:r>
                    <w:rPr>
                      <w:rFonts w:hint="eastAsia" w:eastAsia="宋体"/>
                      <w:spacing w:val="0"/>
                      <w:sz w:val="21"/>
                      <w:szCs w:val="21"/>
                    </w:rPr>
                    <w:t>阶段</w:t>
                  </w:r>
                </w:p>
              </w:tc>
              <w:tc>
                <w:tcPr>
                  <w:tcW w:w="1351" w:type="dxa"/>
                  <w:noWrap w:val="0"/>
                  <w:vAlign w:val="center"/>
                </w:tcPr>
                <w:p w14:paraId="41879D5F">
                  <w:pPr>
                    <w:pStyle w:val="7"/>
                    <w:jc w:val="center"/>
                    <w:rPr>
                      <w:rFonts w:hint="eastAsia" w:eastAsia="宋体"/>
                      <w:spacing w:val="0"/>
                      <w:sz w:val="21"/>
                      <w:szCs w:val="21"/>
                    </w:rPr>
                  </w:pPr>
                  <w:r>
                    <w:rPr>
                      <w:rFonts w:hint="eastAsia" w:eastAsia="宋体"/>
                      <w:spacing w:val="0"/>
                      <w:sz w:val="21"/>
                      <w:szCs w:val="21"/>
                      <w:lang w:val="en-US" w:eastAsia="zh-CN"/>
                    </w:rPr>
                    <w:t>电锯</w:t>
                  </w:r>
                </w:p>
              </w:tc>
              <w:tc>
                <w:tcPr>
                  <w:tcW w:w="1350" w:type="dxa"/>
                  <w:noWrap w:val="0"/>
                  <w:vAlign w:val="center"/>
                </w:tcPr>
                <w:p w14:paraId="1DA348C1">
                  <w:pPr>
                    <w:pStyle w:val="7"/>
                    <w:jc w:val="center"/>
                    <w:rPr>
                      <w:rFonts w:hint="eastAsia" w:eastAsia="宋体"/>
                      <w:spacing w:val="0"/>
                      <w:sz w:val="21"/>
                      <w:szCs w:val="21"/>
                    </w:rPr>
                  </w:pPr>
                  <w:r>
                    <w:rPr>
                      <w:rFonts w:hint="eastAsia" w:eastAsia="宋体"/>
                      <w:spacing w:val="0"/>
                      <w:sz w:val="21"/>
                      <w:szCs w:val="21"/>
                    </w:rPr>
                    <w:t>100～105</w:t>
                  </w:r>
                </w:p>
              </w:tc>
              <w:tc>
                <w:tcPr>
                  <w:tcW w:w="1351" w:type="dxa"/>
                  <w:vMerge w:val="restart"/>
                  <w:noWrap w:val="0"/>
                  <w:vAlign w:val="center"/>
                </w:tcPr>
                <w:p w14:paraId="5A4190B1">
                  <w:pPr>
                    <w:pStyle w:val="7"/>
                    <w:jc w:val="center"/>
                    <w:rPr>
                      <w:rFonts w:hint="eastAsia" w:eastAsia="宋体"/>
                      <w:spacing w:val="0"/>
                      <w:sz w:val="21"/>
                      <w:szCs w:val="21"/>
                    </w:rPr>
                  </w:pPr>
                  <w:r>
                    <w:rPr>
                      <w:rFonts w:hint="eastAsia" w:eastAsia="宋体"/>
                      <w:spacing w:val="0"/>
                      <w:sz w:val="21"/>
                      <w:szCs w:val="21"/>
                    </w:rPr>
                    <w:t>装修、安装</w:t>
                  </w:r>
                </w:p>
                <w:p w14:paraId="3FE48203">
                  <w:pPr>
                    <w:pStyle w:val="7"/>
                    <w:jc w:val="center"/>
                    <w:rPr>
                      <w:rFonts w:hint="eastAsia" w:eastAsia="宋体"/>
                      <w:spacing w:val="0"/>
                      <w:sz w:val="21"/>
                      <w:szCs w:val="21"/>
                    </w:rPr>
                  </w:pPr>
                  <w:r>
                    <w:rPr>
                      <w:rFonts w:hint="eastAsia" w:eastAsia="宋体"/>
                      <w:spacing w:val="0"/>
                      <w:sz w:val="21"/>
                      <w:szCs w:val="21"/>
                    </w:rPr>
                    <w:t>阶段</w:t>
                  </w:r>
                </w:p>
              </w:tc>
              <w:tc>
                <w:tcPr>
                  <w:tcW w:w="1191" w:type="dxa"/>
                  <w:noWrap w:val="0"/>
                  <w:vAlign w:val="center"/>
                </w:tcPr>
                <w:p w14:paraId="7E66ED3C">
                  <w:pPr>
                    <w:pStyle w:val="7"/>
                    <w:jc w:val="center"/>
                    <w:rPr>
                      <w:rFonts w:hint="eastAsia" w:eastAsia="宋体"/>
                      <w:spacing w:val="0"/>
                      <w:sz w:val="21"/>
                      <w:szCs w:val="21"/>
                      <w:lang w:val="en-US" w:eastAsia="zh-CN"/>
                    </w:rPr>
                  </w:pPr>
                  <w:r>
                    <w:rPr>
                      <w:rFonts w:hint="eastAsia" w:eastAsia="宋体"/>
                      <w:spacing w:val="0"/>
                      <w:sz w:val="21"/>
                      <w:szCs w:val="21"/>
                      <w:lang w:val="en-US" w:eastAsia="zh-CN"/>
                    </w:rPr>
                    <w:t>电钻</w:t>
                  </w:r>
                </w:p>
              </w:tc>
              <w:tc>
                <w:tcPr>
                  <w:tcW w:w="1191" w:type="dxa"/>
                  <w:noWrap w:val="0"/>
                  <w:vAlign w:val="center"/>
                </w:tcPr>
                <w:p w14:paraId="36D7E826">
                  <w:pPr>
                    <w:pStyle w:val="7"/>
                    <w:jc w:val="center"/>
                    <w:rPr>
                      <w:rFonts w:hint="eastAsia" w:eastAsia="宋体"/>
                      <w:spacing w:val="0"/>
                      <w:sz w:val="21"/>
                      <w:szCs w:val="21"/>
                    </w:rPr>
                  </w:pPr>
                  <w:r>
                    <w:rPr>
                      <w:rFonts w:hint="eastAsia" w:eastAsia="宋体"/>
                      <w:spacing w:val="0"/>
                      <w:sz w:val="21"/>
                      <w:szCs w:val="21"/>
                    </w:rPr>
                    <w:t>100～105</w:t>
                  </w:r>
                </w:p>
              </w:tc>
            </w:tr>
            <w:tr w14:paraId="7CB5B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noWrap w:val="0"/>
                  <w:vAlign w:val="center"/>
                </w:tcPr>
                <w:p w14:paraId="6A9929B0">
                  <w:pPr>
                    <w:pStyle w:val="7"/>
                    <w:jc w:val="center"/>
                    <w:rPr>
                      <w:rFonts w:hint="eastAsia" w:eastAsia="宋体"/>
                      <w:spacing w:val="0"/>
                      <w:sz w:val="21"/>
                      <w:szCs w:val="21"/>
                    </w:rPr>
                  </w:pPr>
                </w:p>
              </w:tc>
              <w:tc>
                <w:tcPr>
                  <w:tcW w:w="1351" w:type="dxa"/>
                  <w:noWrap w:val="0"/>
                  <w:vAlign w:val="center"/>
                </w:tcPr>
                <w:p w14:paraId="7D953F42">
                  <w:pPr>
                    <w:pStyle w:val="7"/>
                    <w:jc w:val="center"/>
                    <w:rPr>
                      <w:rFonts w:hint="eastAsia" w:eastAsia="宋体"/>
                      <w:spacing w:val="0"/>
                      <w:sz w:val="21"/>
                      <w:szCs w:val="21"/>
                      <w:lang w:val="en-US" w:eastAsia="zh-CN"/>
                    </w:rPr>
                  </w:pPr>
                  <w:r>
                    <w:rPr>
                      <w:rFonts w:hint="eastAsia" w:eastAsia="宋体"/>
                      <w:spacing w:val="0"/>
                      <w:sz w:val="21"/>
                      <w:szCs w:val="21"/>
                      <w:lang w:val="en-US" w:eastAsia="zh-CN"/>
                    </w:rPr>
                    <w:t>电焊机</w:t>
                  </w:r>
                </w:p>
              </w:tc>
              <w:tc>
                <w:tcPr>
                  <w:tcW w:w="1350" w:type="dxa"/>
                  <w:noWrap w:val="0"/>
                  <w:vAlign w:val="center"/>
                </w:tcPr>
                <w:p w14:paraId="5D76089B">
                  <w:pPr>
                    <w:pStyle w:val="7"/>
                    <w:jc w:val="center"/>
                    <w:rPr>
                      <w:rFonts w:hint="eastAsia" w:eastAsia="宋体"/>
                      <w:spacing w:val="0"/>
                      <w:sz w:val="21"/>
                      <w:szCs w:val="21"/>
                    </w:rPr>
                  </w:pPr>
                  <w:r>
                    <w:rPr>
                      <w:rFonts w:hint="eastAsia" w:eastAsia="宋体"/>
                      <w:spacing w:val="0"/>
                      <w:sz w:val="21"/>
                      <w:szCs w:val="21"/>
                    </w:rPr>
                    <w:t>90～95</w:t>
                  </w:r>
                </w:p>
              </w:tc>
              <w:tc>
                <w:tcPr>
                  <w:tcW w:w="1351" w:type="dxa"/>
                  <w:vMerge w:val="continue"/>
                  <w:noWrap w:val="0"/>
                  <w:vAlign w:val="center"/>
                </w:tcPr>
                <w:p w14:paraId="429FFA56">
                  <w:pPr>
                    <w:pStyle w:val="7"/>
                    <w:jc w:val="center"/>
                    <w:rPr>
                      <w:rFonts w:hint="eastAsia" w:eastAsia="宋体"/>
                      <w:spacing w:val="0"/>
                      <w:sz w:val="21"/>
                      <w:szCs w:val="21"/>
                    </w:rPr>
                  </w:pPr>
                </w:p>
              </w:tc>
              <w:tc>
                <w:tcPr>
                  <w:tcW w:w="1191" w:type="dxa"/>
                  <w:noWrap w:val="0"/>
                  <w:vAlign w:val="center"/>
                </w:tcPr>
                <w:p w14:paraId="6390F126">
                  <w:pPr>
                    <w:pStyle w:val="7"/>
                    <w:jc w:val="center"/>
                    <w:rPr>
                      <w:rFonts w:hint="eastAsia" w:eastAsia="宋体"/>
                      <w:spacing w:val="0"/>
                      <w:sz w:val="21"/>
                      <w:szCs w:val="21"/>
                      <w:lang w:val="en-US" w:eastAsia="zh-CN"/>
                    </w:rPr>
                  </w:pPr>
                  <w:r>
                    <w:rPr>
                      <w:rFonts w:hint="eastAsia" w:eastAsia="宋体"/>
                      <w:spacing w:val="0"/>
                      <w:sz w:val="21"/>
                      <w:szCs w:val="21"/>
                      <w:lang w:val="en-US" w:eastAsia="zh-CN"/>
                    </w:rPr>
                    <w:t>手工钻</w:t>
                  </w:r>
                </w:p>
              </w:tc>
              <w:tc>
                <w:tcPr>
                  <w:tcW w:w="1191" w:type="dxa"/>
                  <w:noWrap w:val="0"/>
                  <w:vAlign w:val="center"/>
                </w:tcPr>
                <w:p w14:paraId="6DF64673">
                  <w:pPr>
                    <w:pStyle w:val="7"/>
                    <w:jc w:val="center"/>
                    <w:rPr>
                      <w:rFonts w:hint="eastAsia" w:eastAsia="宋体"/>
                      <w:spacing w:val="0"/>
                      <w:sz w:val="21"/>
                      <w:szCs w:val="21"/>
                    </w:rPr>
                  </w:pPr>
                  <w:r>
                    <w:rPr>
                      <w:rFonts w:hint="eastAsia" w:eastAsia="宋体"/>
                      <w:spacing w:val="0"/>
                      <w:sz w:val="21"/>
                      <w:szCs w:val="21"/>
                    </w:rPr>
                    <w:t>100～105</w:t>
                  </w:r>
                </w:p>
              </w:tc>
            </w:tr>
            <w:tr w14:paraId="18C5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noWrap w:val="0"/>
                  <w:vAlign w:val="center"/>
                </w:tcPr>
                <w:p w14:paraId="325B798E">
                  <w:pPr>
                    <w:pStyle w:val="7"/>
                    <w:jc w:val="center"/>
                    <w:rPr>
                      <w:rFonts w:hint="eastAsia" w:eastAsia="宋体"/>
                      <w:spacing w:val="0"/>
                      <w:sz w:val="21"/>
                      <w:szCs w:val="21"/>
                    </w:rPr>
                  </w:pPr>
                </w:p>
              </w:tc>
              <w:tc>
                <w:tcPr>
                  <w:tcW w:w="1351" w:type="dxa"/>
                  <w:noWrap w:val="0"/>
                  <w:vAlign w:val="center"/>
                </w:tcPr>
                <w:p w14:paraId="6AE3A0F3">
                  <w:pPr>
                    <w:pStyle w:val="7"/>
                    <w:jc w:val="center"/>
                    <w:rPr>
                      <w:rFonts w:hint="eastAsia" w:eastAsia="宋体"/>
                      <w:spacing w:val="0"/>
                      <w:sz w:val="21"/>
                      <w:szCs w:val="21"/>
                      <w:lang w:val="en-US" w:eastAsia="zh-CN"/>
                    </w:rPr>
                  </w:pPr>
                  <w:r>
                    <w:rPr>
                      <w:rFonts w:hint="eastAsia" w:eastAsia="宋体"/>
                      <w:spacing w:val="0"/>
                      <w:sz w:val="21"/>
                      <w:szCs w:val="21"/>
                      <w:lang w:val="en-US" w:eastAsia="zh-CN"/>
                    </w:rPr>
                    <w:t>空压机</w:t>
                  </w:r>
                </w:p>
              </w:tc>
              <w:tc>
                <w:tcPr>
                  <w:tcW w:w="1350" w:type="dxa"/>
                  <w:noWrap w:val="0"/>
                  <w:vAlign w:val="center"/>
                </w:tcPr>
                <w:p w14:paraId="1A8893C3">
                  <w:pPr>
                    <w:pStyle w:val="7"/>
                    <w:jc w:val="center"/>
                    <w:rPr>
                      <w:rFonts w:hint="eastAsia" w:eastAsia="宋体"/>
                      <w:spacing w:val="0"/>
                      <w:sz w:val="21"/>
                      <w:szCs w:val="21"/>
                    </w:rPr>
                  </w:pPr>
                  <w:r>
                    <w:rPr>
                      <w:rFonts w:hint="eastAsia" w:eastAsia="宋体"/>
                      <w:spacing w:val="0"/>
                      <w:sz w:val="21"/>
                      <w:szCs w:val="21"/>
                    </w:rPr>
                    <w:t>75～85</w:t>
                  </w:r>
                </w:p>
              </w:tc>
              <w:tc>
                <w:tcPr>
                  <w:tcW w:w="1351" w:type="dxa"/>
                  <w:vMerge w:val="continue"/>
                  <w:noWrap w:val="0"/>
                  <w:vAlign w:val="center"/>
                </w:tcPr>
                <w:p w14:paraId="3A76BE9D">
                  <w:pPr>
                    <w:pStyle w:val="7"/>
                    <w:jc w:val="center"/>
                    <w:rPr>
                      <w:rFonts w:hint="eastAsia" w:eastAsia="宋体"/>
                      <w:spacing w:val="0"/>
                      <w:sz w:val="21"/>
                      <w:szCs w:val="21"/>
                    </w:rPr>
                  </w:pPr>
                </w:p>
              </w:tc>
              <w:tc>
                <w:tcPr>
                  <w:tcW w:w="1191" w:type="dxa"/>
                  <w:noWrap w:val="0"/>
                  <w:vAlign w:val="center"/>
                </w:tcPr>
                <w:p w14:paraId="5E48F600">
                  <w:pPr>
                    <w:pStyle w:val="7"/>
                    <w:jc w:val="center"/>
                    <w:rPr>
                      <w:rFonts w:hint="eastAsia" w:eastAsia="宋体"/>
                      <w:spacing w:val="0"/>
                      <w:sz w:val="21"/>
                      <w:szCs w:val="21"/>
                      <w:lang w:val="en-US" w:eastAsia="zh-CN"/>
                    </w:rPr>
                  </w:pPr>
                  <w:r>
                    <w:rPr>
                      <w:rFonts w:hint="eastAsia" w:eastAsia="宋体"/>
                      <w:spacing w:val="0"/>
                      <w:sz w:val="21"/>
                      <w:szCs w:val="21"/>
                      <w:lang w:val="en-US" w:eastAsia="zh-CN"/>
                    </w:rPr>
                    <w:t>无齿锯</w:t>
                  </w:r>
                </w:p>
              </w:tc>
              <w:tc>
                <w:tcPr>
                  <w:tcW w:w="1191" w:type="dxa"/>
                  <w:noWrap w:val="0"/>
                  <w:vAlign w:val="center"/>
                </w:tcPr>
                <w:p w14:paraId="44467126">
                  <w:pPr>
                    <w:pStyle w:val="7"/>
                    <w:jc w:val="center"/>
                    <w:rPr>
                      <w:rFonts w:hint="eastAsia" w:eastAsia="宋体"/>
                      <w:spacing w:val="0"/>
                      <w:sz w:val="21"/>
                      <w:szCs w:val="21"/>
                    </w:rPr>
                  </w:pPr>
                  <w:r>
                    <w:rPr>
                      <w:rFonts w:hint="eastAsia" w:eastAsia="宋体"/>
                      <w:spacing w:val="0"/>
                      <w:sz w:val="21"/>
                      <w:szCs w:val="21"/>
                    </w:rPr>
                    <w:t>100～105</w:t>
                  </w:r>
                </w:p>
              </w:tc>
            </w:tr>
            <w:tr w14:paraId="33A2C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noWrap w:val="0"/>
                  <w:vAlign w:val="center"/>
                </w:tcPr>
                <w:p w14:paraId="02A1C52C">
                  <w:pPr>
                    <w:pStyle w:val="7"/>
                    <w:jc w:val="center"/>
                    <w:rPr>
                      <w:rFonts w:hint="eastAsia" w:eastAsia="宋体"/>
                      <w:spacing w:val="0"/>
                      <w:sz w:val="21"/>
                      <w:szCs w:val="21"/>
                    </w:rPr>
                  </w:pPr>
                </w:p>
              </w:tc>
              <w:tc>
                <w:tcPr>
                  <w:tcW w:w="1351" w:type="dxa"/>
                  <w:noWrap w:val="0"/>
                  <w:vAlign w:val="center"/>
                </w:tcPr>
                <w:p w14:paraId="04199A4C">
                  <w:pPr>
                    <w:pStyle w:val="7"/>
                    <w:jc w:val="center"/>
                    <w:rPr>
                      <w:rFonts w:hint="eastAsia" w:eastAsia="宋体"/>
                      <w:spacing w:val="0"/>
                      <w:sz w:val="21"/>
                      <w:szCs w:val="21"/>
                      <w:lang w:val="en-US" w:eastAsia="zh-CN"/>
                    </w:rPr>
                  </w:pPr>
                </w:p>
              </w:tc>
              <w:tc>
                <w:tcPr>
                  <w:tcW w:w="1350" w:type="dxa"/>
                  <w:noWrap w:val="0"/>
                  <w:vAlign w:val="center"/>
                </w:tcPr>
                <w:p w14:paraId="7787D998">
                  <w:pPr>
                    <w:pStyle w:val="7"/>
                    <w:jc w:val="center"/>
                    <w:rPr>
                      <w:rFonts w:hint="eastAsia" w:eastAsia="宋体"/>
                      <w:spacing w:val="0"/>
                      <w:sz w:val="21"/>
                      <w:szCs w:val="21"/>
                    </w:rPr>
                  </w:pPr>
                </w:p>
              </w:tc>
              <w:tc>
                <w:tcPr>
                  <w:tcW w:w="1351" w:type="dxa"/>
                  <w:vMerge w:val="continue"/>
                  <w:noWrap w:val="0"/>
                  <w:vAlign w:val="center"/>
                </w:tcPr>
                <w:p w14:paraId="664EF1BA">
                  <w:pPr>
                    <w:pStyle w:val="7"/>
                    <w:jc w:val="center"/>
                    <w:rPr>
                      <w:rFonts w:hint="eastAsia" w:eastAsia="宋体"/>
                      <w:spacing w:val="0"/>
                      <w:sz w:val="21"/>
                      <w:szCs w:val="21"/>
                    </w:rPr>
                  </w:pPr>
                </w:p>
              </w:tc>
              <w:tc>
                <w:tcPr>
                  <w:tcW w:w="1191" w:type="dxa"/>
                  <w:noWrap w:val="0"/>
                  <w:vAlign w:val="center"/>
                </w:tcPr>
                <w:p w14:paraId="0ECF1A94">
                  <w:pPr>
                    <w:pStyle w:val="7"/>
                    <w:jc w:val="center"/>
                    <w:rPr>
                      <w:rFonts w:hint="default" w:eastAsia="宋体"/>
                      <w:spacing w:val="0"/>
                      <w:sz w:val="21"/>
                      <w:szCs w:val="21"/>
                      <w:lang w:val="en-US" w:eastAsia="zh-CN"/>
                    </w:rPr>
                  </w:pPr>
                  <w:r>
                    <w:rPr>
                      <w:rFonts w:hint="eastAsia" w:eastAsia="宋体"/>
                      <w:spacing w:val="0"/>
                      <w:sz w:val="21"/>
                      <w:szCs w:val="21"/>
                      <w:lang w:val="en-US" w:eastAsia="zh-CN"/>
                    </w:rPr>
                    <w:t>混凝土搅拌机</w:t>
                  </w:r>
                </w:p>
              </w:tc>
              <w:tc>
                <w:tcPr>
                  <w:tcW w:w="1191" w:type="dxa"/>
                  <w:noWrap w:val="0"/>
                  <w:vAlign w:val="center"/>
                </w:tcPr>
                <w:p w14:paraId="478B0B3F">
                  <w:pPr>
                    <w:pStyle w:val="7"/>
                    <w:jc w:val="center"/>
                    <w:rPr>
                      <w:rFonts w:hint="eastAsia" w:eastAsia="宋体"/>
                      <w:spacing w:val="0"/>
                      <w:sz w:val="21"/>
                      <w:szCs w:val="21"/>
                    </w:rPr>
                  </w:pPr>
                  <w:r>
                    <w:rPr>
                      <w:rFonts w:hint="eastAsia" w:eastAsia="宋体"/>
                      <w:spacing w:val="0"/>
                      <w:sz w:val="21"/>
                      <w:szCs w:val="21"/>
                    </w:rPr>
                    <w:t>100～110</w:t>
                  </w:r>
                </w:p>
              </w:tc>
            </w:tr>
            <w:tr w14:paraId="1A83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noWrap w:val="0"/>
                  <w:vAlign w:val="center"/>
                </w:tcPr>
                <w:p w14:paraId="6CDE52BA">
                  <w:pPr>
                    <w:pStyle w:val="7"/>
                    <w:jc w:val="center"/>
                    <w:rPr>
                      <w:rFonts w:hint="eastAsia" w:eastAsia="宋体"/>
                      <w:spacing w:val="0"/>
                      <w:sz w:val="21"/>
                      <w:szCs w:val="21"/>
                    </w:rPr>
                  </w:pPr>
                </w:p>
              </w:tc>
              <w:tc>
                <w:tcPr>
                  <w:tcW w:w="1351" w:type="dxa"/>
                  <w:noWrap w:val="0"/>
                  <w:vAlign w:val="center"/>
                </w:tcPr>
                <w:p w14:paraId="69927E9B">
                  <w:pPr>
                    <w:pStyle w:val="7"/>
                    <w:jc w:val="center"/>
                    <w:rPr>
                      <w:rFonts w:hint="eastAsia" w:eastAsia="宋体"/>
                      <w:spacing w:val="0"/>
                      <w:sz w:val="21"/>
                      <w:szCs w:val="21"/>
                      <w:lang w:val="en-US" w:eastAsia="zh-CN"/>
                    </w:rPr>
                  </w:pPr>
                </w:p>
              </w:tc>
              <w:tc>
                <w:tcPr>
                  <w:tcW w:w="1350" w:type="dxa"/>
                  <w:noWrap w:val="0"/>
                  <w:vAlign w:val="center"/>
                </w:tcPr>
                <w:p w14:paraId="2F7E71E1">
                  <w:pPr>
                    <w:pStyle w:val="7"/>
                    <w:jc w:val="center"/>
                    <w:rPr>
                      <w:rFonts w:hint="eastAsia" w:eastAsia="宋体"/>
                      <w:spacing w:val="0"/>
                      <w:sz w:val="21"/>
                      <w:szCs w:val="21"/>
                    </w:rPr>
                  </w:pPr>
                </w:p>
              </w:tc>
              <w:tc>
                <w:tcPr>
                  <w:tcW w:w="1351" w:type="dxa"/>
                  <w:vMerge w:val="continue"/>
                  <w:noWrap w:val="0"/>
                  <w:vAlign w:val="center"/>
                </w:tcPr>
                <w:p w14:paraId="29E72E19">
                  <w:pPr>
                    <w:pStyle w:val="7"/>
                    <w:jc w:val="center"/>
                    <w:rPr>
                      <w:rFonts w:hint="eastAsia" w:eastAsia="宋体"/>
                      <w:spacing w:val="0"/>
                      <w:sz w:val="21"/>
                      <w:szCs w:val="21"/>
                    </w:rPr>
                  </w:pPr>
                </w:p>
              </w:tc>
              <w:tc>
                <w:tcPr>
                  <w:tcW w:w="1191" w:type="dxa"/>
                  <w:noWrap w:val="0"/>
                  <w:vAlign w:val="center"/>
                </w:tcPr>
                <w:p w14:paraId="33D3933F">
                  <w:pPr>
                    <w:pStyle w:val="7"/>
                    <w:jc w:val="center"/>
                    <w:rPr>
                      <w:rFonts w:hint="default" w:eastAsia="宋体"/>
                      <w:spacing w:val="0"/>
                      <w:sz w:val="21"/>
                      <w:szCs w:val="21"/>
                      <w:lang w:val="en-US" w:eastAsia="zh-CN"/>
                    </w:rPr>
                  </w:pPr>
                  <w:r>
                    <w:rPr>
                      <w:rFonts w:hint="eastAsia" w:eastAsia="宋体"/>
                      <w:spacing w:val="0"/>
                      <w:sz w:val="21"/>
                      <w:szCs w:val="21"/>
                      <w:lang w:val="en-US" w:eastAsia="zh-CN"/>
                    </w:rPr>
                    <w:t>云石机</w:t>
                  </w:r>
                </w:p>
              </w:tc>
              <w:tc>
                <w:tcPr>
                  <w:tcW w:w="1191" w:type="dxa"/>
                  <w:noWrap w:val="0"/>
                  <w:vAlign w:val="center"/>
                </w:tcPr>
                <w:p w14:paraId="2C96EBBE">
                  <w:pPr>
                    <w:pStyle w:val="7"/>
                    <w:jc w:val="center"/>
                    <w:rPr>
                      <w:rFonts w:hint="eastAsia" w:eastAsia="宋体"/>
                      <w:spacing w:val="0"/>
                      <w:sz w:val="21"/>
                      <w:szCs w:val="21"/>
                    </w:rPr>
                  </w:pPr>
                  <w:r>
                    <w:rPr>
                      <w:rFonts w:hint="eastAsia" w:eastAsia="宋体"/>
                      <w:spacing w:val="0"/>
                      <w:sz w:val="21"/>
                      <w:szCs w:val="21"/>
                    </w:rPr>
                    <w:t>100～110</w:t>
                  </w:r>
                </w:p>
              </w:tc>
            </w:tr>
            <w:tr w14:paraId="2115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vMerge w:val="continue"/>
                  <w:noWrap w:val="0"/>
                  <w:vAlign w:val="center"/>
                </w:tcPr>
                <w:p w14:paraId="44248FE6">
                  <w:pPr>
                    <w:pStyle w:val="7"/>
                    <w:jc w:val="center"/>
                    <w:rPr>
                      <w:rFonts w:hint="eastAsia" w:eastAsia="宋体"/>
                      <w:spacing w:val="0"/>
                      <w:sz w:val="21"/>
                      <w:szCs w:val="21"/>
                    </w:rPr>
                  </w:pPr>
                </w:p>
              </w:tc>
              <w:tc>
                <w:tcPr>
                  <w:tcW w:w="1351" w:type="dxa"/>
                  <w:noWrap w:val="0"/>
                  <w:vAlign w:val="center"/>
                </w:tcPr>
                <w:p w14:paraId="11B353C0">
                  <w:pPr>
                    <w:pStyle w:val="7"/>
                    <w:jc w:val="center"/>
                    <w:rPr>
                      <w:rFonts w:hint="eastAsia" w:eastAsia="宋体"/>
                      <w:spacing w:val="0"/>
                      <w:sz w:val="21"/>
                      <w:szCs w:val="21"/>
                      <w:lang w:val="en-US" w:eastAsia="zh-CN"/>
                    </w:rPr>
                  </w:pPr>
                </w:p>
              </w:tc>
              <w:tc>
                <w:tcPr>
                  <w:tcW w:w="1350" w:type="dxa"/>
                  <w:noWrap w:val="0"/>
                  <w:vAlign w:val="center"/>
                </w:tcPr>
                <w:p w14:paraId="5ED5F77B">
                  <w:pPr>
                    <w:pStyle w:val="7"/>
                    <w:jc w:val="center"/>
                    <w:rPr>
                      <w:rFonts w:hint="eastAsia" w:eastAsia="宋体"/>
                      <w:spacing w:val="0"/>
                      <w:sz w:val="21"/>
                      <w:szCs w:val="21"/>
                    </w:rPr>
                  </w:pPr>
                </w:p>
              </w:tc>
              <w:tc>
                <w:tcPr>
                  <w:tcW w:w="1351" w:type="dxa"/>
                  <w:vMerge w:val="continue"/>
                  <w:noWrap w:val="0"/>
                  <w:vAlign w:val="center"/>
                </w:tcPr>
                <w:p w14:paraId="77CAF86F">
                  <w:pPr>
                    <w:pStyle w:val="7"/>
                    <w:jc w:val="center"/>
                    <w:rPr>
                      <w:rFonts w:hint="eastAsia" w:eastAsia="宋体"/>
                      <w:spacing w:val="0"/>
                      <w:sz w:val="21"/>
                      <w:szCs w:val="21"/>
                    </w:rPr>
                  </w:pPr>
                </w:p>
              </w:tc>
              <w:tc>
                <w:tcPr>
                  <w:tcW w:w="1191" w:type="dxa"/>
                  <w:noWrap w:val="0"/>
                  <w:vAlign w:val="center"/>
                </w:tcPr>
                <w:p w14:paraId="603A3C34">
                  <w:pPr>
                    <w:pStyle w:val="7"/>
                    <w:jc w:val="center"/>
                    <w:rPr>
                      <w:rFonts w:hint="eastAsia" w:eastAsia="宋体"/>
                      <w:spacing w:val="0"/>
                      <w:sz w:val="21"/>
                      <w:szCs w:val="21"/>
                      <w:lang w:val="en-US" w:eastAsia="zh-CN"/>
                    </w:rPr>
                  </w:pPr>
                  <w:r>
                    <w:rPr>
                      <w:rFonts w:hint="eastAsia" w:eastAsia="宋体"/>
                      <w:spacing w:val="0"/>
                      <w:sz w:val="21"/>
                      <w:szCs w:val="21"/>
                      <w:lang w:val="en-US" w:eastAsia="zh-CN"/>
                    </w:rPr>
                    <w:t>角向磨光机</w:t>
                  </w:r>
                </w:p>
              </w:tc>
              <w:tc>
                <w:tcPr>
                  <w:tcW w:w="1191" w:type="dxa"/>
                  <w:noWrap w:val="0"/>
                  <w:vAlign w:val="center"/>
                </w:tcPr>
                <w:p w14:paraId="5A838CDB">
                  <w:pPr>
                    <w:pStyle w:val="7"/>
                    <w:jc w:val="center"/>
                    <w:rPr>
                      <w:rFonts w:hint="eastAsia" w:eastAsia="宋体"/>
                      <w:spacing w:val="0"/>
                      <w:sz w:val="21"/>
                      <w:szCs w:val="21"/>
                    </w:rPr>
                  </w:pPr>
                  <w:r>
                    <w:rPr>
                      <w:rFonts w:hint="eastAsia" w:eastAsia="宋体"/>
                      <w:spacing w:val="0"/>
                      <w:sz w:val="21"/>
                      <w:szCs w:val="21"/>
                    </w:rPr>
                    <w:t>100～112</w:t>
                  </w:r>
                </w:p>
              </w:tc>
            </w:tr>
          </w:tbl>
          <w:p w14:paraId="0AC6A7C8">
            <w:pPr>
              <w:pStyle w:val="22"/>
              <w:bidi w:val="0"/>
              <w:ind w:left="0" w:leftChars="0" w:firstLine="0" w:firstLineChars="0"/>
              <w:rPr>
                <w:rFonts w:hint="eastAsia"/>
                <w:color w:val="auto"/>
                <w:lang w:val="en-US" w:eastAsia="zh-CN"/>
              </w:rPr>
            </w:pPr>
          </w:p>
          <w:p w14:paraId="411A20F1">
            <w:pPr>
              <w:pStyle w:val="22"/>
              <w:bidi w:val="0"/>
              <w:rPr>
                <w:rFonts w:hint="eastAsia"/>
                <w:color w:val="auto"/>
                <w:lang w:val="en-US" w:eastAsia="zh-CN"/>
              </w:rPr>
            </w:pPr>
            <w:r>
              <w:rPr>
                <w:rFonts w:hint="eastAsia"/>
                <w:color w:val="auto"/>
                <w:lang w:val="en-US" w:eastAsia="zh-CN"/>
              </w:rPr>
              <w:t>按照《建筑施工场界环境噪声排放标准》（GB12523-2011）的要求，为减少噪声对周围环境产生的影响，项目建设过程中应采取下列噪声污染防治措施：</w:t>
            </w:r>
          </w:p>
          <w:p w14:paraId="5D2E0139">
            <w:pPr>
              <w:pStyle w:val="22"/>
              <w:bidi w:val="0"/>
              <w:rPr>
                <w:rFonts w:hint="eastAsia"/>
                <w:color w:val="auto"/>
                <w:lang w:val="en-US" w:eastAsia="zh-CN"/>
              </w:rPr>
            </w:pPr>
            <w:r>
              <w:rPr>
                <w:rFonts w:hint="eastAsia" w:ascii="宋体" w:hAnsi="宋体" w:eastAsia="宋体" w:cs="宋体"/>
                <w:color w:val="auto"/>
                <w:kern w:val="2"/>
                <w:sz w:val="24"/>
                <w:szCs w:val="24"/>
                <w:u w:val="none"/>
                <w:lang w:val="en-US" w:eastAsia="zh-CN" w:bidi="ar-SA"/>
              </w:rPr>
              <w:t>（1）</w:t>
            </w:r>
            <w:r>
              <w:rPr>
                <w:rFonts w:hint="eastAsia"/>
                <w:color w:val="auto"/>
                <w:lang w:val="en-US" w:eastAsia="zh-CN"/>
              </w:rPr>
              <w:t>施工期间必须严格按《建筑施工场界环境噪声排放标准》（GB12523-2011）进行施工时间、施工噪声的控制，以减少工程建设施工对周边造成的声环境影响。</w:t>
            </w:r>
          </w:p>
          <w:p w14:paraId="30ECF437">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2</w:t>
            </w:r>
            <w:r>
              <w:rPr>
                <w:rFonts w:hint="eastAsia" w:ascii="宋体" w:hAnsi="宋体" w:cs="宋体"/>
                <w:sz w:val="24"/>
                <w:szCs w:val="24"/>
              </w:rPr>
              <w:t>）项目拟建地四周设 2.5m 以上的围挡，对高噪声设备设置局部围挡，在靠近居民距离较近处设置临时声屏障；</w:t>
            </w:r>
          </w:p>
          <w:p w14:paraId="6BD1B8C1">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w:t>
            </w:r>
            <w:r>
              <w:rPr>
                <w:rFonts w:hint="eastAsia" w:ascii="宋体" w:hAnsi="宋体" w:cs="宋体"/>
                <w:sz w:val="24"/>
                <w:szCs w:val="24"/>
              </w:rPr>
              <w:t>）设备选型上尽量采用低噪声施工设备和施工工艺；</w:t>
            </w:r>
          </w:p>
          <w:p w14:paraId="0A3FEA6A">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4</w:t>
            </w:r>
            <w:r>
              <w:rPr>
                <w:rFonts w:hint="eastAsia" w:ascii="宋体" w:hAnsi="宋体" w:cs="宋体"/>
                <w:sz w:val="24"/>
                <w:szCs w:val="24"/>
              </w:rPr>
              <w:t>）将钢筋切割、模板制作等设置在工棚内，如钢筋加工棚、木工棚等；</w:t>
            </w:r>
          </w:p>
          <w:p w14:paraId="4BCEB15E">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5</w:t>
            </w:r>
            <w:r>
              <w:rPr>
                <w:rFonts w:hint="eastAsia" w:ascii="宋体" w:hAnsi="宋体" w:cs="宋体"/>
                <w:sz w:val="24"/>
                <w:szCs w:val="24"/>
              </w:rPr>
              <w:t>）加强设备的维护与管理，避免设备因非正常或故障产生偶发高强度噪声；</w:t>
            </w:r>
          </w:p>
          <w:p w14:paraId="0987E59F">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6</w:t>
            </w:r>
            <w:r>
              <w:rPr>
                <w:rFonts w:hint="eastAsia" w:ascii="宋体" w:hAnsi="宋体" w:cs="宋体"/>
                <w:sz w:val="24"/>
                <w:szCs w:val="24"/>
              </w:rPr>
              <w:t>）降低人为噪声，按规定操作机械设备</w:t>
            </w:r>
            <w:r>
              <w:rPr>
                <w:rFonts w:hint="eastAsia" w:ascii="宋体" w:hAnsi="宋体" w:cs="宋体"/>
                <w:sz w:val="24"/>
                <w:szCs w:val="24"/>
                <w:lang w:eastAsia="zh-CN"/>
              </w:rPr>
              <w:t>，在</w:t>
            </w:r>
            <w:r>
              <w:rPr>
                <w:rFonts w:hint="eastAsia" w:ascii="宋体" w:hAnsi="宋体" w:cs="宋体"/>
                <w:sz w:val="24"/>
                <w:szCs w:val="24"/>
              </w:rPr>
              <w:t>模板、支架拆卸过程中，遵守作业规定，减少碰撞噪声；</w:t>
            </w:r>
          </w:p>
          <w:p w14:paraId="3A1E6D63">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7</w:t>
            </w:r>
            <w:r>
              <w:rPr>
                <w:rFonts w:hint="eastAsia" w:ascii="宋体" w:hAnsi="宋体" w:cs="宋体"/>
                <w:sz w:val="24"/>
                <w:szCs w:val="24"/>
              </w:rPr>
              <w:t>）合理安排施工时间，施工作业均安排在昼间作业，除施工工艺需要夜间施工的（如混凝土浇筑等），夜间禁止其它施工作业。项目确需夜间施工，须向当地环保部门进行施工申报，并告知附近居民，取得谅解；</w:t>
            </w:r>
          </w:p>
          <w:p w14:paraId="3F6FC2DF">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8</w:t>
            </w:r>
            <w:r>
              <w:rPr>
                <w:rFonts w:hint="eastAsia" w:ascii="宋体" w:hAnsi="宋体" w:cs="宋体"/>
                <w:sz w:val="24"/>
                <w:szCs w:val="24"/>
              </w:rPr>
              <w:t>）项目现场不得设置混凝土搅拌站。</w:t>
            </w:r>
          </w:p>
          <w:p w14:paraId="238D7773">
            <w:pPr>
              <w:pStyle w:val="22"/>
              <w:bidi w:val="0"/>
              <w:rPr>
                <w:rFonts w:hint="eastAsia"/>
                <w:color w:val="auto"/>
                <w:lang w:val="en-US" w:eastAsia="zh-CN"/>
              </w:rPr>
            </w:pPr>
            <w:r>
              <w:rPr>
                <w:rFonts w:hint="eastAsia"/>
                <w:color w:val="auto"/>
                <w:lang w:val="en-US" w:eastAsia="zh-CN"/>
              </w:rPr>
              <w:t>施工期噪声影响是暂时性的，在采取相应的管理措施后可减至最低，并随着施工期的结束而消失。</w:t>
            </w:r>
          </w:p>
          <w:p w14:paraId="59ED0983">
            <w:pPr>
              <w:pStyle w:val="21"/>
              <w:bidi w:val="0"/>
              <w:rPr>
                <w:rFonts w:hint="eastAsia"/>
                <w:color w:val="auto"/>
                <w:lang w:val="en-US" w:eastAsia="zh-CN"/>
              </w:rPr>
            </w:pPr>
            <w:r>
              <w:rPr>
                <w:rFonts w:hint="eastAsia"/>
                <w:color w:val="auto"/>
                <w:lang w:val="en-US" w:eastAsia="zh-CN"/>
              </w:rPr>
              <w:t>4、施工期固体废物影响分析</w:t>
            </w:r>
          </w:p>
          <w:p w14:paraId="5054AD66">
            <w:pPr>
              <w:pStyle w:val="22"/>
              <w:bidi w:val="0"/>
              <w:rPr>
                <w:rFonts w:hint="eastAsia"/>
                <w:color w:val="auto"/>
                <w:lang w:val="en-US" w:eastAsia="zh-CN"/>
              </w:rPr>
            </w:pPr>
            <w:r>
              <w:rPr>
                <w:rFonts w:hint="eastAsia"/>
                <w:color w:val="auto"/>
                <w:lang w:val="en-US" w:eastAsia="zh-CN"/>
              </w:rPr>
              <w:t>（1）建筑垃圾</w:t>
            </w:r>
          </w:p>
          <w:p w14:paraId="4D2B610A">
            <w:pPr>
              <w:spacing w:before="102" w:beforeLines="25" w:line="360" w:lineRule="auto"/>
              <w:ind w:firstLine="480" w:firstLineChars="200"/>
              <w:rPr>
                <w:rFonts w:hint="eastAsia"/>
                <w:color w:val="auto"/>
                <w:lang w:val="en-US" w:eastAsia="zh-CN"/>
              </w:rPr>
            </w:pPr>
            <w:r>
              <w:rPr>
                <w:rFonts w:hint="eastAsia"/>
                <w:color w:val="auto"/>
                <w:u w:val="single"/>
                <w:lang w:val="en-US" w:eastAsia="zh-CN"/>
              </w:rPr>
              <w:t>建设前园区已完成土地平整，本次施工不涉及土石方开挖，施工期产生的建筑垃圾主要是由渣土、砖石块、碎木料、锯木屑、废金属、钢筋、铁丝和其它废料等组成。预计建筑垃圾产生量约 100m</w:t>
            </w:r>
            <w:r>
              <w:rPr>
                <w:rFonts w:hint="eastAsia"/>
                <w:color w:val="auto"/>
                <w:u w:val="single"/>
                <w:vertAlign w:val="superscript"/>
                <w:lang w:val="en-US" w:eastAsia="zh-CN"/>
              </w:rPr>
              <w:t>3</w:t>
            </w:r>
            <w:r>
              <w:rPr>
                <w:rFonts w:hint="eastAsia"/>
                <w:color w:val="auto"/>
                <w:u w:val="single"/>
                <w:lang w:val="en-US" w:eastAsia="zh-CN"/>
              </w:rPr>
              <w:t>。</w:t>
            </w:r>
            <w:r>
              <w:rPr>
                <w:rFonts w:hint="eastAsia" w:ascii="宋体" w:hAnsi="宋体" w:cs="宋体"/>
                <w:sz w:val="24"/>
                <w:szCs w:val="24"/>
                <w:u w:val="single"/>
              </w:rPr>
              <w:t>建筑垃圾中能够回收利用的尽量回收利用，无法回收的建筑垃圾</w:t>
            </w:r>
            <w:r>
              <w:rPr>
                <w:rFonts w:hint="eastAsia" w:ascii="宋体" w:hAnsi="宋体" w:cs="宋体"/>
                <w:sz w:val="24"/>
                <w:szCs w:val="24"/>
                <w:u w:val="single"/>
                <w:lang w:val="en-US" w:eastAsia="zh-CN"/>
              </w:rPr>
              <w:t>向岳阳县城市管理和综合执法局申报，委托相关部门清运</w:t>
            </w:r>
            <w:r>
              <w:rPr>
                <w:rFonts w:hint="eastAsia" w:ascii="宋体" w:hAnsi="宋体" w:cs="宋体"/>
                <w:sz w:val="24"/>
                <w:szCs w:val="24"/>
                <w:u w:val="single"/>
              </w:rPr>
              <w:t>。</w:t>
            </w:r>
          </w:p>
          <w:p w14:paraId="5EB7A83F">
            <w:pPr>
              <w:pStyle w:val="22"/>
              <w:bidi w:val="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 xml:space="preserve">（2）生活垃圾 </w:t>
            </w:r>
          </w:p>
          <w:p w14:paraId="2E90133C">
            <w:pPr>
              <w:pStyle w:val="22"/>
              <w:bidi w:val="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u w:val="single"/>
                <w:lang w:val="en-US" w:eastAsia="zh-CN"/>
              </w:rPr>
              <w:t>本项目施工期</w:t>
            </w:r>
            <w:r>
              <w:rPr>
                <w:rFonts w:hint="eastAsia" w:cs="Times New Roman"/>
                <w:color w:val="auto"/>
                <w:u w:val="single"/>
                <w:lang w:val="en-US" w:eastAsia="zh-CN"/>
              </w:rPr>
              <w:t>10</w:t>
            </w:r>
            <w:r>
              <w:rPr>
                <w:rFonts w:hint="eastAsia" w:ascii="Times New Roman" w:hAnsi="Times New Roman" w:eastAsia="宋体" w:cs="Times New Roman"/>
                <w:color w:val="auto"/>
                <w:u w:val="single"/>
                <w:lang w:val="en-US" w:eastAsia="zh-CN"/>
              </w:rPr>
              <w:t>个月、施工人员30人，施工人员生活区租用项目厂区</w:t>
            </w:r>
            <w:r>
              <w:rPr>
                <w:rFonts w:hint="eastAsia" w:cs="Times New Roman"/>
                <w:color w:val="auto"/>
                <w:u w:val="single"/>
                <w:lang w:val="en-US" w:eastAsia="zh-CN"/>
              </w:rPr>
              <w:t>南</w:t>
            </w:r>
            <w:r>
              <w:rPr>
                <w:rFonts w:hint="eastAsia" w:ascii="Times New Roman" w:hAnsi="Times New Roman" w:eastAsia="宋体" w:cs="Times New Roman"/>
                <w:color w:val="auto"/>
                <w:u w:val="single"/>
                <w:lang w:val="en-US" w:eastAsia="zh-CN"/>
              </w:rPr>
              <w:t>侧盐业公司，厂区内生活垃圾按 0.5kg/人·天计算，则施工期共产生生活垃圾</w:t>
            </w:r>
            <w:r>
              <w:rPr>
                <w:rFonts w:hint="eastAsia" w:cs="Times New Roman"/>
                <w:color w:val="auto"/>
                <w:u w:val="single"/>
                <w:lang w:val="en-US" w:eastAsia="zh-CN"/>
              </w:rPr>
              <w:t>4.</w:t>
            </w:r>
            <w:r>
              <w:rPr>
                <w:rFonts w:hint="eastAsia" w:ascii="Times New Roman" w:hAnsi="Times New Roman" w:eastAsia="宋体" w:cs="Times New Roman"/>
                <w:color w:val="auto"/>
                <w:u w:val="single"/>
                <w:lang w:val="en-US" w:eastAsia="zh-CN"/>
              </w:rPr>
              <w:t>5t</w:t>
            </w:r>
            <w:r>
              <w:rPr>
                <w:rFonts w:hint="eastAsia" w:ascii="Times New Roman" w:hAnsi="Times New Roman" w:eastAsia="宋体" w:cs="Times New Roman"/>
                <w:color w:val="auto"/>
                <w:lang w:val="en-US" w:eastAsia="zh-CN"/>
              </w:rPr>
              <w:t>。</w:t>
            </w:r>
          </w:p>
          <w:p w14:paraId="5D036E77">
            <w:pPr>
              <w:pStyle w:val="22"/>
              <w:bidi w:val="0"/>
              <w:rPr>
                <w:rFonts w:hint="eastAsia"/>
                <w:color w:val="4874CB" w:themeColor="accent1"/>
                <w:lang w:val="en-US" w:eastAsia="zh-CN"/>
                <w14:textFill>
                  <w14:solidFill>
                    <w14:schemeClr w14:val="accent1"/>
                  </w14:solidFill>
                </w14:textFill>
              </w:rPr>
            </w:pPr>
            <w:r>
              <w:rPr>
                <w:rFonts w:hint="eastAsia" w:ascii="Times New Roman" w:hAnsi="Times New Roman" w:eastAsia="宋体" w:cs="Times New Roman"/>
                <w:color w:val="auto"/>
                <w:lang w:val="en-US" w:eastAsia="zh-CN"/>
              </w:rPr>
              <w:t>本项目固体废弃物、建筑垃圾、生活垃圾分类收集，定期运至垃圾处理场集中处置，</w:t>
            </w:r>
            <w:r>
              <w:rPr>
                <w:rFonts w:hint="eastAsia"/>
                <w:color w:val="auto"/>
                <w:lang w:val="en-US" w:eastAsia="zh-CN"/>
              </w:rPr>
              <w:t>施工现场应加强管理，提倡文明施工，经采取以上措施后，施工期固体废物不会对周围环境造成明显影响。</w:t>
            </w:r>
          </w:p>
        </w:tc>
      </w:tr>
      <w:tr w14:paraId="55791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407" w:type="dxa"/>
            <w:vAlign w:val="center"/>
          </w:tcPr>
          <w:p w14:paraId="41AE6C51">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0C71C017">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47FD12E3">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1C15768B">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699155C9">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2CA0FDC7">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570B17E3">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486280CB">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5C4EA676">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7FB2E998">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505B7BDE">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2CCEC8EF">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025F36E2">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308A8BA9">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79E28A93">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6FC85954">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037E620A">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3D47B487">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4F84E127">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64E4445C">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0E38570A">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6F115081">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0F877E0F">
            <w:pPr>
              <w:ind w:left="0" w:leftChars="0" w:firstLine="0" w:firstLineChars="0"/>
              <w:jc w:val="center"/>
              <w:rPr>
                <w:rFonts w:hint="eastAsia"/>
                <w:color w:val="4874CB" w:themeColor="accent1"/>
                <w:vertAlign w:val="baseline"/>
                <w:lang w:val="en-US" w:eastAsia="zh-CN"/>
                <w14:textFill>
                  <w14:solidFill>
                    <w14:schemeClr w14:val="accent1"/>
                  </w14:solidFill>
                </w14:textFill>
              </w:rPr>
            </w:pPr>
          </w:p>
          <w:p w14:paraId="30B957DF">
            <w:pPr>
              <w:ind w:left="0" w:leftChars="0" w:firstLine="0" w:firstLineChars="0"/>
              <w:jc w:val="center"/>
              <w:rPr>
                <w:rFonts w:hint="eastAsia"/>
                <w:color w:val="auto"/>
                <w:vertAlign w:val="baseline"/>
                <w:lang w:val="en-US" w:eastAsia="zh-CN"/>
              </w:rPr>
            </w:pPr>
            <w:r>
              <w:rPr>
                <w:rFonts w:hint="eastAsia"/>
                <w:color w:val="auto"/>
                <w:vertAlign w:val="baseline"/>
                <w:lang w:val="en-US" w:eastAsia="zh-CN"/>
              </w:rPr>
              <w:t>运营</w:t>
            </w:r>
          </w:p>
          <w:p w14:paraId="0D241B50">
            <w:pPr>
              <w:ind w:left="0" w:leftChars="0" w:firstLine="0" w:firstLineChars="0"/>
              <w:jc w:val="center"/>
              <w:rPr>
                <w:rFonts w:hint="eastAsia"/>
                <w:color w:val="auto"/>
                <w:vertAlign w:val="baseline"/>
                <w:lang w:val="en-US" w:eastAsia="zh-CN"/>
              </w:rPr>
            </w:pPr>
            <w:r>
              <w:rPr>
                <w:rFonts w:hint="eastAsia"/>
                <w:color w:val="auto"/>
                <w:vertAlign w:val="baseline"/>
                <w:lang w:val="en-US" w:eastAsia="zh-CN"/>
              </w:rPr>
              <w:t>期环</w:t>
            </w:r>
          </w:p>
          <w:p w14:paraId="13C17FCB">
            <w:pPr>
              <w:ind w:left="0" w:leftChars="0" w:firstLine="0" w:firstLineChars="0"/>
              <w:jc w:val="center"/>
              <w:rPr>
                <w:rFonts w:hint="eastAsia"/>
                <w:color w:val="auto"/>
                <w:vertAlign w:val="baseline"/>
                <w:lang w:val="en-US" w:eastAsia="zh-CN"/>
              </w:rPr>
            </w:pPr>
            <w:r>
              <w:rPr>
                <w:rFonts w:hint="eastAsia"/>
                <w:color w:val="auto"/>
                <w:vertAlign w:val="baseline"/>
                <w:lang w:val="en-US" w:eastAsia="zh-CN"/>
              </w:rPr>
              <w:t>境影</w:t>
            </w:r>
          </w:p>
          <w:p w14:paraId="430E6285">
            <w:pPr>
              <w:ind w:left="0" w:leftChars="0" w:firstLine="0" w:firstLineChars="0"/>
              <w:jc w:val="center"/>
              <w:rPr>
                <w:rFonts w:hint="eastAsia"/>
                <w:color w:val="auto"/>
                <w:vertAlign w:val="baseline"/>
                <w:lang w:val="en-US" w:eastAsia="zh-CN"/>
              </w:rPr>
            </w:pPr>
            <w:r>
              <w:rPr>
                <w:rFonts w:hint="eastAsia"/>
                <w:color w:val="auto"/>
                <w:vertAlign w:val="baseline"/>
                <w:lang w:val="en-US" w:eastAsia="zh-CN"/>
              </w:rPr>
              <w:t>响和</w:t>
            </w:r>
          </w:p>
          <w:p w14:paraId="53D76533">
            <w:pPr>
              <w:ind w:left="0" w:leftChars="0" w:firstLine="0" w:firstLineChars="0"/>
              <w:jc w:val="center"/>
              <w:rPr>
                <w:rFonts w:hint="eastAsia"/>
                <w:color w:val="auto"/>
                <w:vertAlign w:val="baseline"/>
                <w:lang w:val="en-US" w:eastAsia="zh-CN"/>
              </w:rPr>
            </w:pPr>
            <w:r>
              <w:rPr>
                <w:rFonts w:hint="eastAsia"/>
                <w:color w:val="auto"/>
                <w:vertAlign w:val="baseline"/>
                <w:lang w:val="en-US" w:eastAsia="zh-CN"/>
              </w:rPr>
              <w:t>保护</w:t>
            </w:r>
          </w:p>
          <w:p w14:paraId="18176951">
            <w:pPr>
              <w:ind w:left="0" w:leftChars="0" w:firstLine="0" w:firstLineChars="0"/>
              <w:jc w:val="center"/>
              <w:rPr>
                <w:rFonts w:hint="eastAsia"/>
                <w:color w:val="4874CB" w:themeColor="accent1"/>
                <w:vertAlign w:val="baseline"/>
                <w:lang w:val="en-US" w:eastAsia="zh-CN"/>
                <w14:textFill>
                  <w14:solidFill>
                    <w14:schemeClr w14:val="accent1"/>
                  </w14:solidFill>
                </w14:textFill>
              </w:rPr>
            </w:pPr>
            <w:r>
              <w:rPr>
                <w:rFonts w:hint="eastAsia"/>
                <w:color w:val="auto"/>
                <w:vertAlign w:val="baseline"/>
                <w:lang w:val="en-US" w:eastAsia="zh-CN"/>
              </w:rPr>
              <w:t>措施</w:t>
            </w:r>
          </w:p>
        </w:tc>
        <w:tc>
          <w:tcPr>
            <w:tcW w:w="8115" w:type="dxa"/>
          </w:tcPr>
          <w:p w14:paraId="207D18C7">
            <w:pPr>
              <w:pStyle w:val="21"/>
              <w:bidi w:val="0"/>
              <w:ind w:left="0" w:leftChars="0" w:firstLine="0" w:firstLineChars="0"/>
              <w:rPr>
                <w:rFonts w:hint="eastAsia"/>
                <w:color w:val="auto"/>
                <w:lang w:val="en-US" w:eastAsia="zh-CN"/>
              </w:rPr>
            </w:pPr>
          </w:p>
          <w:p w14:paraId="40097100">
            <w:pPr>
              <w:pStyle w:val="21"/>
              <w:bidi w:val="0"/>
              <w:rPr>
                <w:rFonts w:hint="eastAsia"/>
                <w:color w:val="auto"/>
                <w:lang w:val="en-US" w:eastAsia="zh-CN"/>
              </w:rPr>
            </w:pPr>
          </w:p>
          <w:p w14:paraId="0D3FD5A9">
            <w:pPr>
              <w:pStyle w:val="21"/>
              <w:bidi w:val="0"/>
              <w:ind w:left="0" w:leftChars="0" w:firstLine="0" w:firstLineChars="0"/>
              <w:rPr>
                <w:rFonts w:hint="eastAsia"/>
                <w:color w:val="auto"/>
                <w:lang w:val="en-US" w:eastAsia="zh-CN"/>
              </w:rPr>
            </w:pPr>
          </w:p>
          <w:p w14:paraId="5C2FC416">
            <w:pPr>
              <w:pStyle w:val="21"/>
              <w:bidi w:val="0"/>
              <w:rPr>
                <w:rFonts w:hint="eastAsia"/>
                <w:color w:val="auto"/>
                <w:lang w:val="en-US" w:eastAsia="zh-CN"/>
              </w:rPr>
            </w:pPr>
            <w:r>
              <w:rPr>
                <w:rFonts w:hint="eastAsia"/>
                <w:color w:val="auto"/>
                <w:lang w:val="en-US" w:eastAsia="zh-CN"/>
              </w:rPr>
              <w:t>1、废气污染源分析</w:t>
            </w:r>
          </w:p>
          <w:p w14:paraId="3E4A3E91">
            <w:pPr>
              <w:pStyle w:val="21"/>
              <w:bidi w:val="0"/>
              <w:rPr>
                <w:rFonts w:hint="eastAsia"/>
                <w:color w:val="auto"/>
                <w:lang w:val="en-US" w:eastAsia="zh-CN"/>
              </w:rPr>
            </w:pPr>
            <w:r>
              <w:rPr>
                <w:rFonts w:hint="eastAsia"/>
                <w:color w:val="auto"/>
                <w:lang w:val="en-US" w:eastAsia="zh-CN"/>
              </w:rPr>
              <w:t>1.1 废气污染源强核算</w:t>
            </w:r>
          </w:p>
          <w:p w14:paraId="03F7B1B0">
            <w:pPr>
              <w:pStyle w:val="22"/>
              <w:bidi w:val="0"/>
              <w:rPr>
                <w:rFonts w:hint="eastAsia"/>
                <w:color w:val="auto"/>
                <w:u w:val="single"/>
                <w:lang w:val="en-US" w:eastAsia="zh-CN"/>
              </w:rPr>
            </w:pPr>
            <w:r>
              <w:rPr>
                <w:rFonts w:hint="eastAsia"/>
                <w:color w:val="auto"/>
                <w:u w:val="single"/>
                <w:lang w:val="en-US" w:eastAsia="zh-CN"/>
              </w:rPr>
              <w:t>项目场地内不设置员工食堂，因此不存在食堂燃料废气与油烟废气等生活废气。故本项目运营期废气主要为工艺废气和热风炉废气，各自通过一根排气筒有组织排放。</w:t>
            </w:r>
          </w:p>
          <w:p w14:paraId="51690D6B">
            <w:pPr>
              <w:pStyle w:val="22"/>
              <w:bidi w:val="0"/>
              <w:rPr>
                <w:rFonts w:hint="default"/>
                <w:color w:val="auto"/>
                <w:lang w:val="en-US" w:eastAsia="zh-CN"/>
              </w:rPr>
            </w:pPr>
            <w:r>
              <w:rPr>
                <w:rFonts w:hint="eastAsia"/>
                <w:color w:val="auto"/>
                <w:lang w:val="en-US" w:eastAsia="zh-CN"/>
              </w:rPr>
              <w:t>（1）工艺粉尘</w:t>
            </w:r>
          </w:p>
          <w:p w14:paraId="58C2EBED">
            <w:pPr>
              <w:pStyle w:val="22"/>
              <w:bidi w:val="0"/>
              <w:rPr>
                <w:rFonts w:hint="eastAsia"/>
                <w:color w:val="auto"/>
                <w:u w:val="single"/>
                <w:lang w:val="en-US" w:eastAsia="zh-CN"/>
              </w:rPr>
            </w:pPr>
            <w:r>
              <w:rPr>
                <w:rFonts w:hint="eastAsia"/>
                <w:color w:val="auto"/>
                <w:u w:val="single"/>
                <w:lang w:val="en-US" w:eastAsia="zh-CN"/>
              </w:rPr>
              <w:t>本项目采用团粒法制造复合肥料、混合法制造掺混肥料，生产过程仅为物理混合过程，不涉及化学反应，且烘干热源燃料不为煤，故项目工艺粉尘主要来自投料口、搅拌、造粒过程产生粉尘。根据《排放源统计调查产排污核算方法和系数手册》（生态环境部公告 2021年 第24号）中的《2624 复混肥料制造行业系数手册》 可得出污染物排放系数，详见下表。</w:t>
            </w:r>
          </w:p>
          <w:p w14:paraId="6F655E46">
            <w:pPr>
              <w:pStyle w:val="7"/>
              <w:jc w:val="center"/>
              <w:rPr>
                <w:rFonts w:eastAsia="宋体"/>
                <w:b/>
                <w:spacing w:val="0"/>
                <w:sz w:val="21"/>
                <w:szCs w:val="21"/>
                <w:u w:val="none"/>
              </w:rPr>
            </w:pPr>
            <w:r>
              <w:rPr>
                <w:rFonts w:hint="eastAsia" w:eastAsia="宋体"/>
                <w:b/>
                <w:color w:val="auto"/>
                <w:spacing w:val="0"/>
                <w:sz w:val="21"/>
                <w:szCs w:val="21"/>
                <w:u w:val="none"/>
              </w:rPr>
              <w:t>表</w:t>
            </w:r>
            <w:r>
              <w:rPr>
                <w:rFonts w:hint="eastAsia"/>
                <w:b/>
                <w:color w:val="auto"/>
                <w:spacing w:val="0"/>
                <w:sz w:val="21"/>
                <w:szCs w:val="21"/>
                <w:u w:val="none"/>
                <w:lang w:val="en-US" w:eastAsia="zh-CN"/>
              </w:rPr>
              <w:t>4-3</w:t>
            </w:r>
            <w:r>
              <w:rPr>
                <w:rFonts w:hint="eastAsia" w:eastAsia="宋体"/>
                <w:b/>
                <w:color w:val="4874CB" w:themeColor="accent1"/>
                <w:spacing w:val="0"/>
                <w:sz w:val="21"/>
                <w:szCs w:val="21"/>
                <w:u w:val="none"/>
                <w:lang w:val="en-US" w:eastAsia="zh-CN"/>
                <w14:textFill>
                  <w14:solidFill>
                    <w14:schemeClr w14:val="accent1"/>
                  </w14:solidFill>
                </w14:textFill>
              </w:rPr>
              <w:t xml:space="preserve"> </w:t>
            </w:r>
            <w:r>
              <w:rPr>
                <w:rFonts w:hint="eastAsia"/>
                <w:b/>
                <w:color w:val="4874CB" w:themeColor="accent1"/>
                <w:spacing w:val="0"/>
                <w:sz w:val="21"/>
                <w:szCs w:val="21"/>
                <w:u w:val="none"/>
                <w:lang w:val="en-US" w:eastAsia="zh-CN"/>
                <w14:textFill>
                  <w14:solidFill>
                    <w14:schemeClr w14:val="accent1"/>
                  </w14:solidFill>
                </w14:textFill>
              </w:rPr>
              <w:t xml:space="preserve"> </w:t>
            </w:r>
            <w:r>
              <w:rPr>
                <w:rFonts w:hint="eastAsia"/>
                <w:b/>
                <w:color w:val="auto"/>
                <w:spacing w:val="0"/>
                <w:sz w:val="21"/>
                <w:szCs w:val="21"/>
                <w:u w:val="none"/>
                <w:lang w:val="en-US" w:eastAsia="zh-CN"/>
              </w:rPr>
              <w:t>2624</w:t>
            </w:r>
            <w:r>
              <w:rPr>
                <w:rFonts w:hint="eastAsia" w:eastAsia="宋体"/>
                <w:b/>
                <w:color w:val="auto"/>
                <w:spacing w:val="0"/>
                <w:sz w:val="21"/>
                <w:szCs w:val="21"/>
                <w:u w:val="none"/>
              </w:rPr>
              <w:t>复</w:t>
            </w:r>
            <w:r>
              <w:rPr>
                <w:rFonts w:hint="eastAsia" w:eastAsia="宋体"/>
                <w:b/>
                <w:spacing w:val="0"/>
                <w:sz w:val="21"/>
                <w:szCs w:val="21"/>
                <w:u w:val="none"/>
              </w:rPr>
              <w:t>混肥料制造</w:t>
            </w:r>
            <w:r>
              <w:rPr>
                <w:rFonts w:hint="eastAsia"/>
                <w:b/>
                <w:spacing w:val="0"/>
                <w:sz w:val="21"/>
                <w:szCs w:val="21"/>
                <w:u w:val="none"/>
                <w:lang w:val="en-US" w:eastAsia="zh-CN"/>
              </w:rPr>
              <w:t>行</w:t>
            </w:r>
            <w:r>
              <w:rPr>
                <w:rFonts w:hint="eastAsia" w:eastAsia="宋体"/>
                <w:b/>
                <w:spacing w:val="0"/>
                <w:sz w:val="21"/>
                <w:szCs w:val="21"/>
                <w:u w:val="none"/>
              </w:rPr>
              <w:t>业系数表</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4"/>
              <w:gridCol w:w="1065"/>
              <w:gridCol w:w="660"/>
              <w:gridCol w:w="720"/>
              <w:gridCol w:w="405"/>
              <w:gridCol w:w="645"/>
              <w:gridCol w:w="855"/>
              <w:gridCol w:w="780"/>
              <w:gridCol w:w="855"/>
              <w:gridCol w:w="1110"/>
            </w:tblGrid>
            <w:tr w14:paraId="0BF82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4" w:type="dxa"/>
                  <w:noWrap w:val="0"/>
                  <w:vAlign w:val="center"/>
                </w:tcPr>
                <w:p w14:paraId="49D94683">
                  <w:pPr>
                    <w:pStyle w:val="7"/>
                    <w:jc w:val="center"/>
                    <w:rPr>
                      <w:rFonts w:hint="default" w:eastAsia="宋体"/>
                      <w:spacing w:val="0"/>
                      <w:sz w:val="21"/>
                      <w:szCs w:val="21"/>
                      <w:u w:val="single" w:color="auto"/>
                      <w:lang w:val="en-US" w:eastAsia="zh-CN"/>
                    </w:rPr>
                  </w:pPr>
                  <w:r>
                    <w:rPr>
                      <w:rFonts w:hint="eastAsia" w:eastAsia="宋体"/>
                      <w:spacing w:val="0"/>
                      <w:sz w:val="21"/>
                      <w:szCs w:val="21"/>
                      <w:u w:val="single" w:color="auto"/>
                      <w:lang w:val="en-US" w:eastAsia="zh-CN"/>
                    </w:rPr>
                    <w:t>产品名称</w:t>
                  </w:r>
                </w:p>
              </w:tc>
              <w:tc>
                <w:tcPr>
                  <w:tcW w:w="1065" w:type="dxa"/>
                  <w:noWrap w:val="0"/>
                  <w:vAlign w:val="center"/>
                </w:tcPr>
                <w:p w14:paraId="76CAE2CC">
                  <w:pPr>
                    <w:pStyle w:val="7"/>
                    <w:jc w:val="center"/>
                    <w:rPr>
                      <w:rFonts w:hint="default" w:eastAsia="宋体"/>
                      <w:spacing w:val="0"/>
                      <w:sz w:val="21"/>
                      <w:szCs w:val="21"/>
                      <w:u w:val="single" w:color="auto"/>
                      <w:lang w:val="en-US" w:eastAsia="zh-CN"/>
                    </w:rPr>
                  </w:pPr>
                  <w:r>
                    <w:rPr>
                      <w:rFonts w:hint="default" w:eastAsia="宋体"/>
                      <w:spacing w:val="0"/>
                      <w:sz w:val="21"/>
                      <w:szCs w:val="21"/>
                      <w:u w:val="single" w:color="auto"/>
                      <w:lang w:val="en-US" w:eastAsia="zh-CN"/>
                    </w:rPr>
                    <w:t>原料名称</w:t>
                  </w:r>
                </w:p>
              </w:tc>
              <w:tc>
                <w:tcPr>
                  <w:tcW w:w="660" w:type="dxa"/>
                  <w:noWrap w:val="0"/>
                  <w:vAlign w:val="center"/>
                </w:tcPr>
                <w:p w14:paraId="43B18FA1">
                  <w:pPr>
                    <w:pStyle w:val="7"/>
                    <w:jc w:val="center"/>
                    <w:rPr>
                      <w:rFonts w:hint="eastAsia" w:eastAsia="宋体"/>
                      <w:spacing w:val="0"/>
                      <w:sz w:val="21"/>
                      <w:szCs w:val="21"/>
                      <w:u w:val="single" w:color="auto"/>
                    </w:rPr>
                  </w:pPr>
                  <w:r>
                    <w:rPr>
                      <w:rFonts w:hint="eastAsia" w:eastAsia="宋体"/>
                      <w:spacing w:val="0"/>
                      <w:sz w:val="21"/>
                      <w:szCs w:val="21"/>
                      <w:u w:val="single" w:color="auto"/>
                    </w:rPr>
                    <w:t>工艺名称</w:t>
                  </w:r>
                </w:p>
              </w:tc>
              <w:tc>
                <w:tcPr>
                  <w:tcW w:w="720" w:type="dxa"/>
                  <w:noWrap w:val="0"/>
                  <w:vAlign w:val="center"/>
                </w:tcPr>
                <w:p w14:paraId="5EC8E7A8">
                  <w:pPr>
                    <w:pStyle w:val="7"/>
                    <w:jc w:val="center"/>
                    <w:rPr>
                      <w:rFonts w:hint="eastAsia" w:eastAsia="宋体"/>
                      <w:spacing w:val="0"/>
                      <w:sz w:val="21"/>
                      <w:szCs w:val="21"/>
                      <w:u w:val="single" w:color="auto"/>
                    </w:rPr>
                  </w:pPr>
                  <w:r>
                    <w:rPr>
                      <w:rFonts w:hint="eastAsia" w:eastAsia="宋体"/>
                      <w:spacing w:val="0"/>
                      <w:sz w:val="21"/>
                      <w:szCs w:val="21"/>
                      <w:u w:val="single" w:color="auto"/>
                    </w:rPr>
                    <w:t>规模等级</w:t>
                  </w:r>
                </w:p>
              </w:tc>
              <w:tc>
                <w:tcPr>
                  <w:tcW w:w="1050" w:type="dxa"/>
                  <w:gridSpan w:val="2"/>
                  <w:noWrap w:val="0"/>
                  <w:vAlign w:val="center"/>
                </w:tcPr>
                <w:p w14:paraId="6AA13312">
                  <w:pPr>
                    <w:pStyle w:val="7"/>
                    <w:jc w:val="center"/>
                    <w:rPr>
                      <w:rFonts w:hint="eastAsia" w:eastAsia="宋体"/>
                      <w:spacing w:val="0"/>
                      <w:sz w:val="21"/>
                      <w:szCs w:val="21"/>
                      <w:u w:val="single" w:color="auto"/>
                    </w:rPr>
                  </w:pPr>
                  <w:r>
                    <w:rPr>
                      <w:rFonts w:hint="eastAsia" w:eastAsia="宋体"/>
                      <w:spacing w:val="0"/>
                      <w:sz w:val="21"/>
                      <w:szCs w:val="21"/>
                      <w:u w:val="single" w:color="auto"/>
                    </w:rPr>
                    <w:t>污染物指标</w:t>
                  </w:r>
                </w:p>
              </w:tc>
              <w:tc>
                <w:tcPr>
                  <w:tcW w:w="855" w:type="dxa"/>
                  <w:noWrap w:val="0"/>
                  <w:vAlign w:val="center"/>
                </w:tcPr>
                <w:p w14:paraId="30998B0F">
                  <w:pPr>
                    <w:pStyle w:val="7"/>
                    <w:jc w:val="center"/>
                    <w:rPr>
                      <w:rFonts w:hint="eastAsia" w:eastAsia="宋体"/>
                      <w:spacing w:val="0"/>
                      <w:sz w:val="21"/>
                      <w:szCs w:val="21"/>
                      <w:u w:val="single" w:color="auto"/>
                      <w:lang w:val="en-US" w:eastAsia="zh-CN"/>
                    </w:rPr>
                  </w:pPr>
                  <w:r>
                    <w:rPr>
                      <w:rFonts w:hint="eastAsia" w:eastAsia="宋体"/>
                      <w:spacing w:val="0"/>
                      <w:sz w:val="21"/>
                      <w:szCs w:val="21"/>
                      <w:u w:val="single" w:color="auto"/>
                      <w:lang w:val="en-US" w:eastAsia="zh-CN"/>
                    </w:rPr>
                    <w:t>单位</w:t>
                  </w:r>
                </w:p>
              </w:tc>
              <w:tc>
                <w:tcPr>
                  <w:tcW w:w="780" w:type="dxa"/>
                  <w:noWrap w:val="0"/>
                  <w:vAlign w:val="center"/>
                </w:tcPr>
                <w:p w14:paraId="30D49104">
                  <w:pPr>
                    <w:pStyle w:val="7"/>
                    <w:jc w:val="center"/>
                    <w:rPr>
                      <w:rFonts w:hint="eastAsia" w:eastAsia="宋体"/>
                      <w:spacing w:val="0"/>
                      <w:sz w:val="21"/>
                      <w:szCs w:val="21"/>
                      <w:u w:val="single" w:color="auto"/>
                    </w:rPr>
                  </w:pPr>
                  <w:r>
                    <w:rPr>
                      <w:rFonts w:hint="eastAsia" w:eastAsia="宋体"/>
                      <w:spacing w:val="0"/>
                      <w:sz w:val="21"/>
                      <w:szCs w:val="21"/>
                      <w:u w:val="single" w:color="auto"/>
                    </w:rPr>
                    <w:t>产污系数</w:t>
                  </w:r>
                </w:p>
              </w:tc>
              <w:tc>
                <w:tcPr>
                  <w:tcW w:w="855" w:type="dxa"/>
                  <w:noWrap w:val="0"/>
                  <w:vAlign w:val="center"/>
                </w:tcPr>
                <w:p w14:paraId="0FC31253">
                  <w:pPr>
                    <w:pStyle w:val="7"/>
                    <w:jc w:val="center"/>
                    <w:rPr>
                      <w:rFonts w:hint="eastAsia" w:eastAsia="宋体"/>
                      <w:spacing w:val="0"/>
                      <w:sz w:val="21"/>
                      <w:szCs w:val="21"/>
                      <w:u w:val="single" w:color="auto"/>
                    </w:rPr>
                  </w:pPr>
                  <w:r>
                    <w:rPr>
                      <w:rFonts w:hint="eastAsia" w:eastAsia="宋体"/>
                      <w:spacing w:val="0"/>
                      <w:sz w:val="21"/>
                      <w:szCs w:val="21"/>
                      <w:u w:val="single" w:color="auto"/>
                    </w:rPr>
                    <w:t>末端治理技术</w:t>
                  </w:r>
                </w:p>
              </w:tc>
              <w:tc>
                <w:tcPr>
                  <w:tcW w:w="1110" w:type="dxa"/>
                  <w:noWrap w:val="0"/>
                  <w:vAlign w:val="center"/>
                </w:tcPr>
                <w:p w14:paraId="64E56D65">
                  <w:pPr>
                    <w:pStyle w:val="7"/>
                    <w:jc w:val="center"/>
                    <w:rPr>
                      <w:rFonts w:hint="eastAsia" w:eastAsia="宋体"/>
                      <w:spacing w:val="0"/>
                      <w:sz w:val="21"/>
                      <w:szCs w:val="21"/>
                      <w:u w:val="single" w:color="auto"/>
                    </w:rPr>
                  </w:pPr>
                  <w:r>
                    <w:rPr>
                      <w:rFonts w:hint="eastAsia" w:eastAsia="宋体"/>
                      <w:spacing w:val="0"/>
                      <w:sz w:val="21"/>
                      <w:szCs w:val="21"/>
                      <w:u w:val="single" w:color="auto"/>
                    </w:rPr>
                    <w:t>末端治理技术平</w:t>
                  </w:r>
                </w:p>
                <w:p w14:paraId="546529A4">
                  <w:pPr>
                    <w:pStyle w:val="7"/>
                    <w:jc w:val="center"/>
                    <w:rPr>
                      <w:rFonts w:hint="eastAsia" w:eastAsia="宋体"/>
                      <w:spacing w:val="0"/>
                      <w:sz w:val="21"/>
                      <w:szCs w:val="21"/>
                      <w:u w:val="single" w:color="auto"/>
                    </w:rPr>
                  </w:pPr>
                  <w:r>
                    <w:rPr>
                      <w:rFonts w:hint="eastAsia" w:eastAsia="宋体"/>
                      <w:spacing w:val="0"/>
                      <w:sz w:val="21"/>
                      <w:szCs w:val="21"/>
                      <w:u w:val="single" w:color="auto"/>
                    </w:rPr>
                    <w:t>均去除效率（%）</w:t>
                  </w:r>
                </w:p>
              </w:tc>
            </w:tr>
            <w:tr w14:paraId="0D85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8" w:hRule="atLeast"/>
              </w:trPr>
              <w:tc>
                <w:tcPr>
                  <w:tcW w:w="734" w:type="dxa"/>
                  <w:vMerge w:val="restart"/>
                  <w:noWrap w:val="0"/>
                  <w:vAlign w:val="center"/>
                </w:tcPr>
                <w:p w14:paraId="5227E35F">
                  <w:pPr>
                    <w:pStyle w:val="7"/>
                    <w:jc w:val="center"/>
                    <w:rPr>
                      <w:rFonts w:hint="default" w:eastAsia="宋体"/>
                      <w:spacing w:val="0"/>
                      <w:sz w:val="21"/>
                      <w:szCs w:val="21"/>
                      <w:u w:val="single" w:color="auto"/>
                      <w:lang w:val="en-US" w:eastAsia="zh-CN"/>
                    </w:rPr>
                  </w:pPr>
                  <w:r>
                    <w:rPr>
                      <w:rFonts w:hint="eastAsia"/>
                      <w:spacing w:val="0"/>
                      <w:sz w:val="21"/>
                      <w:szCs w:val="21"/>
                      <w:u w:val="single" w:color="auto"/>
                      <w:lang w:val="en-US" w:eastAsia="zh-CN"/>
                    </w:rPr>
                    <w:t>复混</w:t>
                  </w:r>
                  <w:r>
                    <w:rPr>
                      <w:rFonts w:hint="default" w:eastAsia="宋体"/>
                      <w:spacing w:val="0"/>
                      <w:sz w:val="21"/>
                      <w:szCs w:val="21"/>
                      <w:u w:val="single" w:color="auto"/>
                      <w:lang w:val="en-US" w:eastAsia="zh-CN"/>
                    </w:rPr>
                    <w:t>肥料</w:t>
                  </w:r>
                </w:p>
              </w:tc>
              <w:tc>
                <w:tcPr>
                  <w:tcW w:w="1065" w:type="dxa"/>
                  <w:vMerge w:val="restart"/>
                  <w:noWrap w:val="0"/>
                  <w:vAlign w:val="center"/>
                </w:tcPr>
                <w:p w14:paraId="770183DF">
                  <w:pPr>
                    <w:pStyle w:val="7"/>
                    <w:jc w:val="center"/>
                    <w:rPr>
                      <w:rFonts w:hint="default" w:eastAsia="宋体"/>
                      <w:spacing w:val="0"/>
                      <w:sz w:val="21"/>
                      <w:szCs w:val="21"/>
                      <w:u w:val="single" w:color="auto"/>
                      <w:lang w:val="en-US" w:eastAsia="zh-CN"/>
                    </w:rPr>
                  </w:pPr>
                  <w:r>
                    <w:rPr>
                      <w:rFonts w:hint="default" w:eastAsia="宋体"/>
                      <w:spacing w:val="0"/>
                      <w:sz w:val="21"/>
                      <w:szCs w:val="21"/>
                      <w:u w:val="single" w:color="auto"/>
                      <w:lang w:val="en-US" w:eastAsia="zh-CN"/>
                    </w:rPr>
                    <w:t>尿素、硝酸铵/硝铵磷、磷酸铵、氯化铵、硫酸铵、氯化钾、硫酸钾等</w:t>
                  </w:r>
                </w:p>
              </w:tc>
              <w:tc>
                <w:tcPr>
                  <w:tcW w:w="660" w:type="dxa"/>
                  <w:vMerge w:val="restart"/>
                  <w:noWrap w:val="0"/>
                  <w:vAlign w:val="center"/>
                </w:tcPr>
                <w:p w14:paraId="56A083EA">
                  <w:pPr>
                    <w:pStyle w:val="7"/>
                    <w:jc w:val="center"/>
                    <w:rPr>
                      <w:rFonts w:hint="eastAsia" w:eastAsia="宋体"/>
                      <w:spacing w:val="0"/>
                      <w:sz w:val="21"/>
                      <w:szCs w:val="21"/>
                      <w:u w:val="single" w:color="auto"/>
                      <w:lang w:val="en-US" w:eastAsia="zh-CN"/>
                    </w:rPr>
                  </w:pPr>
                  <w:r>
                    <w:rPr>
                      <w:rFonts w:hint="eastAsia"/>
                      <w:spacing w:val="0"/>
                      <w:sz w:val="21"/>
                      <w:szCs w:val="21"/>
                      <w:u w:val="single" w:color="auto"/>
                      <w:lang w:val="en-US" w:eastAsia="zh-CN"/>
                    </w:rPr>
                    <w:t>团粒</w:t>
                  </w:r>
                  <w:r>
                    <w:rPr>
                      <w:rFonts w:hint="eastAsia" w:eastAsia="宋体"/>
                      <w:spacing w:val="0"/>
                      <w:sz w:val="21"/>
                      <w:szCs w:val="21"/>
                      <w:u w:val="single" w:color="auto"/>
                      <w:lang w:val="en-US" w:eastAsia="zh-CN"/>
                    </w:rPr>
                    <w:t>法</w:t>
                  </w:r>
                </w:p>
              </w:tc>
              <w:tc>
                <w:tcPr>
                  <w:tcW w:w="720" w:type="dxa"/>
                  <w:vMerge w:val="restart"/>
                  <w:noWrap w:val="0"/>
                  <w:vAlign w:val="center"/>
                </w:tcPr>
                <w:p w14:paraId="25963AE8">
                  <w:pPr>
                    <w:pStyle w:val="7"/>
                    <w:jc w:val="center"/>
                    <w:rPr>
                      <w:rFonts w:hint="eastAsia" w:eastAsia="宋体"/>
                      <w:spacing w:val="0"/>
                      <w:sz w:val="21"/>
                      <w:szCs w:val="21"/>
                      <w:u w:val="single" w:color="auto"/>
                      <w:lang w:val="en-US" w:eastAsia="zh-CN"/>
                    </w:rPr>
                  </w:pPr>
                  <w:r>
                    <w:rPr>
                      <w:rFonts w:hint="eastAsia"/>
                      <w:spacing w:val="0"/>
                      <w:sz w:val="21"/>
                      <w:szCs w:val="21"/>
                      <w:u w:val="single" w:color="auto"/>
                      <w:lang w:val="en-US" w:eastAsia="zh-CN"/>
                    </w:rPr>
                    <w:t>所有规模</w:t>
                  </w:r>
                </w:p>
              </w:tc>
              <w:tc>
                <w:tcPr>
                  <w:tcW w:w="405" w:type="dxa"/>
                  <w:vMerge w:val="restart"/>
                  <w:noWrap w:val="0"/>
                  <w:vAlign w:val="center"/>
                </w:tcPr>
                <w:p w14:paraId="48DFC4C0">
                  <w:pPr>
                    <w:pStyle w:val="7"/>
                    <w:jc w:val="center"/>
                    <w:rPr>
                      <w:rFonts w:hint="eastAsia" w:eastAsia="宋体"/>
                      <w:spacing w:val="0"/>
                      <w:sz w:val="21"/>
                      <w:szCs w:val="21"/>
                      <w:u w:val="single" w:color="auto"/>
                      <w:lang w:val="en-US" w:eastAsia="zh-CN"/>
                    </w:rPr>
                  </w:pPr>
                  <w:r>
                    <w:rPr>
                      <w:rFonts w:hint="eastAsia"/>
                      <w:spacing w:val="0"/>
                      <w:sz w:val="21"/>
                      <w:szCs w:val="21"/>
                      <w:u w:val="single" w:color="auto"/>
                      <w:lang w:val="en-US" w:eastAsia="zh-CN"/>
                    </w:rPr>
                    <w:t>废气</w:t>
                  </w:r>
                </w:p>
              </w:tc>
              <w:tc>
                <w:tcPr>
                  <w:tcW w:w="645" w:type="dxa"/>
                  <w:noWrap w:val="0"/>
                  <w:vAlign w:val="center"/>
                </w:tcPr>
                <w:p w14:paraId="4DE04214">
                  <w:pPr>
                    <w:pStyle w:val="7"/>
                    <w:jc w:val="center"/>
                    <w:rPr>
                      <w:rFonts w:hint="default" w:eastAsia="宋体"/>
                      <w:spacing w:val="0"/>
                      <w:sz w:val="21"/>
                      <w:szCs w:val="21"/>
                      <w:u w:val="single" w:color="auto"/>
                      <w:lang w:val="en-US" w:eastAsia="zh-CN"/>
                    </w:rPr>
                  </w:pPr>
                  <w:r>
                    <w:rPr>
                      <w:rFonts w:hint="eastAsia"/>
                      <w:spacing w:val="0"/>
                      <w:sz w:val="21"/>
                      <w:szCs w:val="21"/>
                      <w:u w:val="single" w:color="auto"/>
                      <w:lang w:val="en-US" w:eastAsia="zh-CN"/>
                    </w:rPr>
                    <w:t>工业废气量</w:t>
                  </w:r>
                </w:p>
              </w:tc>
              <w:tc>
                <w:tcPr>
                  <w:tcW w:w="855" w:type="dxa"/>
                  <w:noWrap w:val="0"/>
                  <w:vAlign w:val="center"/>
                </w:tcPr>
                <w:p w14:paraId="6DA7F074">
                  <w:pPr>
                    <w:pStyle w:val="7"/>
                    <w:jc w:val="center"/>
                    <w:rPr>
                      <w:rFonts w:hint="eastAsia" w:eastAsia="宋体"/>
                      <w:spacing w:val="0"/>
                      <w:sz w:val="21"/>
                      <w:szCs w:val="21"/>
                      <w:u w:val="single" w:color="auto"/>
                    </w:rPr>
                  </w:pPr>
                  <w:r>
                    <w:rPr>
                      <w:rFonts w:hint="eastAsia" w:eastAsia="宋体"/>
                      <w:spacing w:val="0"/>
                      <w:sz w:val="21"/>
                      <w:szCs w:val="21"/>
                      <w:u w:val="single" w:color="auto"/>
                    </w:rPr>
                    <w:t>标立方米/吨-产品</w:t>
                  </w:r>
                </w:p>
              </w:tc>
              <w:tc>
                <w:tcPr>
                  <w:tcW w:w="780" w:type="dxa"/>
                  <w:noWrap w:val="0"/>
                  <w:vAlign w:val="center"/>
                </w:tcPr>
                <w:p w14:paraId="16D764DC">
                  <w:pPr>
                    <w:pStyle w:val="7"/>
                    <w:jc w:val="center"/>
                    <w:rPr>
                      <w:rFonts w:hint="eastAsia" w:eastAsia="宋体"/>
                      <w:spacing w:val="0"/>
                      <w:sz w:val="21"/>
                      <w:szCs w:val="21"/>
                      <w:u w:val="single" w:color="auto"/>
                      <w:lang w:val="en-US" w:eastAsia="zh-CN"/>
                    </w:rPr>
                  </w:pPr>
                  <w:r>
                    <w:rPr>
                      <w:rFonts w:hint="eastAsia"/>
                      <w:spacing w:val="0"/>
                      <w:sz w:val="21"/>
                      <w:szCs w:val="21"/>
                      <w:u w:val="single" w:color="auto"/>
                      <w:lang w:val="en-US" w:eastAsia="zh-CN"/>
                    </w:rPr>
                    <w:t>4.80</w:t>
                  </w:r>
                  <w:r>
                    <w:rPr>
                      <w:rFonts w:hint="eastAsia" w:eastAsia="宋体"/>
                      <w:spacing w:val="0"/>
                      <w:sz w:val="21"/>
                      <w:szCs w:val="21"/>
                      <w:u w:val="single" w:color="auto"/>
                      <w:lang w:val="en-US" w:eastAsia="zh-CN"/>
                    </w:rPr>
                    <w:t>×10</w:t>
                  </w:r>
                  <w:r>
                    <w:rPr>
                      <w:rFonts w:hint="eastAsia" w:eastAsia="宋体"/>
                      <w:spacing w:val="0"/>
                      <w:sz w:val="21"/>
                      <w:szCs w:val="21"/>
                      <w:u w:val="single" w:color="auto"/>
                      <w:vertAlign w:val="superscript"/>
                      <w:lang w:val="en-US" w:eastAsia="zh-CN"/>
                    </w:rPr>
                    <w:t>3</w:t>
                  </w:r>
                </w:p>
              </w:tc>
              <w:tc>
                <w:tcPr>
                  <w:tcW w:w="855" w:type="dxa"/>
                  <w:noWrap w:val="0"/>
                  <w:vAlign w:val="center"/>
                </w:tcPr>
                <w:p w14:paraId="105F4B87">
                  <w:pPr>
                    <w:pStyle w:val="7"/>
                    <w:jc w:val="center"/>
                    <w:rPr>
                      <w:rFonts w:hint="default" w:eastAsia="宋体"/>
                      <w:spacing w:val="0"/>
                      <w:sz w:val="21"/>
                      <w:szCs w:val="21"/>
                      <w:u w:val="single" w:color="auto"/>
                      <w:lang w:val="en-US" w:eastAsia="zh-CN"/>
                    </w:rPr>
                  </w:pPr>
                  <w:r>
                    <w:rPr>
                      <w:rFonts w:hint="eastAsia"/>
                      <w:spacing w:val="0"/>
                      <w:sz w:val="21"/>
                      <w:szCs w:val="21"/>
                      <w:u w:val="single" w:color="auto"/>
                      <w:lang w:val="en-US" w:eastAsia="zh-CN"/>
                    </w:rPr>
                    <w:t>/</w:t>
                  </w:r>
                </w:p>
              </w:tc>
              <w:tc>
                <w:tcPr>
                  <w:tcW w:w="1110" w:type="dxa"/>
                  <w:noWrap w:val="0"/>
                  <w:vAlign w:val="center"/>
                </w:tcPr>
                <w:p w14:paraId="01F0ABCC">
                  <w:pPr>
                    <w:pStyle w:val="7"/>
                    <w:jc w:val="center"/>
                    <w:rPr>
                      <w:rFonts w:hint="default" w:eastAsia="宋体"/>
                      <w:spacing w:val="0"/>
                      <w:sz w:val="21"/>
                      <w:szCs w:val="21"/>
                      <w:u w:val="single" w:color="auto"/>
                      <w:lang w:val="en-US" w:eastAsia="zh-CN"/>
                    </w:rPr>
                  </w:pPr>
                  <w:r>
                    <w:rPr>
                      <w:rFonts w:hint="eastAsia"/>
                      <w:spacing w:val="0"/>
                      <w:sz w:val="21"/>
                      <w:szCs w:val="21"/>
                      <w:u w:val="single" w:color="auto"/>
                      <w:lang w:val="en-US" w:eastAsia="zh-CN"/>
                    </w:rPr>
                    <w:t>0</w:t>
                  </w:r>
                </w:p>
              </w:tc>
            </w:tr>
            <w:tr w14:paraId="6DD69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734" w:type="dxa"/>
                  <w:vMerge w:val="continue"/>
                  <w:noWrap w:val="0"/>
                  <w:vAlign w:val="center"/>
                </w:tcPr>
                <w:p w14:paraId="7D0B6DD1">
                  <w:pPr>
                    <w:pStyle w:val="7"/>
                    <w:jc w:val="center"/>
                    <w:rPr>
                      <w:u w:val="single" w:color="auto"/>
                    </w:rPr>
                  </w:pPr>
                </w:p>
              </w:tc>
              <w:tc>
                <w:tcPr>
                  <w:tcW w:w="1065" w:type="dxa"/>
                  <w:vMerge w:val="continue"/>
                  <w:noWrap w:val="0"/>
                  <w:vAlign w:val="center"/>
                </w:tcPr>
                <w:p w14:paraId="3BF9F6B3">
                  <w:pPr>
                    <w:pStyle w:val="7"/>
                    <w:jc w:val="center"/>
                    <w:rPr>
                      <w:u w:val="single" w:color="auto"/>
                    </w:rPr>
                  </w:pPr>
                </w:p>
              </w:tc>
              <w:tc>
                <w:tcPr>
                  <w:tcW w:w="660" w:type="dxa"/>
                  <w:vMerge w:val="continue"/>
                  <w:noWrap w:val="0"/>
                  <w:vAlign w:val="center"/>
                </w:tcPr>
                <w:p w14:paraId="067B9B6D">
                  <w:pPr>
                    <w:pStyle w:val="7"/>
                    <w:jc w:val="center"/>
                    <w:rPr>
                      <w:u w:val="single" w:color="auto"/>
                    </w:rPr>
                  </w:pPr>
                </w:p>
              </w:tc>
              <w:tc>
                <w:tcPr>
                  <w:tcW w:w="720" w:type="dxa"/>
                  <w:vMerge w:val="continue"/>
                  <w:noWrap w:val="0"/>
                  <w:vAlign w:val="center"/>
                </w:tcPr>
                <w:p w14:paraId="19A2C2D9">
                  <w:pPr>
                    <w:pStyle w:val="7"/>
                    <w:jc w:val="center"/>
                    <w:rPr>
                      <w:u w:val="single" w:color="auto"/>
                    </w:rPr>
                  </w:pPr>
                </w:p>
              </w:tc>
              <w:tc>
                <w:tcPr>
                  <w:tcW w:w="405" w:type="dxa"/>
                  <w:vMerge w:val="continue"/>
                  <w:noWrap w:val="0"/>
                  <w:vAlign w:val="center"/>
                </w:tcPr>
                <w:p w14:paraId="5E9EFA78">
                  <w:pPr>
                    <w:pStyle w:val="7"/>
                    <w:jc w:val="center"/>
                    <w:rPr>
                      <w:u w:val="single" w:color="auto"/>
                    </w:rPr>
                  </w:pPr>
                </w:p>
              </w:tc>
              <w:tc>
                <w:tcPr>
                  <w:tcW w:w="645" w:type="dxa"/>
                  <w:vMerge w:val="restart"/>
                  <w:noWrap w:val="0"/>
                  <w:vAlign w:val="center"/>
                </w:tcPr>
                <w:p w14:paraId="3580524F">
                  <w:pPr>
                    <w:pStyle w:val="7"/>
                    <w:jc w:val="center"/>
                    <w:rPr>
                      <w:rFonts w:hint="eastAsia" w:eastAsia="宋体"/>
                      <w:spacing w:val="0"/>
                      <w:sz w:val="21"/>
                      <w:szCs w:val="21"/>
                      <w:u w:val="single" w:color="auto"/>
                      <w:lang w:val="en-US" w:eastAsia="zh-CN"/>
                    </w:rPr>
                  </w:pPr>
                  <w:r>
                    <w:rPr>
                      <w:rFonts w:hint="eastAsia"/>
                      <w:spacing w:val="0"/>
                      <w:sz w:val="21"/>
                      <w:szCs w:val="21"/>
                      <w:u w:val="single" w:color="auto"/>
                      <w:lang w:val="en-US" w:eastAsia="zh-CN"/>
                    </w:rPr>
                    <w:t>颗粒物</w:t>
                  </w:r>
                </w:p>
              </w:tc>
              <w:tc>
                <w:tcPr>
                  <w:tcW w:w="855" w:type="dxa"/>
                  <w:vMerge w:val="restart"/>
                  <w:noWrap w:val="0"/>
                  <w:vAlign w:val="center"/>
                </w:tcPr>
                <w:p w14:paraId="67A1231A">
                  <w:pPr>
                    <w:pStyle w:val="7"/>
                    <w:jc w:val="center"/>
                    <w:rPr>
                      <w:rFonts w:hint="eastAsia" w:eastAsia="宋体"/>
                      <w:spacing w:val="0"/>
                      <w:sz w:val="21"/>
                      <w:szCs w:val="21"/>
                      <w:u w:val="single" w:color="auto"/>
                    </w:rPr>
                  </w:pPr>
                  <w:r>
                    <w:rPr>
                      <w:rFonts w:hint="eastAsia" w:eastAsia="宋体"/>
                      <w:spacing w:val="0"/>
                      <w:sz w:val="21"/>
                      <w:szCs w:val="21"/>
                      <w:u w:val="single" w:color="auto"/>
                    </w:rPr>
                    <w:t>千克/吨-产品</w:t>
                  </w:r>
                </w:p>
              </w:tc>
              <w:tc>
                <w:tcPr>
                  <w:tcW w:w="780" w:type="dxa"/>
                  <w:vMerge w:val="restart"/>
                  <w:noWrap w:val="0"/>
                  <w:vAlign w:val="center"/>
                </w:tcPr>
                <w:p w14:paraId="721F1800">
                  <w:pPr>
                    <w:pStyle w:val="7"/>
                    <w:jc w:val="center"/>
                    <w:rPr>
                      <w:rFonts w:hint="default" w:eastAsia="宋体"/>
                      <w:spacing w:val="0"/>
                      <w:sz w:val="21"/>
                      <w:szCs w:val="21"/>
                      <w:u w:val="single" w:color="auto"/>
                      <w:lang w:val="en-US" w:eastAsia="zh-CN"/>
                    </w:rPr>
                  </w:pPr>
                  <w:r>
                    <w:rPr>
                      <w:rFonts w:hint="eastAsia"/>
                      <w:spacing w:val="0"/>
                      <w:sz w:val="21"/>
                      <w:szCs w:val="21"/>
                      <w:u w:val="single" w:color="auto"/>
                      <w:lang w:val="en-US" w:eastAsia="zh-CN"/>
                    </w:rPr>
                    <w:t>10.1</w:t>
                  </w:r>
                </w:p>
              </w:tc>
              <w:tc>
                <w:tcPr>
                  <w:tcW w:w="855" w:type="dxa"/>
                  <w:noWrap w:val="0"/>
                  <w:vAlign w:val="center"/>
                </w:tcPr>
                <w:p w14:paraId="3442B5EC">
                  <w:pPr>
                    <w:pStyle w:val="7"/>
                    <w:jc w:val="center"/>
                    <w:rPr>
                      <w:rFonts w:hint="eastAsia" w:eastAsia="宋体"/>
                      <w:spacing w:val="0"/>
                      <w:sz w:val="21"/>
                      <w:szCs w:val="21"/>
                      <w:u w:val="single" w:color="auto"/>
                    </w:rPr>
                  </w:pPr>
                  <w:r>
                    <w:rPr>
                      <w:rFonts w:hint="eastAsia" w:eastAsia="宋体"/>
                      <w:spacing w:val="0"/>
                      <w:sz w:val="21"/>
                      <w:szCs w:val="21"/>
                      <w:u w:val="single" w:color="auto"/>
                    </w:rPr>
                    <w:t>旋风+布袋</w:t>
                  </w:r>
                </w:p>
              </w:tc>
              <w:tc>
                <w:tcPr>
                  <w:tcW w:w="1110" w:type="dxa"/>
                  <w:noWrap w:val="0"/>
                  <w:vAlign w:val="center"/>
                </w:tcPr>
                <w:p w14:paraId="721ACAB8">
                  <w:pPr>
                    <w:pStyle w:val="7"/>
                    <w:jc w:val="center"/>
                    <w:rPr>
                      <w:rFonts w:hint="default" w:eastAsia="宋体"/>
                      <w:spacing w:val="0"/>
                      <w:sz w:val="21"/>
                      <w:szCs w:val="21"/>
                      <w:u w:val="single" w:color="auto"/>
                      <w:lang w:val="en-US" w:eastAsia="zh-CN"/>
                    </w:rPr>
                  </w:pPr>
                  <w:r>
                    <w:rPr>
                      <w:rFonts w:hint="eastAsia"/>
                      <w:spacing w:val="0"/>
                      <w:sz w:val="21"/>
                      <w:szCs w:val="21"/>
                      <w:u w:val="single" w:color="auto"/>
                      <w:lang w:val="en-US" w:eastAsia="zh-CN"/>
                    </w:rPr>
                    <w:t>99.2</w:t>
                  </w:r>
                </w:p>
              </w:tc>
            </w:tr>
            <w:tr w14:paraId="2716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34" w:type="dxa"/>
                  <w:vMerge w:val="continue"/>
                  <w:noWrap w:val="0"/>
                  <w:vAlign w:val="center"/>
                </w:tcPr>
                <w:p w14:paraId="3A795E55">
                  <w:pPr>
                    <w:pStyle w:val="7"/>
                    <w:jc w:val="center"/>
                    <w:rPr>
                      <w:u w:val="single" w:color="auto"/>
                    </w:rPr>
                  </w:pPr>
                </w:p>
              </w:tc>
              <w:tc>
                <w:tcPr>
                  <w:tcW w:w="1065" w:type="dxa"/>
                  <w:vMerge w:val="continue"/>
                  <w:noWrap w:val="0"/>
                  <w:vAlign w:val="center"/>
                </w:tcPr>
                <w:p w14:paraId="5BEC6AB6">
                  <w:pPr>
                    <w:pStyle w:val="7"/>
                    <w:jc w:val="center"/>
                    <w:rPr>
                      <w:u w:val="single" w:color="auto"/>
                    </w:rPr>
                  </w:pPr>
                </w:p>
              </w:tc>
              <w:tc>
                <w:tcPr>
                  <w:tcW w:w="660" w:type="dxa"/>
                  <w:vMerge w:val="continue"/>
                  <w:noWrap w:val="0"/>
                  <w:vAlign w:val="center"/>
                </w:tcPr>
                <w:p w14:paraId="35259586">
                  <w:pPr>
                    <w:pStyle w:val="7"/>
                    <w:jc w:val="center"/>
                    <w:rPr>
                      <w:u w:val="single" w:color="auto"/>
                    </w:rPr>
                  </w:pPr>
                </w:p>
              </w:tc>
              <w:tc>
                <w:tcPr>
                  <w:tcW w:w="720" w:type="dxa"/>
                  <w:vMerge w:val="continue"/>
                  <w:noWrap w:val="0"/>
                  <w:vAlign w:val="center"/>
                </w:tcPr>
                <w:p w14:paraId="66B21012">
                  <w:pPr>
                    <w:pStyle w:val="7"/>
                    <w:jc w:val="center"/>
                    <w:rPr>
                      <w:u w:val="single" w:color="auto"/>
                    </w:rPr>
                  </w:pPr>
                </w:p>
              </w:tc>
              <w:tc>
                <w:tcPr>
                  <w:tcW w:w="405" w:type="dxa"/>
                  <w:vMerge w:val="continue"/>
                  <w:noWrap w:val="0"/>
                  <w:vAlign w:val="center"/>
                </w:tcPr>
                <w:p w14:paraId="727AD162">
                  <w:pPr>
                    <w:pStyle w:val="7"/>
                    <w:jc w:val="center"/>
                    <w:rPr>
                      <w:u w:val="single" w:color="auto"/>
                    </w:rPr>
                  </w:pPr>
                </w:p>
              </w:tc>
              <w:tc>
                <w:tcPr>
                  <w:tcW w:w="645" w:type="dxa"/>
                  <w:vMerge w:val="continue"/>
                  <w:noWrap w:val="0"/>
                  <w:vAlign w:val="center"/>
                </w:tcPr>
                <w:p w14:paraId="06580EE5">
                  <w:pPr>
                    <w:pStyle w:val="7"/>
                    <w:jc w:val="center"/>
                    <w:rPr>
                      <w:u w:val="single" w:color="auto"/>
                    </w:rPr>
                  </w:pPr>
                </w:p>
              </w:tc>
              <w:tc>
                <w:tcPr>
                  <w:tcW w:w="855" w:type="dxa"/>
                  <w:vMerge w:val="continue"/>
                  <w:noWrap w:val="0"/>
                  <w:vAlign w:val="center"/>
                </w:tcPr>
                <w:p w14:paraId="2B6AE8D4">
                  <w:pPr>
                    <w:pStyle w:val="7"/>
                    <w:jc w:val="center"/>
                    <w:rPr>
                      <w:u w:val="single" w:color="auto"/>
                    </w:rPr>
                  </w:pPr>
                </w:p>
              </w:tc>
              <w:tc>
                <w:tcPr>
                  <w:tcW w:w="780" w:type="dxa"/>
                  <w:vMerge w:val="continue"/>
                  <w:noWrap w:val="0"/>
                  <w:vAlign w:val="center"/>
                </w:tcPr>
                <w:p w14:paraId="042E0B74">
                  <w:pPr>
                    <w:pStyle w:val="7"/>
                    <w:jc w:val="center"/>
                    <w:rPr>
                      <w:u w:val="single" w:color="auto"/>
                    </w:rPr>
                  </w:pPr>
                </w:p>
              </w:tc>
              <w:tc>
                <w:tcPr>
                  <w:tcW w:w="855" w:type="dxa"/>
                  <w:noWrap w:val="0"/>
                  <w:vAlign w:val="center"/>
                </w:tcPr>
                <w:p w14:paraId="3512F3C8">
                  <w:pPr>
                    <w:pStyle w:val="7"/>
                    <w:jc w:val="center"/>
                    <w:rPr>
                      <w:rFonts w:hint="eastAsia" w:eastAsia="宋体"/>
                      <w:spacing w:val="0"/>
                      <w:sz w:val="21"/>
                      <w:szCs w:val="21"/>
                      <w:u w:val="single" w:color="auto"/>
                    </w:rPr>
                  </w:pPr>
                  <w:r>
                    <w:rPr>
                      <w:rFonts w:hint="eastAsia" w:eastAsia="宋体"/>
                      <w:spacing w:val="0"/>
                      <w:sz w:val="21"/>
                      <w:szCs w:val="21"/>
                      <w:u w:val="single" w:color="auto"/>
                    </w:rPr>
                    <w:t>袋式除尘</w:t>
                  </w:r>
                </w:p>
              </w:tc>
              <w:tc>
                <w:tcPr>
                  <w:tcW w:w="1110" w:type="dxa"/>
                  <w:noWrap w:val="0"/>
                  <w:vAlign w:val="center"/>
                </w:tcPr>
                <w:p w14:paraId="3462D7BA">
                  <w:pPr>
                    <w:pStyle w:val="7"/>
                    <w:jc w:val="center"/>
                    <w:rPr>
                      <w:rFonts w:hint="default" w:eastAsia="宋体"/>
                      <w:spacing w:val="0"/>
                      <w:sz w:val="21"/>
                      <w:szCs w:val="21"/>
                      <w:u w:val="single" w:color="auto"/>
                      <w:lang w:val="en-US" w:eastAsia="zh-CN"/>
                    </w:rPr>
                  </w:pPr>
                  <w:r>
                    <w:rPr>
                      <w:rFonts w:hint="eastAsia"/>
                      <w:spacing w:val="0"/>
                      <w:sz w:val="21"/>
                      <w:szCs w:val="21"/>
                      <w:u w:val="single" w:color="auto"/>
                      <w:lang w:val="en-US" w:eastAsia="zh-CN"/>
                    </w:rPr>
                    <w:t>99</w:t>
                  </w:r>
                </w:p>
              </w:tc>
            </w:tr>
            <w:tr w14:paraId="466B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34" w:type="dxa"/>
                  <w:vMerge w:val="restart"/>
                  <w:noWrap w:val="0"/>
                  <w:vAlign w:val="center"/>
                </w:tcPr>
                <w:p w14:paraId="17B7E73C">
                  <w:pPr>
                    <w:pStyle w:val="7"/>
                    <w:ind w:firstLine="0" w:firstLineChars="0"/>
                    <w:jc w:val="center"/>
                    <w:rPr>
                      <w:u w:val="single" w:color="auto"/>
                    </w:rPr>
                  </w:pPr>
                  <w:r>
                    <w:rPr>
                      <w:rFonts w:hint="eastAsia"/>
                      <w:spacing w:val="0"/>
                      <w:sz w:val="21"/>
                      <w:szCs w:val="21"/>
                      <w:u w:val="single" w:color="auto"/>
                      <w:lang w:val="en-US" w:eastAsia="zh-CN"/>
                    </w:rPr>
                    <w:t>掺混</w:t>
                  </w:r>
                  <w:r>
                    <w:rPr>
                      <w:rFonts w:hint="default" w:eastAsia="宋体"/>
                      <w:spacing w:val="0"/>
                      <w:sz w:val="21"/>
                      <w:szCs w:val="21"/>
                      <w:u w:val="single" w:color="auto"/>
                      <w:lang w:val="en-US" w:eastAsia="zh-CN"/>
                    </w:rPr>
                    <w:t>肥料</w:t>
                  </w:r>
                </w:p>
              </w:tc>
              <w:tc>
                <w:tcPr>
                  <w:tcW w:w="1065" w:type="dxa"/>
                  <w:vMerge w:val="restart"/>
                  <w:noWrap w:val="0"/>
                  <w:vAlign w:val="center"/>
                </w:tcPr>
                <w:p w14:paraId="18A44EFB">
                  <w:pPr>
                    <w:pStyle w:val="7"/>
                    <w:ind w:firstLine="0" w:firstLineChars="0"/>
                    <w:jc w:val="center"/>
                    <w:rPr>
                      <w:u w:val="single" w:color="auto"/>
                    </w:rPr>
                  </w:pPr>
                  <w:r>
                    <w:rPr>
                      <w:rFonts w:hint="default" w:eastAsia="宋体"/>
                      <w:spacing w:val="0"/>
                      <w:sz w:val="21"/>
                      <w:szCs w:val="21"/>
                      <w:u w:val="single" w:color="auto"/>
                      <w:lang w:val="en-US" w:eastAsia="zh-CN"/>
                    </w:rPr>
                    <w:t>尿素、硝酸铵/硝铵磷、磷酸铵、氯化铵、硫酸铵、氯化钾、硫酸钾等</w:t>
                  </w:r>
                </w:p>
              </w:tc>
              <w:tc>
                <w:tcPr>
                  <w:tcW w:w="660" w:type="dxa"/>
                  <w:vMerge w:val="restart"/>
                  <w:noWrap w:val="0"/>
                  <w:vAlign w:val="center"/>
                </w:tcPr>
                <w:p w14:paraId="5A03E550">
                  <w:pPr>
                    <w:pStyle w:val="7"/>
                    <w:ind w:firstLine="0" w:firstLineChars="0"/>
                    <w:jc w:val="center"/>
                    <w:rPr>
                      <w:u w:val="single" w:color="auto"/>
                    </w:rPr>
                  </w:pPr>
                  <w:r>
                    <w:rPr>
                      <w:rFonts w:hint="eastAsia"/>
                      <w:spacing w:val="0"/>
                      <w:sz w:val="21"/>
                      <w:szCs w:val="21"/>
                      <w:u w:val="single" w:color="auto"/>
                      <w:lang w:val="en-US" w:eastAsia="zh-CN"/>
                    </w:rPr>
                    <w:t>混合</w:t>
                  </w:r>
                  <w:r>
                    <w:rPr>
                      <w:rFonts w:hint="eastAsia" w:eastAsia="宋体"/>
                      <w:spacing w:val="0"/>
                      <w:sz w:val="21"/>
                      <w:szCs w:val="21"/>
                      <w:u w:val="single" w:color="auto"/>
                      <w:lang w:val="en-US" w:eastAsia="zh-CN"/>
                    </w:rPr>
                    <w:t>法</w:t>
                  </w:r>
                </w:p>
              </w:tc>
              <w:tc>
                <w:tcPr>
                  <w:tcW w:w="720" w:type="dxa"/>
                  <w:vMerge w:val="restart"/>
                  <w:noWrap w:val="0"/>
                  <w:vAlign w:val="center"/>
                </w:tcPr>
                <w:p w14:paraId="3FD830A7">
                  <w:pPr>
                    <w:pStyle w:val="7"/>
                    <w:ind w:firstLine="0" w:firstLineChars="0"/>
                    <w:jc w:val="center"/>
                    <w:rPr>
                      <w:u w:val="single" w:color="auto"/>
                    </w:rPr>
                  </w:pPr>
                  <w:r>
                    <w:rPr>
                      <w:rFonts w:hint="eastAsia"/>
                      <w:spacing w:val="0"/>
                      <w:sz w:val="21"/>
                      <w:szCs w:val="21"/>
                      <w:u w:val="single" w:color="auto"/>
                      <w:lang w:val="en-US" w:eastAsia="zh-CN"/>
                    </w:rPr>
                    <w:t>所有规模</w:t>
                  </w:r>
                </w:p>
              </w:tc>
              <w:tc>
                <w:tcPr>
                  <w:tcW w:w="405" w:type="dxa"/>
                  <w:vMerge w:val="restart"/>
                  <w:noWrap w:val="0"/>
                  <w:vAlign w:val="center"/>
                </w:tcPr>
                <w:p w14:paraId="71D76438">
                  <w:pPr>
                    <w:pStyle w:val="7"/>
                    <w:ind w:firstLine="0" w:firstLineChars="0"/>
                    <w:jc w:val="center"/>
                    <w:rPr>
                      <w:u w:val="single" w:color="auto"/>
                    </w:rPr>
                  </w:pPr>
                  <w:r>
                    <w:rPr>
                      <w:rFonts w:hint="eastAsia"/>
                      <w:spacing w:val="0"/>
                      <w:sz w:val="21"/>
                      <w:szCs w:val="21"/>
                      <w:u w:val="single" w:color="auto"/>
                      <w:lang w:val="en-US" w:eastAsia="zh-CN"/>
                    </w:rPr>
                    <w:t>废气</w:t>
                  </w:r>
                </w:p>
              </w:tc>
              <w:tc>
                <w:tcPr>
                  <w:tcW w:w="645" w:type="dxa"/>
                  <w:noWrap w:val="0"/>
                  <w:vAlign w:val="center"/>
                </w:tcPr>
                <w:p w14:paraId="5E64AFC0">
                  <w:pPr>
                    <w:pStyle w:val="7"/>
                    <w:ind w:firstLine="0" w:firstLineChars="0"/>
                    <w:jc w:val="center"/>
                    <w:rPr>
                      <w:u w:val="single" w:color="auto"/>
                    </w:rPr>
                  </w:pPr>
                  <w:r>
                    <w:rPr>
                      <w:rFonts w:hint="eastAsia"/>
                      <w:spacing w:val="0"/>
                      <w:sz w:val="21"/>
                      <w:szCs w:val="21"/>
                      <w:u w:val="single" w:color="auto"/>
                      <w:lang w:val="en-US" w:eastAsia="zh-CN"/>
                    </w:rPr>
                    <w:t>工业废气量</w:t>
                  </w:r>
                </w:p>
              </w:tc>
              <w:tc>
                <w:tcPr>
                  <w:tcW w:w="855" w:type="dxa"/>
                  <w:noWrap w:val="0"/>
                  <w:vAlign w:val="center"/>
                </w:tcPr>
                <w:p w14:paraId="3BFFF0C7">
                  <w:pPr>
                    <w:pStyle w:val="7"/>
                    <w:ind w:firstLine="0" w:firstLineChars="0"/>
                    <w:jc w:val="center"/>
                    <w:rPr>
                      <w:u w:val="single" w:color="auto"/>
                    </w:rPr>
                  </w:pPr>
                  <w:r>
                    <w:rPr>
                      <w:rFonts w:hint="eastAsia" w:eastAsia="宋体"/>
                      <w:spacing w:val="0"/>
                      <w:sz w:val="21"/>
                      <w:szCs w:val="21"/>
                      <w:u w:val="single" w:color="auto"/>
                    </w:rPr>
                    <w:t>标立方米/吨-产品</w:t>
                  </w:r>
                </w:p>
              </w:tc>
              <w:tc>
                <w:tcPr>
                  <w:tcW w:w="780" w:type="dxa"/>
                  <w:noWrap w:val="0"/>
                  <w:vAlign w:val="center"/>
                </w:tcPr>
                <w:p w14:paraId="3BFBB771">
                  <w:pPr>
                    <w:pStyle w:val="7"/>
                    <w:ind w:firstLine="0" w:firstLineChars="0"/>
                    <w:jc w:val="center"/>
                    <w:rPr>
                      <w:u w:val="single" w:color="auto"/>
                    </w:rPr>
                  </w:pPr>
                  <w:r>
                    <w:rPr>
                      <w:rFonts w:hint="eastAsia" w:eastAsia="宋体"/>
                      <w:spacing w:val="0"/>
                      <w:sz w:val="21"/>
                      <w:szCs w:val="21"/>
                      <w:u w:val="single" w:color="auto"/>
                      <w:lang w:val="en-US" w:eastAsia="zh-CN"/>
                    </w:rPr>
                    <w:t>2.00×10</w:t>
                  </w:r>
                  <w:r>
                    <w:rPr>
                      <w:rFonts w:hint="eastAsia" w:eastAsia="宋体"/>
                      <w:spacing w:val="0"/>
                      <w:sz w:val="21"/>
                      <w:szCs w:val="21"/>
                      <w:u w:val="single" w:color="auto"/>
                      <w:vertAlign w:val="superscript"/>
                      <w:lang w:val="en-US" w:eastAsia="zh-CN"/>
                    </w:rPr>
                    <w:t>3</w:t>
                  </w:r>
                </w:p>
              </w:tc>
              <w:tc>
                <w:tcPr>
                  <w:tcW w:w="855" w:type="dxa"/>
                  <w:noWrap w:val="0"/>
                  <w:vAlign w:val="center"/>
                </w:tcPr>
                <w:p w14:paraId="06FE8F3C">
                  <w:pPr>
                    <w:pStyle w:val="7"/>
                    <w:ind w:firstLine="0" w:firstLineChars="0"/>
                    <w:jc w:val="center"/>
                    <w:rPr>
                      <w:rFonts w:hint="eastAsia" w:eastAsia="宋体"/>
                      <w:spacing w:val="0"/>
                      <w:sz w:val="21"/>
                      <w:szCs w:val="21"/>
                      <w:u w:val="single" w:color="auto"/>
                    </w:rPr>
                  </w:pPr>
                  <w:r>
                    <w:rPr>
                      <w:rFonts w:hint="eastAsia"/>
                      <w:spacing w:val="0"/>
                      <w:sz w:val="21"/>
                      <w:szCs w:val="21"/>
                      <w:u w:val="single" w:color="auto"/>
                      <w:lang w:val="en-US" w:eastAsia="zh-CN"/>
                    </w:rPr>
                    <w:t>/</w:t>
                  </w:r>
                </w:p>
              </w:tc>
              <w:tc>
                <w:tcPr>
                  <w:tcW w:w="1110" w:type="dxa"/>
                  <w:noWrap w:val="0"/>
                  <w:vAlign w:val="center"/>
                </w:tcPr>
                <w:p w14:paraId="670CB43C">
                  <w:pPr>
                    <w:pStyle w:val="7"/>
                    <w:ind w:firstLine="0" w:firstLineChars="0"/>
                    <w:jc w:val="center"/>
                    <w:rPr>
                      <w:rFonts w:hint="eastAsia"/>
                      <w:spacing w:val="0"/>
                      <w:sz w:val="21"/>
                      <w:szCs w:val="21"/>
                      <w:u w:val="single" w:color="auto"/>
                      <w:lang w:val="en-US" w:eastAsia="zh-CN"/>
                    </w:rPr>
                  </w:pPr>
                  <w:r>
                    <w:rPr>
                      <w:rFonts w:hint="eastAsia"/>
                      <w:spacing w:val="0"/>
                      <w:sz w:val="21"/>
                      <w:szCs w:val="21"/>
                      <w:u w:val="single" w:color="auto"/>
                      <w:lang w:val="en-US" w:eastAsia="zh-CN"/>
                    </w:rPr>
                    <w:t>0</w:t>
                  </w:r>
                </w:p>
              </w:tc>
            </w:tr>
            <w:tr w14:paraId="062E5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34" w:type="dxa"/>
                  <w:vMerge w:val="continue"/>
                  <w:noWrap w:val="0"/>
                  <w:vAlign w:val="center"/>
                </w:tcPr>
                <w:p w14:paraId="4B43C199">
                  <w:pPr>
                    <w:pStyle w:val="7"/>
                    <w:ind w:firstLine="0" w:firstLineChars="0"/>
                    <w:jc w:val="center"/>
                    <w:rPr>
                      <w:u w:val="single" w:color="auto"/>
                    </w:rPr>
                  </w:pPr>
                </w:p>
              </w:tc>
              <w:tc>
                <w:tcPr>
                  <w:tcW w:w="1065" w:type="dxa"/>
                  <w:vMerge w:val="continue"/>
                  <w:noWrap w:val="0"/>
                  <w:vAlign w:val="center"/>
                </w:tcPr>
                <w:p w14:paraId="5FC07BFD">
                  <w:pPr>
                    <w:pStyle w:val="7"/>
                    <w:ind w:firstLine="0" w:firstLineChars="0"/>
                    <w:jc w:val="center"/>
                    <w:rPr>
                      <w:u w:val="single" w:color="auto"/>
                    </w:rPr>
                  </w:pPr>
                </w:p>
              </w:tc>
              <w:tc>
                <w:tcPr>
                  <w:tcW w:w="660" w:type="dxa"/>
                  <w:vMerge w:val="continue"/>
                  <w:noWrap w:val="0"/>
                  <w:vAlign w:val="center"/>
                </w:tcPr>
                <w:p w14:paraId="399BA2B0">
                  <w:pPr>
                    <w:pStyle w:val="7"/>
                    <w:ind w:firstLine="0" w:firstLineChars="0"/>
                    <w:jc w:val="center"/>
                    <w:rPr>
                      <w:u w:val="single" w:color="auto"/>
                    </w:rPr>
                  </w:pPr>
                </w:p>
              </w:tc>
              <w:tc>
                <w:tcPr>
                  <w:tcW w:w="720" w:type="dxa"/>
                  <w:vMerge w:val="continue"/>
                  <w:noWrap w:val="0"/>
                  <w:vAlign w:val="center"/>
                </w:tcPr>
                <w:p w14:paraId="67BFD094">
                  <w:pPr>
                    <w:pStyle w:val="7"/>
                    <w:ind w:firstLine="0" w:firstLineChars="0"/>
                    <w:jc w:val="center"/>
                    <w:rPr>
                      <w:u w:val="single" w:color="auto"/>
                    </w:rPr>
                  </w:pPr>
                </w:p>
              </w:tc>
              <w:tc>
                <w:tcPr>
                  <w:tcW w:w="405" w:type="dxa"/>
                  <w:vMerge w:val="continue"/>
                  <w:noWrap w:val="0"/>
                  <w:vAlign w:val="center"/>
                </w:tcPr>
                <w:p w14:paraId="77988B4A">
                  <w:pPr>
                    <w:pStyle w:val="7"/>
                    <w:ind w:firstLine="0" w:firstLineChars="0"/>
                    <w:jc w:val="center"/>
                    <w:rPr>
                      <w:u w:val="single" w:color="auto"/>
                    </w:rPr>
                  </w:pPr>
                </w:p>
              </w:tc>
              <w:tc>
                <w:tcPr>
                  <w:tcW w:w="645" w:type="dxa"/>
                  <w:vMerge w:val="restart"/>
                  <w:noWrap w:val="0"/>
                  <w:vAlign w:val="center"/>
                </w:tcPr>
                <w:p w14:paraId="016878BE">
                  <w:pPr>
                    <w:pStyle w:val="7"/>
                    <w:ind w:firstLine="0" w:firstLineChars="0"/>
                    <w:jc w:val="center"/>
                    <w:rPr>
                      <w:u w:val="single" w:color="auto"/>
                    </w:rPr>
                  </w:pPr>
                  <w:r>
                    <w:rPr>
                      <w:rFonts w:hint="eastAsia"/>
                      <w:spacing w:val="0"/>
                      <w:sz w:val="21"/>
                      <w:szCs w:val="21"/>
                      <w:u w:val="single" w:color="auto"/>
                      <w:lang w:val="en-US" w:eastAsia="zh-CN"/>
                    </w:rPr>
                    <w:t>颗粒物</w:t>
                  </w:r>
                </w:p>
              </w:tc>
              <w:tc>
                <w:tcPr>
                  <w:tcW w:w="855" w:type="dxa"/>
                  <w:vMerge w:val="restart"/>
                  <w:noWrap w:val="0"/>
                  <w:vAlign w:val="center"/>
                </w:tcPr>
                <w:p w14:paraId="3FC89624">
                  <w:pPr>
                    <w:pStyle w:val="7"/>
                    <w:ind w:firstLine="0" w:firstLineChars="0"/>
                    <w:jc w:val="center"/>
                    <w:rPr>
                      <w:u w:val="single" w:color="auto"/>
                    </w:rPr>
                  </w:pPr>
                  <w:r>
                    <w:rPr>
                      <w:rFonts w:hint="eastAsia" w:eastAsia="宋体"/>
                      <w:spacing w:val="0"/>
                      <w:sz w:val="21"/>
                      <w:szCs w:val="21"/>
                      <w:u w:val="single" w:color="auto"/>
                    </w:rPr>
                    <w:t>千克/吨-产品</w:t>
                  </w:r>
                </w:p>
              </w:tc>
              <w:tc>
                <w:tcPr>
                  <w:tcW w:w="780" w:type="dxa"/>
                  <w:vMerge w:val="restart"/>
                  <w:noWrap w:val="0"/>
                  <w:vAlign w:val="center"/>
                </w:tcPr>
                <w:p w14:paraId="16FA7B40">
                  <w:pPr>
                    <w:pStyle w:val="7"/>
                    <w:ind w:firstLine="0" w:firstLineChars="0"/>
                    <w:jc w:val="center"/>
                    <w:rPr>
                      <w:u w:val="single" w:color="auto"/>
                    </w:rPr>
                  </w:pPr>
                  <w:r>
                    <w:rPr>
                      <w:rFonts w:hint="eastAsia"/>
                      <w:spacing w:val="0"/>
                      <w:sz w:val="21"/>
                      <w:szCs w:val="21"/>
                      <w:u w:val="single" w:color="auto"/>
                      <w:lang w:val="en-US" w:eastAsia="zh-CN"/>
                    </w:rPr>
                    <w:t>8.40</w:t>
                  </w:r>
                </w:p>
              </w:tc>
              <w:tc>
                <w:tcPr>
                  <w:tcW w:w="855" w:type="dxa"/>
                  <w:noWrap w:val="0"/>
                  <w:vAlign w:val="center"/>
                </w:tcPr>
                <w:p w14:paraId="15FE3156">
                  <w:pPr>
                    <w:pStyle w:val="7"/>
                    <w:ind w:firstLine="0" w:firstLineChars="0"/>
                    <w:jc w:val="center"/>
                    <w:rPr>
                      <w:rFonts w:hint="eastAsia" w:eastAsia="宋体"/>
                      <w:spacing w:val="0"/>
                      <w:sz w:val="21"/>
                      <w:szCs w:val="21"/>
                      <w:u w:val="single" w:color="auto"/>
                    </w:rPr>
                  </w:pPr>
                  <w:r>
                    <w:rPr>
                      <w:rFonts w:hint="eastAsia" w:eastAsia="宋体"/>
                      <w:spacing w:val="0"/>
                      <w:sz w:val="21"/>
                      <w:szCs w:val="21"/>
                      <w:u w:val="single" w:color="auto"/>
                    </w:rPr>
                    <w:t>旋风+布袋</w:t>
                  </w:r>
                </w:p>
              </w:tc>
              <w:tc>
                <w:tcPr>
                  <w:tcW w:w="1110" w:type="dxa"/>
                  <w:noWrap w:val="0"/>
                  <w:vAlign w:val="center"/>
                </w:tcPr>
                <w:p w14:paraId="0764B3B8">
                  <w:pPr>
                    <w:pStyle w:val="7"/>
                    <w:ind w:firstLine="0" w:firstLineChars="0"/>
                    <w:jc w:val="center"/>
                    <w:rPr>
                      <w:rFonts w:hint="eastAsia"/>
                      <w:spacing w:val="0"/>
                      <w:sz w:val="21"/>
                      <w:szCs w:val="21"/>
                      <w:u w:val="single" w:color="auto"/>
                      <w:lang w:val="en-US" w:eastAsia="zh-CN"/>
                    </w:rPr>
                  </w:pPr>
                  <w:r>
                    <w:rPr>
                      <w:rFonts w:hint="eastAsia"/>
                      <w:spacing w:val="0"/>
                      <w:sz w:val="21"/>
                      <w:szCs w:val="21"/>
                      <w:u w:val="single" w:color="auto"/>
                      <w:lang w:val="en-US" w:eastAsia="zh-CN"/>
                    </w:rPr>
                    <w:t>99.2</w:t>
                  </w:r>
                </w:p>
              </w:tc>
            </w:tr>
            <w:tr w14:paraId="52D28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734" w:type="dxa"/>
                  <w:vMerge w:val="continue"/>
                  <w:noWrap w:val="0"/>
                  <w:vAlign w:val="center"/>
                </w:tcPr>
                <w:p w14:paraId="3ECACFD6">
                  <w:pPr>
                    <w:pStyle w:val="7"/>
                    <w:ind w:firstLine="0" w:firstLineChars="0"/>
                    <w:jc w:val="center"/>
                    <w:rPr>
                      <w:u w:val="single" w:color="auto"/>
                    </w:rPr>
                  </w:pPr>
                </w:p>
              </w:tc>
              <w:tc>
                <w:tcPr>
                  <w:tcW w:w="1065" w:type="dxa"/>
                  <w:vMerge w:val="continue"/>
                  <w:noWrap w:val="0"/>
                  <w:vAlign w:val="center"/>
                </w:tcPr>
                <w:p w14:paraId="24663956">
                  <w:pPr>
                    <w:pStyle w:val="7"/>
                    <w:ind w:firstLine="0" w:firstLineChars="0"/>
                    <w:jc w:val="center"/>
                    <w:rPr>
                      <w:u w:val="single" w:color="auto"/>
                    </w:rPr>
                  </w:pPr>
                </w:p>
              </w:tc>
              <w:tc>
                <w:tcPr>
                  <w:tcW w:w="660" w:type="dxa"/>
                  <w:vMerge w:val="continue"/>
                  <w:noWrap w:val="0"/>
                  <w:vAlign w:val="center"/>
                </w:tcPr>
                <w:p w14:paraId="69CADA58">
                  <w:pPr>
                    <w:pStyle w:val="7"/>
                    <w:ind w:firstLine="0" w:firstLineChars="0"/>
                    <w:jc w:val="center"/>
                    <w:rPr>
                      <w:u w:val="single" w:color="auto"/>
                    </w:rPr>
                  </w:pPr>
                </w:p>
              </w:tc>
              <w:tc>
                <w:tcPr>
                  <w:tcW w:w="720" w:type="dxa"/>
                  <w:vMerge w:val="continue"/>
                  <w:noWrap w:val="0"/>
                  <w:vAlign w:val="center"/>
                </w:tcPr>
                <w:p w14:paraId="5CA8D0DC">
                  <w:pPr>
                    <w:pStyle w:val="7"/>
                    <w:ind w:firstLine="0" w:firstLineChars="0"/>
                    <w:jc w:val="center"/>
                    <w:rPr>
                      <w:u w:val="single" w:color="auto"/>
                    </w:rPr>
                  </w:pPr>
                </w:p>
              </w:tc>
              <w:tc>
                <w:tcPr>
                  <w:tcW w:w="405" w:type="dxa"/>
                  <w:vMerge w:val="continue"/>
                  <w:noWrap w:val="0"/>
                  <w:vAlign w:val="center"/>
                </w:tcPr>
                <w:p w14:paraId="2DE57CA0">
                  <w:pPr>
                    <w:pStyle w:val="7"/>
                    <w:ind w:firstLine="0" w:firstLineChars="0"/>
                    <w:jc w:val="center"/>
                    <w:rPr>
                      <w:u w:val="single" w:color="auto"/>
                    </w:rPr>
                  </w:pPr>
                </w:p>
              </w:tc>
              <w:tc>
                <w:tcPr>
                  <w:tcW w:w="645" w:type="dxa"/>
                  <w:vMerge w:val="continue"/>
                  <w:noWrap w:val="0"/>
                  <w:vAlign w:val="center"/>
                </w:tcPr>
                <w:p w14:paraId="4D524E36">
                  <w:pPr>
                    <w:pStyle w:val="7"/>
                    <w:ind w:firstLine="0" w:firstLineChars="0"/>
                    <w:jc w:val="center"/>
                    <w:rPr>
                      <w:u w:val="single" w:color="auto"/>
                    </w:rPr>
                  </w:pPr>
                </w:p>
              </w:tc>
              <w:tc>
                <w:tcPr>
                  <w:tcW w:w="855" w:type="dxa"/>
                  <w:vMerge w:val="continue"/>
                  <w:noWrap w:val="0"/>
                  <w:vAlign w:val="center"/>
                </w:tcPr>
                <w:p w14:paraId="3E1634A8">
                  <w:pPr>
                    <w:pStyle w:val="7"/>
                    <w:ind w:firstLine="0" w:firstLineChars="0"/>
                    <w:jc w:val="center"/>
                    <w:rPr>
                      <w:u w:val="single" w:color="auto"/>
                    </w:rPr>
                  </w:pPr>
                </w:p>
              </w:tc>
              <w:tc>
                <w:tcPr>
                  <w:tcW w:w="780" w:type="dxa"/>
                  <w:vMerge w:val="continue"/>
                  <w:noWrap w:val="0"/>
                  <w:vAlign w:val="center"/>
                </w:tcPr>
                <w:p w14:paraId="2DDF0561">
                  <w:pPr>
                    <w:pStyle w:val="7"/>
                    <w:ind w:firstLine="0" w:firstLineChars="0"/>
                    <w:jc w:val="center"/>
                    <w:rPr>
                      <w:u w:val="single" w:color="auto"/>
                    </w:rPr>
                  </w:pPr>
                </w:p>
              </w:tc>
              <w:tc>
                <w:tcPr>
                  <w:tcW w:w="855" w:type="dxa"/>
                  <w:noWrap w:val="0"/>
                  <w:vAlign w:val="center"/>
                </w:tcPr>
                <w:p w14:paraId="1C26A0DE">
                  <w:pPr>
                    <w:pStyle w:val="7"/>
                    <w:ind w:firstLine="0" w:firstLineChars="0"/>
                    <w:jc w:val="center"/>
                    <w:rPr>
                      <w:rFonts w:hint="eastAsia" w:eastAsia="宋体"/>
                      <w:spacing w:val="0"/>
                      <w:sz w:val="21"/>
                      <w:szCs w:val="21"/>
                      <w:u w:val="single" w:color="auto"/>
                    </w:rPr>
                  </w:pPr>
                  <w:r>
                    <w:rPr>
                      <w:rFonts w:hint="eastAsia" w:eastAsia="宋体"/>
                      <w:spacing w:val="0"/>
                      <w:sz w:val="21"/>
                      <w:szCs w:val="21"/>
                      <w:u w:val="single" w:color="auto"/>
                    </w:rPr>
                    <w:t>袋式除尘</w:t>
                  </w:r>
                </w:p>
              </w:tc>
              <w:tc>
                <w:tcPr>
                  <w:tcW w:w="1110" w:type="dxa"/>
                  <w:noWrap w:val="0"/>
                  <w:vAlign w:val="center"/>
                </w:tcPr>
                <w:p w14:paraId="167BFBC3">
                  <w:pPr>
                    <w:pStyle w:val="7"/>
                    <w:ind w:firstLine="0" w:firstLineChars="0"/>
                    <w:jc w:val="center"/>
                    <w:rPr>
                      <w:rFonts w:hint="eastAsia"/>
                      <w:spacing w:val="0"/>
                      <w:sz w:val="21"/>
                      <w:szCs w:val="21"/>
                      <w:u w:val="single" w:color="auto"/>
                      <w:lang w:val="en-US" w:eastAsia="zh-CN"/>
                    </w:rPr>
                  </w:pPr>
                  <w:r>
                    <w:rPr>
                      <w:rFonts w:hint="eastAsia"/>
                      <w:spacing w:val="0"/>
                      <w:sz w:val="21"/>
                      <w:szCs w:val="21"/>
                      <w:u w:val="single" w:color="auto"/>
                      <w:lang w:val="en-US" w:eastAsia="zh-CN"/>
                    </w:rPr>
                    <w:t>99</w:t>
                  </w:r>
                </w:p>
              </w:tc>
            </w:tr>
          </w:tbl>
          <w:p w14:paraId="425AB457">
            <w:pPr>
              <w:pStyle w:val="22"/>
              <w:bidi w:val="0"/>
              <w:ind w:left="0" w:leftChars="0" w:firstLine="0" w:firstLineChars="0"/>
              <w:jc w:val="left"/>
              <w:rPr>
                <w:rFonts w:hint="eastAsia"/>
                <w:color w:val="auto"/>
                <w:u w:val="single"/>
                <w:lang w:val="en-US" w:eastAsia="zh-CN"/>
              </w:rPr>
            </w:pPr>
            <w:r>
              <w:rPr>
                <w:rFonts w:hint="eastAsia"/>
                <w:color w:val="auto"/>
                <w:u w:val="single" w:color="auto"/>
                <w:lang w:val="en-US" w:eastAsia="zh-CN"/>
              </w:rPr>
              <w:t>根据上表中的产污系数，本项目每年生产2万吨复合肥料，产生的</w:t>
            </w:r>
            <w:r>
              <w:rPr>
                <w:rFonts w:hint="eastAsia" w:eastAsia="宋体"/>
                <w:color w:val="auto"/>
                <w:u w:val="single" w:color="auto"/>
                <w:lang w:val="en-US" w:eastAsia="zh-CN"/>
              </w:rPr>
              <w:t>粉尘量为</w:t>
            </w:r>
            <w:r>
              <w:rPr>
                <w:rFonts w:hint="eastAsia"/>
                <w:color w:val="auto"/>
                <w:u w:val="single" w:color="auto"/>
                <w:lang w:val="en-US" w:eastAsia="zh-CN"/>
              </w:rPr>
              <w:t>202</w:t>
            </w:r>
            <w:r>
              <w:rPr>
                <w:rFonts w:hint="eastAsia" w:eastAsia="宋体"/>
                <w:color w:val="auto"/>
                <w:u w:val="single" w:color="auto"/>
                <w:lang w:val="en-US" w:eastAsia="zh-CN"/>
              </w:rPr>
              <w:t>吨；每年生产</w:t>
            </w:r>
            <w:r>
              <w:rPr>
                <w:rFonts w:hint="eastAsia"/>
                <w:color w:val="auto"/>
                <w:u w:val="single" w:color="auto"/>
                <w:lang w:val="en-US" w:eastAsia="zh-CN"/>
              </w:rPr>
              <w:t>3万吨掺混肥料，产生的粉尘量为252吨；粉尘量合计454吨。</w:t>
            </w:r>
            <w:r>
              <w:rPr>
                <w:rFonts w:hint="eastAsia"/>
                <w:color w:val="auto"/>
                <w:u w:val="single"/>
                <w:lang w:val="en-US" w:eastAsia="zh-CN"/>
              </w:rPr>
              <w:t>为有效避免原料的损失和粉尘的排放，本项目生产车间采取全封闭措施。造粒、</w:t>
            </w:r>
            <w:r>
              <w:rPr>
                <w:rFonts w:hint="eastAsia" w:ascii="宋体" w:hAnsi="宋体" w:eastAsia="宋体" w:cs="宋体"/>
                <w:bCs/>
                <w:color w:val="auto"/>
                <w:spacing w:val="0"/>
                <w:sz w:val="24"/>
                <w:szCs w:val="24"/>
                <w:u w:val="single"/>
              </w:rPr>
              <w:t>烘干</w:t>
            </w:r>
            <w:r>
              <w:rPr>
                <w:rFonts w:hint="eastAsia" w:ascii="宋体" w:hAnsi="宋体" w:cs="宋体"/>
                <w:bCs/>
                <w:color w:val="auto"/>
                <w:spacing w:val="0"/>
                <w:sz w:val="24"/>
                <w:szCs w:val="24"/>
                <w:u w:val="single"/>
                <w:lang w:eastAsia="zh-CN"/>
              </w:rPr>
              <w:t>、</w:t>
            </w:r>
            <w:r>
              <w:rPr>
                <w:rFonts w:hint="eastAsia" w:ascii="宋体" w:hAnsi="宋体" w:cs="宋体"/>
                <w:bCs/>
                <w:color w:val="auto"/>
                <w:spacing w:val="0"/>
                <w:sz w:val="24"/>
                <w:szCs w:val="24"/>
                <w:u w:val="single"/>
                <w:lang w:val="en-US" w:eastAsia="zh-CN"/>
              </w:rPr>
              <w:t>冷却工序</w:t>
            </w:r>
            <w:r>
              <w:rPr>
                <w:rFonts w:hint="eastAsia" w:ascii="宋体" w:hAnsi="宋体" w:eastAsia="宋体" w:cs="宋体"/>
                <w:bCs/>
                <w:color w:val="auto"/>
                <w:spacing w:val="0"/>
                <w:sz w:val="24"/>
                <w:szCs w:val="24"/>
                <w:u w:val="single"/>
              </w:rPr>
              <w:t>尾</w:t>
            </w:r>
            <w:r>
              <w:rPr>
                <w:rFonts w:hint="eastAsia" w:ascii="宋体" w:hAnsi="宋体" w:cs="宋体"/>
                <w:bCs/>
                <w:color w:val="auto"/>
                <w:spacing w:val="0"/>
                <w:sz w:val="24"/>
                <w:szCs w:val="24"/>
                <w:u w:val="single"/>
                <w:lang w:val="en-US" w:eastAsia="zh-CN"/>
              </w:rPr>
              <w:t>气出口焊接风道管，由</w:t>
            </w:r>
            <w:r>
              <w:rPr>
                <w:rFonts w:hint="eastAsia" w:ascii="宋体" w:hAnsi="宋体" w:eastAsia="宋体" w:cs="宋体"/>
                <w:bCs/>
                <w:color w:val="auto"/>
                <w:spacing w:val="0"/>
                <w:sz w:val="24"/>
                <w:szCs w:val="24"/>
                <w:u w:val="single"/>
              </w:rPr>
              <w:t>引风机</w:t>
            </w:r>
            <w:r>
              <w:rPr>
                <w:rFonts w:hint="eastAsia" w:ascii="宋体" w:hAnsi="宋体" w:cs="宋体"/>
                <w:bCs/>
                <w:color w:val="auto"/>
                <w:spacing w:val="0"/>
                <w:sz w:val="24"/>
                <w:szCs w:val="24"/>
                <w:u w:val="single"/>
                <w:lang w:val="en-US" w:eastAsia="zh-CN"/>
              </w:rPr>
              <w:t>收集后经</w:t>
            </w:r>
            <w:r>
              <w:rPr>
                <w:rFonts w:hint="eastAsia"/>
                <w:color w:val="auto"/>
                <w:u w:val="single"/>
                <w:lang w:val="en-US" w:eastAsia="zh-CN"/>
              </w:rPr>
              <w:t>旋风除尘器＋布袋除尘＋喷淋处理；搅拌、破碎和筛分工序产生的废气由引风机负压收集，收集效率按90%计，收集后一同密闭接入旋风除尘器＋布袋除尘＋喷淋处理。废气经处理后通过管道由车间西侧15m高的排气筒（DA001）排放。</w:t>
            </w:r>
          </w:p>
          <w:p w14:paraId="42C8BE65">
            <w:pPr>
              <w:pStyle w:val="22"/>
              <w:bidi w:val="0"/>
              <w:ind w:left="0" w:leftChars="0" w:firstLine="480" w:firstLineChars="200"/>
              <w:jc w:val="left"/>
              <w:rPr>
                <w:rFonts w:hint="default"/>
                <w:color w:val="4874CB" w:themeColor="accent1"/>
                <w:u w:val="single"/>
                <w:lang w:val="en-US" w:eastAsia="zh-CN"/>
                <w14:textFill>
                  <w14:solidFill>
                    <w14:schemeClr w14:val="accent1"/>
                  </w14:solidFill>
                </w14:textFill>
              </w:rPr>
            </w:pPr>
            <w:r>
              <w:rPr>
                <w:rFonts w:hint="eastAsia"/>
                <w:color w:val="auto"/>
                <w:u w:val="single"/>
                <w:lang w:val="en-US" w:eastAsia="zh-CN"/>
              </w:rPr>
              <w:t>颗粒物处理效率为99.2%，故经处理后复合肥生产有组织排放的粉尘量约为1.45t/a；掺混肥生产有组织排放的粉尘量约为1.81t/a，废气处理系统收集的粉尘量为405.33t/a。无组织粉尘产生量为45.4t/a，大部分在密闭厂房内沉降，沉降效率按70%计，则项目无组织粉尘排放量为13.62t/a。</w:t>
            </w:r>
          </w:p>
          <w:p w14:paraId="26737BD1">
            <w:pPr>
              <w:pStyle w:val="22"/>
              <w:bidi w:val="0"/>
              <w:ind w:left="0" w:leftChars="0" w:firstLine="480" w:firstLineChars="200"/>
              <w:jc w:val="left"/>
              <w:rPr>
                <w:rFonts w:hint="eastAsia"/>
                <w:color w:val="4874CB" w:themeColor="accent1"/>
                <w:u w:val="single"/>
                <w:lang w:val="en-US" w:eastAsia="zh-CN"/>
                <w14:textFill>
                  <w14:solidFill>
                    <w14:schemeClr w14:val="accent1"/>
                  </w14:solidFill>
                </w14:textFill>
              </w:rPr>
            </w:pPr>
            <w:r>
              <w:rPr>
                <w:rFonts w:hint="eastAsia"/>
                <w:color w:val="auto"/>
                <w:u w:val="single"/>
                <w:lang w:val="en-US" w:eastAsia="zh-CN"/>
              </w:rPr>
              <w:t>复合肥与掺混肥共用一条生产线生产，生产线年生产320天，每天8小时（其中复合肥生产4小时，掺混肥生产4小时），参照《湖南富丰肥业有限公司年产5万吨有机肥、3万吨有机无机复混肥及2万吨缓释肥技术改造项目竣工环境保护验收监测报告》中“验收监测期间，最大标杆流量为32757m</w:t>
            </w:r>
            <w:r>
              <w:rPr>
                <w:rFonts w:hint="eastAsia"/>
                <w:color w:val="auto"/>
                <w:u w:val="single"/>
                <w:vertAlign w:val="superscript"/>
                <w:lang w:val="en-US" w:eastAsia="zh-CN"/>
              </w:rPr>
              <w:t>3</w:t>
            </w:r>
            <w:r>
              <w:rPr>
                <w:rFonts w:hint="eastAsia"/>
                <w:color w:val="auto"/>
                <w:u w:val="single"/>
                <w:lang w:val="en-US" w:eastAsia="zh-CN"/>
              </w:rPr>
              <w:t>/h”，本项目规模相比之较小，风机风量设为20000标立方米每小时。则复混肥生产产生的废气量为2.56×10</w:t>
            </w:r>
            <w:r>
              <w:rPr>
                <w:rFonts w:hint="eastAsia"/>
                <w:color w:val="auto"/>
                <w:u w:val="single"/>
                <w:vertAlign w:val="superscript"/>
                <w:lang w:val="en-US" w:eastAsia="zh-CN"/>
              </w:rPr>
              <w:t>7</w:t>
            </w:r>
            <w:r>
              <w:rPr>
                <w:rFonts w:hint="eastAsia"/>
                <w:color w:val="auto"/>
                <w:u w:val="single"/>
                <w:lang w:val="en-US" w:eastAsia="zh-CN"/>
              </w:rPr>
              <w:t>，颗粒物排放浓度为56.7</w:t>
            </w:r>
            <w:r>
              <w:rPr>
                <w:rFonts w:hint="eastAsia" w:ascii="Times New Roman" w:hAnsi="Times New Roman" w:eastAsia="Times New Roman" w:cs="Times New Roman"/>
                <w:color w:val="auto"/>
                <w:kern w:val="2"/>
                <w:sz w:val="24"/>
                <w:szCs w:val="24"/>
                <w:u w:val="single"/>
                <w:lang w:val="en-US" w:eastAsia="zh-CN" w:bidi="ar-SA"/>
              </w:rPr>
              <w:t>mg/m</w:t>
            </w:r>
            <w:r>
              <w:rPr>
                <w:rFonts w:hint="eastAsia" w:ascii="Times New Roman" w:hAnsi="Times New Roman" w:eastAsia="Times New Roman" w:cs="Times New Roman"/>
                <w:color w:val="auto"/>
                <w:kern w:val="2"/>
                <w:sz w:val="24"/>
                <w:szCs w:val="24"/>
                <w:u w:val="single"/>
                <w:vertAlign w:val="superscript"/>
                <w:lang w:val="en-US" w:eastAsia="zh-CN" w:bidi="ar-SA"/>
              </w:rPr>
              <w:t>3</w:t>
            </w:r>
            <w:r>
              <w:rPr>
                <w:rFonts w:hint="eastAsia"/>
                <w:color w:val="auto"/>
                <w:u w:val="single"/>
                <w:lang w:val="en-US" w:eastAsia="zh-CN"/>
              </w:rPr>
              <w:t>；掺混肥生产产生的废气量为2.56×10</w:t>
            </w:r>
            <w:r>
              <w:rPr>
                <w:rFonts w:hint="eastAsia"/>
                <w:color w:val="auto"/>
                <w:u w:val="single"/>
                <w:vertAlign w:val="superscript"/>
                <w:lang w:val="en-US" w:eastAsia="zh-CN"/>
              </w:rPr>
              <w:t>7</w:t>
            </w:r>
            <w:r>
              <w:rPr>
                <w:rFonts w:hint="eastAsia"/>
                <w:color w:val="auto"/>
                <w:u w:val="single"/>
                <w:lang w:val="en-US" w:eastAsia="zh-CN"/>
              </w:rPr>
              <w:t>，颗粒物排放浓度为70.7</w:t>
            </w:r>
            <w:r>
              <w:rPr>
                <w:rFonts w:hint="eastAsia" w:ascii="Times New Roman" w:hAnsi="Times New Roman" w:eastAsia="Times New Roman" w:cs="Times New Roman"/>
                <w:color w:val="auto"/>
                <w:kern w:val="2"/>
                <w:sz w:val="24"/>
                <w:szCs w:val="24"/>
                <w:u w:val="single"/>
                <w:lang w:val="en-US" w:eastAsia="zh-CN" w:bidi="ar-SA"/>
              </w:rPr>
              <w:t>mg/m</w:t>
            </w:r>
            <w:r>
              <w:rPr>
                <w:rFonts w:hint="eastAsia" w:ascii="Times New Roman" w:hAnsi="Times New Roman" w:eastAsia="Times New Roman" w:cs="Times New Roman"/>
                <w:color w:val="auto"/>
                <w:kern w:val="2"/>
                <w:sz w:val="24"/>
                <w:szCs w:val="24"/>
                <w:u w:val="single"/>
                <w:vertAlign w:val="superscript"/>
                <w:lang w:val="en-US" w:eastAsia="zh-CN" w:bidi="ar-SA"/>
              </w:rPr>
              <w:t>3</w:t>
            </w:r>
            <w:r>
              <w:rPr>
                <w:rFonts w:hint="eastAsia"/>
                <w:color w:val="auto"/>
                <w:u w:val="single"/>
                <w:lang w:val="en-US" w:eastAsia="zh-CN"/>
              </w:rPr>
              <w:t>。</w:t>
            </w:r>
          </w:p>
          <w:p w14:paraId="04FB2D1D">
            <w:pPr>
              <w:pStyle w:val="22"/>
              <w:bidi w:val="0"/>
              <w:rPr>
                <w:rFonts w:hint="default"/>
                <w:color w:val="auto"/>
                <w:u w:val="single"/>
                <w:lang w:val="en-US" w:eastAsia="zh-CN"/>
              </w:rPr>
            </w:pPr>
            <w:r>
              <w:rPr>
                <w:rFonts w:hint="eastAsia"/>
                <w:color w:val="auto"/>
                <w:u w:val="single"/>
                <w:lang w:val="en-US" w:eastAsia="zh-CN"/>
              </w:rPr>
              <w:t>（2）氨气和氯化氢</w:t>
            </w:r>
          </w:p>
          <w:p w14:paraId="1B03FD58">
            <w:pPr>
              <w:pStyle w:val="22"/>
              <w:bidi w:val="0"/>
              <w:rPr>
                <w:rFonts w:hint="eastAsia" w:ascii="宋体" w:hAnsi="宋体" w:cs="宋体"/>
                <w:sz w:val="24"/>
                <w:u w:val="single"/>
              </w:rPr>
            </w:pPr>
            <w:r>
              <w:rPr>
                <w:rFonts w:hint="eastAsia"/>
                <w:color w:val="auto"/>
                <w:u w:val="single"/>
                <w:lang w:val="en-US" w:eastAsia="zh-CN"/>
              </w:rPr>
              <w:t xml:space="preserve">尿素加热至160℃分解，产生氨气同时变为异氰酸。氯化铵在100℃时开始分解，337.8℃时完全分解为氨气与氯化氢气体，遇冷后又重新生成颗粒极小的氯化铵。 </w:t>
            </w:r>
            <w:r>
              <w:rPr>
                <w:rFonts w:hint="eastAsia" w:ascii="宋体" w:hAnsi="宋体" w:cs="宋体"/>
                <w:sz w:val="24"/>
                <w:u w:val="single"/>
              </w:rPr>
              <w:t>复混肥</w:t>
            </w:r>
            <w:r>
              <w:rPr>
                <w:rFonts w:hint="eastAsia" w:ascii="宋体" w:hAnsi="宋体" w:cs="宋体"/>
                <w:sz w:val="24"/>
                <w:u w:val="single"/>
                <w:lang w:val="en-US" w:eastAsia="zh-CN"/>
              </w:rPr>
              <w:t>烘干</w:t>
            </w:r>
            <w:r>
              <w:rPr>
                <w:rFonts w:hint="eastAsia" w:ascii="宋体" w:hAnsi="宋体" w:cs="宋体"/>
                <w:sz w:val="24"/>
                <w:u w:val="single"/>
              </w:rPr>
              <w:t>过程中干燥机进口温度约为</w:t>
            </w:r>
            <w:r>
              <w:rPr>
                <w:rFonts w:ascii="宋体" w:hAnsi="宋体" w:cs="宋体"/>
                <w:sz w:val="24"/>
                <w:u w:val="single"/>
              </w:rPr>
              <w:t>100</w:t>
            </w:r>
            <w:r>
              <w:rPr>
                <w:rFonts w:hint="eastAsia" w:ascii="宋体" w:hAnsi="宋体" w:cs="宋体"/>
                <w:sz w:val="24"/>
                <w:u w:val="single"/>
              </w:rPr>
              <w:t>℃，出口温度约为7</w:t>
            </w:r>
            <w:r>
              <w:rPr>
                <w:rFonts w:ascii="宋体" w:hAnsi="宋体" w:cs="宋体"/>
                <w:sz w:val="24"/>
                <w:u w:val="single"/>
              </w:rPr>
              <w:t>0</w:t>
            </w:r>
            <w:r>
              <w:rPr>
                <w:rFonts w:hint="eastAsia" w:ascii="宋体" w:hAnsi="宋体" w:cs="宋体"/>
                <w:sz w:val="24"/>
                <w:u w:val="single"/>
              </w:rPr>
              <w:t>℃。因此</w:t>
            </w:r>
            <w:r>
              <w:rPr>
                <w:rFonts w:hint="eastAsia" w:ascii="宋体" w:hAnsi="宋体" w:cs="宋体"/>
                <w:sz w:val="24"/>
                <w:u w:val="single"/>
                <w:lang w:val="en-US" w:eastAsia="zh-CN"/>
              </w:rPr>
              <w:t>在复混肥生产中</w:t>
            </w:r>
            <w:r>
              <w:rPr>
                <w:rFonts w:hint="eastAsia" w:ascii="宋体" w:hAnsi="宋体" w:cs="宋体"/>
                <w:sz w:val="24"/>
                <w:u w:val="single"/>
              </w:rPr>
              <w:t>尿素与氯化铵及磷酸一铵仅</w:t>
            </w:r>
            <w:r>
              <w:rPr>
                <w:rFonts w:hint="eastAsia" w:ascii="宋体" w:hAnsi="宋体" w:cs="宋体"/>
                <w:sz w:val="24"/>
                <w:u w:val="single"/>
                <w:lang w:val="en-US" w:eastAsia="zh-CN"/>
              </w:rPr>
              <w:t>产生</w:t>
            </w:r>
            <w:r>
              <w:rPr>
                <w:rFonts w:hint="eastAsia" w:ascii="宋体" w:hAnsi="宋体" w:cs="宋体"/>
                <w:sz w:val="24"/>
                <w:u w:val="single"/>
              </w:rPr>
              <w:t>少量分解。</w:t>
            </w:r>
            <w:r>
              <w:rPr>
                <w:rFonts w:hint="eastAsia"/>
                <w:color w:val="auto"/>
                <w:u w:val="single"/>
                <w:lang w:val="en-US" w:eastAsia="zh-CN"/>
              </w:rPr>
              <w:t>建设单位拟对生产车间采取全封闭，造粒、烘干、冷却工序尾气出口焊接风道管，由引风机收集后经旋风除尘器＋布袋除尘＋喷淋处理，氨气和氯化氢的收集效率约为95%，处理后通过管道经15m高的排气筒（DA002）排放。</w:t>
            </w:r>
          </w:p>
          <w:p w14:paraId="2CA2C192">
            <w:pPr>
              <w:pStyle w:val="22"/>
              <w:bidi w:val="0"/>
              <w:rPr>
                <w:rFonts w:hint="eastAsia"/>
                <w:color w:val="auto"/>
                <w:u w:val="single"/>
                <w:lang w:val="en-US" w:eastAsia="zh-CN"/>
              </w:rPr>
            </w:pPr>
            <w:r>
              <w:rPr>
                <w:rFonts w:hint="eastAsia" w:ascii="宋体" w:hAnsi="宋体" w:cs="宋体"/>
                <w:sz w:val="24"/>
                <w:u w:val="single"/>
              </w:rPr>
              <w:t>本环评</w:t>
            </w:r>
            <w:r>
              <w:rPr>
                <w:rFonts w:hint="eastAsia"/>
                <w:color w:val="auto"/>
                <w:u w:val="single"/>
                <w:lang w:val="en-US" w:eastAsia="zh-CN"/>
              </w:rPr>
              <w:t>氨气和氯化氢</w:t>
            </w:r>
            <w:r>
              <w:rPr>
                <w:rFonts w:hint="eastAsia" w:ascii="宋体" w:hAnsi="宋体" w:cs="宋体"/>
                <w:sz w:val="24"/>
                <w:u w:val="single"/>
                <w:lang w:val="en-US" w:eastAsia="zh-CN"/>
              </w:rPr>
              <w:t>产生量及处理效率</w:t>
            </w:r>
            <w:r>
              <w:rPr>
                <w:rFonts w:hint="eastAsia" w:ascii="宋体" w:hAnsi="宋体" w:cs="宋体"/>
                <w:sz w:val="24"/>
                <w:u w:val="single"/>
              </w:rPr>
              <w:t>参照《</w:t>
            </w:r>
            <w:r>
              <w:rPr>
                <w:rFonts w:hint="eastAsia"/>
                <w:sz w:val="24"/>
                <w:szCs w:val="22"/>
                <w:u w:val="single"/>
                <w:lang w:bidi="ar"/>
              </w:rPr>
              <w:t>湖南富丰肥业有限公司年产5万吨有机肥、3万吨有机无机复混肥及2万吨缓释肥技术改造项目竣工环境保护验收监测报告</w:t>
            </w:r>
            <w:r>
              <w:rPr>
                <w:rFonts w:hint="eastAsia" w:ascii="宋体" w:hAnsi="宋体" w:cs="宋体"/>
                <w:sz w:val="24"/>
                <w:u w:val="single"/>
              </w:rPr>
              <w:t>》，</w:t>
            </w:r>
            <w:r>
              <w:rPr>
                <w:rFonts w:hint="eastAsia" w:ascii="宋体" w:hAnsi="宋体" w:cs="宋体"/>
                <w:sz w:val="24"/>
                <w:u w:val="single"/>
                <w:lang w:val="en-US" w:eastAsia="zh-CN"/>
              </w:rPr>
              <w:t>引用报告中的项目与本项目采用相同的复混肥生产工艺，</w:t>
            </w:r>
            <w:r>
              <w:rPr>
                <w:rFonts w:hint="eastAsia"/>
                <w:color w:val="auto"/>
                <w:u w:val="single"/>
                <w:lang w:val="en-US" w:eastAsia="zh-CN"/>
              </w:rPr>
              <w:t>氨气和氯化氢同样采用喷淋处理及有组织排放（引用项目仅复混肥生产废气采用有组织排放），具有参考性。本次引用其数据“验收监测期间，氨排放速率最大值为0.038 kg/h，氯化氢最大浓度低于可检测值0.01mg/m</w:t>
            </w:r>
            <w:r>
              <w:rPr>
                <w:rFonts w:hint="eastAsia"/>
                <w:color w:val="auto"/>
                <w:u w:val="single"/>
                <w:vertAlign w:val="superscript"/>
                <w:lang w:val="en-US" w:eastAsia="zh-CN"/>
              </w:rPr>
              <w:t>3</w:t>
            </w:r>
            <w:r>
              <w:rPr>
                <w:rFonts w:hint="eastAsia"/>
                <w:color w:val="auto"/>
                <w:u w:val="single"/>
                <w:lang w:val="en-US" w:eastAsia="zh-CN"/>
              </w:rPr>
              <w:t>取浓度为0.01mg/m</w:t>
            </w:r>
            <w:r>
              <w:rPr>
                <w:rFonts w:hint="eastAsia"/>
                <w:color w:val="auto"/>
                <w:u w:val="single"/>
                <w:vertAlign w:val="superscript"/>
                <w:lang w:val="en-US" w:eastAsia="zh-CN"/>
              </w:rPr>
              <w:t>3</w:t>
            </w:r>
            <w:r>
              <w:rPr>
                <w:rFonts w:hint="eastAsia"/>
                <w:color w:val="auto"/>
                <w:u w:val="single"/>
                <w:lang w:val="en-US" w:eastAsia="zh-CN"/>
              </w:rPr>
              <w:t>，由于最大标杆流量为32757m</w:t>
            </w:r>
            <w:r>
              <w:rPr>
                <w:rFonts w:hint="eastAsia"/>
                <w:color w:val="auto"/>
                <w:u w:val="single"/>
                <w:vertAlign w:val="superscript"/>
                <w:lang w:val="en-US" w:eastAsia="zh-CN"/>
              </w:rPr>
              <w:t>3</w:t>
            </w:r>
            <w:r>
              <w:rPr>
                <w:rFonts w:hint="eastAsia"/>
                <w:color w:val="auto"/>
                <w:u w:val="single"/>
                <w:lang w:val="en-US" w:eastAsia="zh-CN"/>
              </w:rPr>
              <w:t>/h，可知排放速率最大值为0.0003 kg/h。”，“</w:t>
            </w:r>
            <w:r>
              <w:rPr>
                <w:sz w:val="24"/>
                <w:highlight w:val="none"/>
                <w:u w:val="single"/>
                <w:lang w:val="zh-CN"/>
              </w:rPr>
              <w:t>验收监测期</w:t>
            </w:r>
            <w:r>
              <w:rPr>
                <w:rFonts w:hint="eastAsia"/>
                <w:sz w:val="24"/>
                <w:highlight w:val="none"/>
                <w:u w:val="single"/>
                <w:lang w:val="zh-CN"/>
              </w:rPr>
              <w:t>，</w:t>
            </w:r>
            <w:r>
              <w:rPr>
                <w:rFonts w:hint="eastAsia"/>
                <w:sz w:val="24"/>
                <w:highlight w:val="none"/>
                <w:u w:val="single"/>
                <w:lang w:val="en-US" w:eastAsia="zh-CN"/>
              </w:rPr>
              <w:t>18号（最大排放速率出现的日期）项目在生产线</w:t>
            </w:r>
            <w:r>
              <w:rPr>
                <w:rFonts w:hint="eastAsia" w:ascii="Times New Roman" w:hAnsi="Times New Roman" w:eastAsia="宋体" w:cs="Times New Roman"/>
                <w:sz w:val="24"/>
                <w:highlight w:val="none"/>
                <w:u w:val="single"/>
                <w:lang w:val="en-US" w:eastAsia="zh-CN"/>
              </w:rPr>
              <w:t>80%负荷下进行”</w:t>
            </w:r>
            <w:r>
              <w:rPr>
                <w:rFonts w:hint="eastAsia"/>
                <w:color w:val="auto"/>
                <w:u w:val="single"/>
                <w:lang w:val="en-US" w:eastAsia="zh-CN"/>
              </w:rPr>
              <w:t>引用项目年产复混肥3万吨，年生产300天每天8小时；</w:t>
            </w:r>
          </w:p>
          <w:p w14:paraId="7DEAB880">
            <w:pPr>
              <w:pStyle w:val="22"/>
              <w:bidi w:val="0"/>
              <w:rPr>
                <w:rFonts w:hint="default"/>
                <w:color w:val="auto"/>
                <w:u w:val="single"/>
                <w:lang w:val="en-US" w:eastAsia="zh-CN"/>
              </w:rPr>
            </w:pPr>
            <w:r>
              <w:rPr>
                <w:rFonts w:hint="eastAsia"/>
                <w:color w:val="auto"/>
                <w:u w:val="single"/>
                <w:lang w:val="en-US" w:eastAsia="zh-CN"/>
              </w:rPr>
              <w:t>本项目年产复混肥2万吨，年生产320天每天8小时，类比可得：氨的排放量约为0.076t/a，硫化氢的排放量为约0.0006t/a；氨的排放速率为0.029 kg/h，氯化氢的排放速率为0.00023kg/h。处理设施对氨气和氯化氢的洗涤效率为86%，收集效率为95%，本项目氨的产生量约为0.57t/a，氯化氢的产生量约为0.0045t/a；氨的无组织排放量约为0.028t/a，氯化氢的无组织排放量约为0.00024t/a。</w:t>
            </w:r>
          </w:p>
          <w:p w14:paraId="15AE84AF">
            <w:pPr>
              <w:pStyle w:val="22"/>
              <w:bidi w:val="0"/>
              <w:rPr>
                <w:rFonts w:hint="default"/>
                <w:color w:val="auto"/>
                <w:u w:val="single"/>
                <w:lang w:val="en-US" w:eastAsia="zh-CN"/>
              </w:rPr>
            </w:pPr>
            <w:r>
              <w:rPr>
                <w:rFonts w:hint="eastAsia"/>
                <w:color w:val="auto"/>
                <w:u w:val="single"/>
                <w:lang w:val="en-US" w:eastAsia="zh-CN"/>
              </w:rPr>
              <w:t>（3）热风炉烟气</w:t>
            </w:r>
          </w:p>
          <w:p w14:paraId="45B5EE10">
            <w:pPr>
              <w:pStyle w:val="21"/>
              <w:bidi w:val="0"/>
              <w:rPr>
                <w:rFonts w:hint="eastAsia" w:eastAsia="宋体"/>
                <w:b/>
                <w:color w:val="auto"/>
                <w:spacing w:val="0"/>
                <w:sz w:val="21"/>
                <w:szCs w:val="21"/>
                <w:u w:val="none"/>
              </w:rPr>
            </w:pPr>
            <w:r>
              <w:rPr>
                <w:rFonts w:hint="eastAsia" w:ascii="Times New Roman" w:hAnsi="Times New Roman" w:eastAsia="宋体" w:cs="Times New Roman"/>
                <w:b w:val="0"/>
                <w:color w:val="auto"/>
                <w:kern w:val="2"/>
                <w:sz w:val="24"/>
                <w:szCs w:val="24"/>
                <w:u w:val="single" w:color="auto"/>
                <w:lang w:val="en-US" w:eastAsia="zh-CN" w:bidi="ar-SA"/>
              </w:rPr>
              <w:t>本项目</w:t>
            </w:r>
            <w:r>
              <w:rPr>
                <w:rFonts w:hint="eastAsia"/>
                <w:b w:val="0"/>
                <w:bCs/>
                <w:color w:val="auto"/>
                <w:u w:val="single"/>
                <w:lang w:val="en-US" w:eastAsia="zh-CN"/>
              </w:rPr>
              <w:t>热风炉</w:t>
            </w:r>
            <w:r>
              <w:rPr>
                <w:rFonts w:hint="eastAsia" w:ascii="Times New Roman" w:hAnsi="Times New Roman" w:eastAsia="宋体" w:cs="Times New Roman"/>
                <w:b w:val="0"/>
                <w:color w:val="auto"/>
                <w:kern w:val="2"/>
                <w:sz w:val="24"/>
                <w:szCs w:val="24"/>
                <w:u w:val="single" w:color="auto"/>
                <w:lang w:val="en-US" w:eastAsia="zh-CN" w:bidi="ar-SA"/>
              </w:rPr>
              <w:t>燃料为轻质柴油（0#），根据业主提供的资料可知，本项目</w:t>
            </w:r>
            <w:r>
              <w:rPr>
                <w:rFonts w:hint="eastAsia"/>
                <w:b w:val="0"/>
                <w:bCs/>
                <w:color w:val="auto"/>
                <w:u w:val="single"/>
                <w:lang w:val="en-US" w:eastAsia="zh-CN"/>
              </w:rPr>
              <w:t>热风炉</w:t>
            </w:r>
            <w:r>
              <w:rPr>
                <w:rFonts w:hint="eastAsia" w:cs="Times New Roman"/>
                <w:b w:val="0"/>
                <w:color w:val="auto"/>
                <w:kern w:val="2"/>
                <w:sz w:val="24"/>
                <w:szCs w:val="24"/>
                <w:u w:val="single" w:color="auto"/>
                <w:lang w:val="en-US" w:eastAsia="zh-CN" w:bidi="ar-SA"/>
              </w:rPr>
              <w:t>功率为1000KW</w:t>
            </w:r>
            <w:r>
              <w:rPr>
                <w:rFonts w:hint="eastAsia" w:ascii="Times New Roman" w:hAnsi="Times New Roman" w:eastAsia="宋体" w:cs="Times New Roman"/>
                <w:b w:val="0"/>
                <w:color w:val="auto"/>
                <w:kern w:val="2"/>
                <w:sz w:val="24"/>
                <w:szCs w:val="24"/>
                <w:u w:val="single" w:color="auto"/>
                <w:lang w:val="en-US" w:eastAsia="zh-CN" w:bidi="ar-SA"/>
              </w:rPr>
              <w:t>，项目使用的轻质柴油（0#）发热值约为</w:t>
            </w:r>
            <w:r>
              <w:rPr>
                <w:rFonts w:hint="eastAsia" w:cs="Times New Roman"/>
                <w:b w:val="0"/>
                <w:color w:val="auto"/>
                <w:kern w:val="2"/>
                <w:sz w:val="24"/>
                <w:szCs w:val="24"/>
                <w:u w:val="single" w:color="auto"/>
                <w:lang w:val="en-US" w:eastAsia="zh-CN" w:bidi="ar-SA"/>
              </w:rPr>
              <w:t>42700</w:t>
            </w:r>
            <w:r>
              <w:rPr>
                <w:rFonts w:hint="eastAsia" w:ascii="Times New Roman" w:hAnsi="Times New Roman" w:eastAsia="宋体" w:cs="Times New Roman"/>
                <w:b w:val="0"/>
                <w:color w:val="auto"/>
                <w:kern w:val="2"/>
                <w:sz w:val="24"/>
                <w:szCs w:val="24"/>
                <w:u w:val="single" w:color="auto"/>
                <w:lang w:val="en-US" w:eastAsia="zh-CN" w:bidi="ar-SA"/>
              </w:rPr>
              <w:t>KJ/kg,则项目每年使用的轻质柴油（0#）约为</w:t>
            </w:r>
            <w:r>
              <w:rPr>
                <w:rFonts w:hint="eastAsia" w:cs="Times New Roman"/>
                <w:b w:val="0"/>
                <w:color w:val="auto"/>
                <w:kern w:val="2"/>
                <w:sz w:val="24"/>
                <w:szCs w:val="24"/>
                <w:u w:val="single" w:color="auto"/>
                <w:lang w:val="en-US" w:eastAsia="zh-CN" w:bidi="ar-SA"/>
              </w:rPr>
              <w:t>181</w:t>
            </w:r>
            <w:r>
              <w:rPr>
                <w:rFonts w:hint="eastAsia" w:ascii="Times New Roman" w:hAnsi="Times New Roman" w:eastAsia="宋体" w:cs="Times New Roman"/>
                <w:b w:val="0"/>
                <w:color w:val="auto"/>
                <w:kern w:val="2"/>
                <w:sz w:val="24"/>
                <w:szCs w:val="24"/>
                <w:u w:val="single" w:color="auto"/>
                <w:lang w:val="en-US" w:eastAsia="zh-CN" w:bidi="ar-SA"/>
              </w:rPr>
              <w:t>t。按照《排放源统计调查产排污核算方法和系数手册》(2021版)中“4430工业锅炉(热力供应)行业系数表”，采用轻质柴油（0#）为燃料燃烧（含硫量按 0.02%计算），可得本项目使用轻质柴油（0#）</w:t>
            </w:r>
            <w:r>
              <w:rPr>
                <w:rFonts w:hint="eastAsia" w:cs="Times New Roman"/>
                <w:b w:val="0"/>
                <w:color w:val="auto"/>
                <w:kern w:val="2"/>
                <w:sz w:val="24"/>
                <w:szCs w:val="24"/>
                <w:u w:val="single" w:color="auto"/>
                <w:lang w:val="en-US" w:eastAsia="zh-CN" w:bidi="ar-SA"/>
              </w:rPr>
              <w:t>热风炉</w:t>
            </w:r>
            <w:r>
              <w:rPr>
                <w:rFonts w:hint="eastAsia" w:ascii="Times New Roman" w:hAnsi="Times New Roman" w:eastAsia="宋体" w:cs="Times New Roman"/>
                <w:b w:val="0"/>
                <w:color w:val="auto"/>
                <w:kern w:val="2"/>
                <w:sz w:val="24"/>
                <w:szCs w:val="24"/>
                <w:u w:val="single" w:color="auto"/>
                <w:lang w:val="en-US" w:eastAsia="zh-CN" w:bidi="ar-SA"/>
              </w:rPr>
              <w:t>产生的废气量为</w:t>
            </w:r>
            <w:r>
              <w:rPr>
                <w:rFonts w:hint="eastAsia" w:cs="Times New Roman"/>
                <w:b w:val="0"/>
                <w:color w:val="auto"/>
                <w:kern w:val="2"/>
                <w:sz w:val="24"/>
                <w:szCs w:val="24"/>
                <w:u w:val="single" w:color="auto"/>
                <w:lang w:val="en-US" w:eastAsia="zh-CN" w:bidi="ar-SA"/>
              </w:rPr>
              <w:t>4.03</w:t>
            </w:r>
            <w:r>
              <w:rPr>
                <w:rFonts w:hint="eastAsia" w:ascii="Times New Roman" w:hAnsi="Times New Roman" w:eastAsia="宋体" w:cs="Times New Roman"/>
                <w:b w:val="0"/>
                <w:color w:val="auto"/>
                <w:kern w:val="2"/>
                <w:sz w:val="24"/>
                <w:szCs w:val="24"/>
                <w:u w:val="single" w:color="auto"/>
                <w:lang w:val="en-US" w:eastAsia="zh-CN" w:bidi="ar-SA"/>
              </w:rPr>
              <w:t>×10</w:t>
            </w:r>
            <w:r>
              <w:rPr>
                <w:rFonts w:hint="eastAsia" w:cs="Times New Roman"/>
                <w:b w:val="0"/>
                <w:color w:val="auto"/>
                <w:kern w:val="2"/>
                <w:sz w:val="24"/>
                <w:szCs w:val="24"/>
                <w:u w:val="single" w:color="auto"/>
                <w:vertAlign w:val="superscript"/>
                <w:lang w:val="en-US" w:eastAsia="zh-CN" w:bidi="ar-SA"/>
              </w:rPr>
              <w:t>6</w:t>
            </w:r>
            <w:r>
              <w:rPr>
                <w:rFonts w:hint="eastAsia" w:ascii="Times New Roman" w:hAnsi="Times New Roman" w:eastAsia="宋体" w:cs="Times New Roman"/>
                <w:b w:val="0"/>
                <w:color w:val="auto"/>
                <w:kern w:val="2"/>
                <w:sz w:val="24"/>
                <w:szCs w:val="24"/>
                <w:u w:val="single" w:color="auto"/>
                <w:lang w:val="en-US" w:eastAsia="zh-CN" w:bidi="ar-SA"/>
              </w:rPr>
              <w:t>Nm</w:t>
            </w:r>
            <w:r>
              <w:rPr>
                <w:rFonts w:hint="eastAsia" w:ascii="Times New Roman" w:hAnsi="Times New Roman" w:eastAsia="宋体" w:cs="Times New Roman"/>
                <w:b w:val="0"/>
                <w:color w:val="auto"/>
                <w:kern w:val="2"/>
                <w:sz w:val="24"/>
                <w:szCs w:val="24"/>
                <w:u w:val="single" w:color="auto"/>
                <w:vertAlign w:val="superscript"/>
                <w:lang w:val="en-US" w:eastAsia="zh-CN" w:bidi="ar-SA"/>
              </w:rPr>
              <w:t>3</w:t>
            </w:r>
            <w:r>
              <w:rPr>
                <w:rFonts w:hint="eastAsia" w:ascii="Times New Roman" w:hAnsi="Times New Roman" w:eastAsia="宋体" w:cs="Times New Roman"/>
                <w:b w:val="0"/>
                <w:color w:val="auto"/>
                <w:kern w:val="2"/>
                <w:sz w:val="24"/>
                <w:szCs w:val="24"/>
                <w:u w:val="single" w:color="auto"/>
                <w:lang w:val="en-US" w:eastAsia="zh-CN" w:bidi="ar-SA"/>
              </w:rPr>
              <w:t>/a，NOx为</w:t>
            </w:r>
            <w:r>
              <w:rPr>
                <w:rFonts w:hint="eastAsia" w:cs="Times New Roman"/>
                <w:b w:val="0"/>
                <w:color w:val="auto"/>
                <w:kern w:val="2"/>
                <w:sz w:val="24"/>
                <w:szCs w:val="24"/>
                <w:u w:val="single" w:color="auto"/>
                <w:lang w:val="en-US" w:eastAsia="zh-CN" w:bidi="ar-SA"/>
              </w:rPr>
              <w:t>0.54t</w:t>
            </w:r>
            <w:r>
              <w:rPr>
                <w:rFonts w:hint="eastAsia" w:ascii="Times New Roman" w:hAnsi="Times New Roman" w:eastAsia="宋体" w:cs="Times New Roman"/>
                <w:b w:val="0"/>
                <w:color w:val="auto"/>
                <w:kern w:val="2"/>
                <w:sz w:val="24"/>
                <w:szCs w:val="24"/>
                <w:u w:val="single" w:color="auto"/>
                <w:lang w:val="en-US" w:eastAsia="zh-CN" w:bidi="ar-SA"/>
              </w:rPr>
              <w:t>/a</w:t>
            </w:r>
            <w:r>
              <w:rPr>
                <w:rFonts w:hint="eastAsia" w:cs="Times New Roman"/>
                <w:b w:val="0"/>
                <w:color w:val="auto"/>
                <w:kern w:val="2"/>
                <w:sz w:val="24"/>
                <w:szCs w:val="24"/>
                <w:u w:val="single" w:color="auto"/>
                <w:lang w:val="en-US" w:eastAsia="zh-CN" w:bidi="ar-SA"/>
              </w:rPr>
              <w:t>（排放速率为0.21kg/h）</w:t>
            </w:r>
            <w:r>
              <w:rPr>
                <w:rFonts w:hint="eastAsia" w:ascii="Times New Roman" w:hAnsi="Times New Roman" w:eastAsia="宋体" w:cs="Times New Roman"/>
                <w:b w:val="0"/>
                <w:color w:val="auto"/>
                <w:kern w:val="2"/>
                <w:sz w:val="24"/>
                <w:szCs w:val="24"/>
                <w:u w:val="single" w:color="auto"/>
                <w:lang w:val="en-US" w:eastAsia="zh-CN" w:bidi="ar-SA"/>
              </w:rPr>
              <w:t>、 SO</w:t>
            </w:r>
            <w:r>
              <w:rPr>
                <w:rFonts w:hint="eastAsia" w:ascii="Times New Roman" w:hAnsi="Times New Roman" w:eastAsia="宋体" w:cs="Times New Roman"/>
                <w:b w:val="0"/>
                <w:color w:val="auto"/>
                <w:kern w:val="2"/>
                <w:sz w:val="24"/>
                <w:szCs w:val="24"/>
                <w:u w:val="single" w:color="auto"/>
                <w:vertAlign w:val="subscript"/>
                <w:lang w:val="en-US" w:eastAsia="zh-CN" w:bidi="ar-SA"/>
              </w:rPr>
              <w:t>2</w:t>
            </w:r>
            <w:r>
              <w:rPr>
                <w:rFonts w:hint="eastAsia" w:ascii="Times New Roman" w:hAnsi="Times New Roman" w:eastAsia="宋体" w:cs="Times New Roman"/>
                <w:b w:val="0"/>
                <w:color w:val="auto"/>
                <w:kern w:val="2"/>
                <w:sz w:val="24"/>
                <w:szCs w:val="24"/>
                <w:u w:val="single" w:color="auto"/>
                <w:lang w:val="en-US" w:eastAsia="zh-CN" w:bidi="ar-SA"/>
              </w:rPr>
              <w:t>为</w:t>
            </w:r>
            <w:r>
              <w:rPr>
                <w:rFonts w:hint="eastAsia" w:cs="Times New Roman"/>
                <w:b w:val="0"/>
                <w:color w:val="auto"/>
                <w:kern w:val="2"/>
                <w:sz w:val="24"/>
                <w:szCs w:val="24"/>
                <w:u w:val="single" w:color="auto"/>
                <w:lang w:val="en-US" w:eastAsia="zh-CN" w:bidi="ar-SA"/>
              </w:rPr>
              <w:t>0.07t</w:t>
            </w:r>
            <w:r>
              <w:rPr>
                <w:rFonts w:hint="eastAsia" w:ascii="Times New Roman" w:hAnsi="Times New Roman" w:eastAsia="宋体" w:cs="Times New Roman"/>
                <w:b w:val="0"/>
                <w:color w:val="auto"/>
                <w:kern w:val="2"/>
                <w:sz w:val="24"/>
                <w:szCs w:val="24"/>
                <w:u w:val="single" w:color="auto"/>
                <w:lang w:val="en-US" w:eastAsia="zh-CN" w:bidi="ar-SA"/>
              </w:rPr>
              <w:t>/a、烟尘为</w:t>
            </w:r>
            <w:r>
              <w:rPr>
                <w:rFonts w:hint="eastAsia" w:cs="Times New Roman"/>
                <w:b w:val="0"/>
                <w:color w:val="auto"/>
                <w:kern w:val="2"/>
                <w:sz w:val="24"/>
                <w:szCs w:val="24"/>
                <w:u w:val="single" w:color="auto"/>
                <w:lang w:val="en-US" w:eastAsia="zh-CN" w:bidi="ar-SA"/>
              </w:rPr>
              <w:t>0.05t</w:t>
            </w:r>
            <w:r>
              <w:rPr>
                <w:rFonts w:hint="eastAsia" w:ascii="Times New Roman" w:hAnsi="Times New Roman" w:eastAsia="宋体" w:cs="Times New Roman"/>
                <w:b w:val="0"/>
                <w:color w:val="auto"/>
                <w:kern w:val="2"/>
                <w:sz w:val="24"/>
                <w:szCs w:val="24"/>
                <w:u w:val="single" w:color="auto"/>
                <w:lang w:val="en-US" w:eastAsia="zh-CN" w:bidi="ar-SA"/>
              </w:rPr>
              <w:t>/a</w:t>
            </w:r>
            <w:r>
              <w:rPr>
                <w:rFonts w:hint="eastAsia" w:cs="Times New Roman"/>
                <w:b w:val="0"/>
                <w:color w:val="auto"/>
                <w:kern w:val="2"/>
                <w:sz w:val="24"/>
                <w:szCs w:val="24"/>
                <w:u w:val="single" w:color="auto"/>
                <w:lang w:val="en-US" w:eastAsia="zh-CN" w:bidi="ar-SA"/>
              </w:rPr>
              <w:t>，热风炉</w:t>
            </w:r>
            <w:r>
              <w:rPr>
                <w:rFonts w:hint="default" w:ascii="Times New Roman" w:hAnsi="Times New Roman" w:eastAsia="宋体" w:cs="Times New Roman"/>
                <w:b w:val="0"/>
                <w:color w:val="auto"/>
                <w:kern w:val="2"/>
                <w:sz w:val="24"/>
                <w:szCs w:val="24"/>
                <w:u w:val="single" w:color="auto"/>
                <w:lang w:val="en-US" w:eastAsia="zh-CN" w:bidi="ar-SA"/>
              </w:rPr>
              <w:t>烟气通过15m高的排气筒排放。</w:t>
            </w:r>
            <w:r>
              <w:rPr>
                <w:rFonts w:hint="eastAsia" w:ascii="Times New Roman" w:hAnsi="Times New Roman" w:eastAsia="宋体" w:cs="Times New Roman"/>
                <w:b w:val="0"/>
                <w:color w:val="auto"/>
                <w:kern w:val="2"/>
                <w:sz w:val="24"/>
                <w:szCs w:val="24"/>
                <w:u w:val="single" w:color="auto"/>
                <w:lang w:val="en-US" w:eastAsia="zh-CN" w:bidi="ar-SA"/>
              </w:rPr>
              <w:t>具体见下表。</w:t>
            </w:r>
          </w:p>
          <w:p w14:paraId="23A1422D">
            <w:pPr>
              <w:pStyle w:val="7"/>
              <w:jc w:val="center"/>
              <w:rPr>
                <w:rFonts w:eastAsia="宋体"/>
                <w:b/>
                <w:spacing w:val="0"/>
                <w:sz w:val="21"/>
                <w:szCs w:val="21"/>
                <w:u w:val="single" w:color="auto"/>
              </w:rPr>
            </w:pPr>
            <w:r>
              <w:rPr>
                <w:rFonts w:hint="eastAsia" w:eastAsia="宋体"/>
                <w:b/>
                <w:color w:val="auto"/>
                <w:spacing w:val="0"/>
                <w:sz w:val="21"/>
                <w:szCs w:val="21"/>
                <w:u w:val="none"/>
              </w:rPr>
              <w:t>表</w:t>
            </w:r>
            <w:r>
              <w:rPr>
                <w:rFonts w:hint="eastAsia"/>
                <w:b/>
                <w:color w:val="auto"/>
                <w:spacing w:val="0"/>
                <w:sz w:val="21"/>
                <w:szCs w:val="21"/>
                <w:u w:val="none"/>
                <w:lang w:val="en-US" w:eastAsia="zh-CN"/>
              </w:rPr>
              <w:t>4-4</w:t>
            </w:r>
            <w:r>
              <w:rPr>
                <w:rFonts w:hint="eastAsia" w:eastAsia="宋体"/>
                <w:b/>
                <w:color w:val="auto"/>
                <w:spacing w:val="0"/>
                <w:sz w:val="21"/>
                <w:szCs w:val="21"/>
                <w:u w:val="none"/>
                <w:lang w:val="en-US" w:eastAsia="zh-CN"/>
              </w:rPr>
              <w:t xml:space="preserve"> </w:t>
            </w:r>
            <w:r>
              <w:rPr>
                <w:rFonts w:hint="eastAsia" w:eastAsia="宋体"/>
                <w:b/>
                <w:spacing w:val="0"/>
                <w:sz w:val="21"/>
                <w:szCs w:val="21"/>
                <w:u w:val="single" w:color="auto"/>
              </w:rPr>
              <w:t>燃料废气及其污染物产生量</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2"/>
              <w:gridCol w:w="3855"/>
              <w:gridCol w:w="1395"/>
              <w:gridCol w:w="1412"/>
            </w:tblGrid>
            <w:tr w14:paraId="7D05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vMerge w:val="restart"/>
                  <w:noWrap w:val="0"/>
                  <w:vAlign w:val="center"/>
                </w:tcPr>
                <w:p w14:paraId="34D7522E">
                  <w:pPr>
                    <w:pStyle w:val="7"/>
                    <w:jc w:val="center"/>
                    <w:rPr>
                      <w:rFonts w:hint="default" w:eastAsia="宋体"/>
                      <w:spacing w:val="0"/>
                      <w:sz w:val="21"/>
                      <w:szCs w:val="21"/>
                      <w:u w:val="single" w:color="auto"/>
                      <w:lang w:val="en-US" w:eastAsia="zh-CN"/>
                    </w:rPr>
                  </w:pPr>
                  <w:r>
                    <w:rPr>
                      <w:rFonts w:hint="eastAsia" w:eastAsia="宋体"/>
                      <w:spacing w:val="0"/>
                      <w:sz w:val="21"/>
                      <w:szCs w:val="21"/>
                      <w:u w:val="single" w:color="auto"/>
                      <w:lang w:val="en-US" w:eastAsia="zh-CN"/>
                    </w:rPr>
                    <w:t>污染物</w:t>
                  </w:r>
                </w:p>
              </w:tc>
              <w:tc>
                <w:tcPr>
                  <w:tcW w:w="3855" w:type="dxa"/>
                  <w:vMerge w:val="restart"/>
                  <w:noWrap w:val="0"/>
                  <w:vAlign w:val="center"/>
                </w:tcPr>
                <w:p w14:paraId="5AE527BA">
                  <w:pPr>
                    <w:pStyle w:val="7"/>
                    <w:jc w:val="center"/>
                    <w:rPr>
                      <w:rFonts w:hint="eastAsia" w:eastAsia="宋体"/>
                      <w:spacing w:val="0"/>
                      <w:sz w:val="21"/>
                      <w:szCs w:val="21"/>
                      <w:u w:val="single" w:color="auto"/>
                    </w:rPr>
                  </w:pPr>
                  <w:r>
                    <w:rPr>
                      <w:rFonts w:hint="eastAsia" w:eastAsia="宋体"/>
                      <w:spacing w:val="0"/>
                      <w:sz w:val="21"/>
                      <w:szCs w:val="21"/>
                      <w:u w:val="single" w:color="auto"/>
                    </w:rPr>
                    <w:t>轻质柴油（0#）燃烧产污系数</w:t>
                  </w:r>
                </w:p>
              </w:tc>
              <w:tc>
                <w:tcPr>
                  <w:tcW w:w="2807" w:type="dxa"/>
                  <w:gridSpan w:val="2"/>
                  <w:noWrap w:val="0"/>
                  <w:vAlign w:val="center"/>
                </w:tcPr>
                <w:p w14:paraId="47336378">
                  <w:pPr>
                    <w:pStyle w:val="7"/>
                    <w:jc w:val="center"/>
                    <w:rPr>
                      <w:rFonts w:hint="eastAsia" w:eastAsia="宋体"/>
                      <w:spacing w:val="0"/>
                      <w:sz w:val="21"/>
                      <w:szCs w:val="21"/>
                      <w:u w:val="single" w:color="auto"/>
                    </w:rPr>
                  </w:pPr>
                  <w:r>
                    <w:rPr>
                      <w:rFonts w:hint="eastAsia" w:eastAsia="宋体"/>
                      <w:spacing w:val="0"/>
                      <w:sz w:val="21"/>
                      <w:szCs w:val="21"/>
                      <w:u w:val="single" w:color="auto"/>
                    </w:rPr>
                    <w:t>污染物产生情况</w:t>
                  </w:r>
                </w:p>
              </w:tc>
            </w:tr>
            <w:tr w14:paraId="240DA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vMerge w:val="continue"/>
                  <w:noWrap w:val="0"/>
                  <w:vAlign w:val="center"/>
                </w:tcPr>
                <w:p w14:paraId="417A3737">
                  <w:pPr>
                    <w:pStyle w:val="7"/>
                    <w:jc w:val="center"/>
                    <w:rPr>
                      <w:rFonts w:hint="default" w:eastAsia="宋体"/>
                      <w:spacing w:val="0"/>
                      <w:sz w:val="21"/>
                      <w:szCs w:val="21"/>
                      <w:u w:val="single" w:color="auto"/>
                      <w:lang w:val="en-US" w:eastAsia="zh-CN"/>
                    </w:rPr>
                  </w:pPr>
                </w:p>
              </w:tc>
              <w:tc>
                <w:tcPr>
                  <w:tcW w:w="3855" w:type="dxa"/>
                  <w:vMerge w:val="continue"/>
                  <w:noWrap w:val="0"/>
                  <w:vAlign w:val="center"/>
                </w:tcPr>
                <w:p w14:paraId="779700C1">
                  <w:pPr>
                    <w:pStyle w:val="7"/>
                    <w:jc w:val="center"/>
                    <w:rPr>
                      <w:rFonts w:hint="eastAsia" w:eastAsia="宋体"/>
                      <w:spacing w:val="0"/>
                      <w:sz w:val="21"/>
                      <w:szCs w:val="21"/>
                      <w:u w:val="single" w:color="auto"/>
                    </w:rPr>
                  </w:pPr>
                </w:p>
              </w:tc>
              <w:tc>
                <w:tcPr>
                  <w:tcW w:w="1395" w:type="dxa"/>
                  <w:noWrap w:val="0"/>
                  <w:vAlign w:val="center"/>
                </w:tcPr>
                <w:p w14:paraId="3B56A8AF">
                  <w:pPr>
                    <w:pStyle w:val="7"/>
                    <w:jc w:val="center"/>
                    <w:rPr>
                      <w:rFonts w:hint="default" w:eastAsia="宋体"/>
                      <w:spacing w:val="0"/>
                      <w:sz w:val="21"/>
                      <w:szCs w:val="21"/>
                      <w:u w:val="single" w:color="auto"/>
                      <w:lang w:val="en-US" w:eastAsia="zh-CN"/>
                    </w:rPr>
                  </w:pPr>
                  <w:r>
                    <w:rPr>
                      <w:rFonts w:hint="eastAsia" w:eastAsia="宋体"/>
                      <w:spacing w:val="0"/>
                      <w:sz w:val="21"/>
                      <w:szCs w:val="21"/>
                      <w:u w:val="single" w:color="auto"/>
                      <w:lang w:val="en-US" w:eastAsia="zh-CN"/>
                    </w:rPr>
                    <w:t>产生量</w:t>
                  </w:r>
                </w:p>
              </w:tc>
              <w:tc>
                <w:tcPr>
                  <w:tcW w:w="1412" w:type="dxa"/>
                  <w:noWrap w:val="0"/>
                  <w:vAlign w:val="center"/>
                </w:tcPr>
                <w:p w14:paraId="2DCF8228">
                  <w:pPr>
                    <w:pStyle w:val="7"/>
                    <w:jc w:val="center"/>
                    <w:rPr>
                      <w:rFonts w:hint="default" w:eastAsia="宋体"/>
                      <w:spacing w:val="0"/>
                      <w:sz w:val="21"/>
                      <w:szCs w:val="21"/>
                      <w:u w:val="single" w:color="auto"/>
                      <w:lang w:val="en-US" w:eastAsia="zh-CN"/>
                    </w:rPr>
                  </w:pPr>
                  <w:r>
                    <w:rPr>
                      <w:rFonts w:hint="eastAsia" w:eastAsia="宋体"/>
                      <w:spacing w:val="0"/>
                      <w:sz w:val="21"/>
                      <w:szCs w:val="21"/>
                      <w:u w:val="single" w:color="auto"/>
                      <w:lang w:val="en-US" w:eastAsia="zh-CN"/>
                    </w:rPr>
                    <w:t>产生浓度</w:t>
                  </w:r>
                </w:p>
              </w:tc>
            </w:tr>
            <w:tr w14:paraId="6A2DD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noWrap w:val="0"/>
                  <w:vAlign w:val="center"/>
                </w:tcPr>
                <w:p w14:paraId="766F8378">
                  <w:pPr>
                    <w:pStyle w:val="7"/>
                    <w:jc w:val="center"/>
                    <w:rPr>
                      <w:rFonts w:hint="default" w:eastAsia="宋体"/>
                      <w:spacing w:val="0"/>
                      <w:sz w:val="21"/>
                      <w:szCs w:val="21"/>
                      <w:u w:val="single" w:color="auto"/>
                      <w:lang w:val="en-US" w:eastAsia="zh-CN"/>
                    </w:rPr>
                  </w:pPr>
                  <w:r>
                    <w:rPr>
                      <w:rFonts w:hint="eastAsia" w:eastAsia="宋体"/>
                      <w:spacing w:val="0"/>
                      <w:sz w:val="21"/>
                      <w:szCs w:val="21"/>
                      <w:u w:val="single" w:color="auto"/>
                      <w:lang w:val="en-US" w:eastAsia="zh-CN"/>
                    </w:rPr>
                    <w:t>废气量</w:t>
                  </w:r>
                </w:p>
              </w:tc>
              <w:tc>
                <w:tcPr>
                  <w:tcW w:w="3855" w:type="dxa"/>
                  <w:noWrap w:val="0"/>
                  <w:vAlign w:val="center"/>
                </w:tcPr>
                <w:p w14:paraId="3C9B8282">
                  <w:pPr>
                    <w:pStyle w:val="7"/>
                    <w:jc w:val="center"/>
                    <w:rPr>
                      <w:rFonts w:hint="eastAsia" w:eastAsia="宋体"/>
                      <w:spacing w:val="0"/>
                      <w:sz w:val="21"/>
                      <w:szCs w:val="21"/>
                      <w:u w:val="single" w:color="auto"/>
                    </w:rPr>
                  </w:pPr>
                  <w:r>
                    <w:rPr>
                      <w:rFonts w:hint="eastAsia"/>
                      <w:spacing w:val="0"/>
                      <w:sz w:val="21"/>
                      <w:szCs w:val="21"/>
                      <w:u w:val="single" w:color="auto"/>
                      <w:lang w:val="en-US" w:eastAsia="zh-CN"/>
                    </w:rPr>
                    <w:t>17804</w:t>
                  </w:r>
                  <w:r>
                    <w:rPr>
                      <w:rFonts w:hint="eastAsia" w:eastAsia="宋体"/>
                      <w:spacing w:val="0"/>
                      <w:sz w:val="21"/>
                      <w:szCs w:val="21"/>
                      <w:u w:val="single" w:color="auto"/>
                    </w:rPr>
                    <w:t>Nm</w:t>
                  </w:r>
                  <w:r>
                    <w:rPr>
                      <w:rFonts w:hint="eastAsia" w:eastAsia="宋体"/>
                      <w:spacing w:val="0"/>
                      <w:sz w:val="21"/>
                      <w:szCs w:val="21"/>
                      <w:u w:val="single" w:color="auto"/>
                      <w:vertAlign w:val="superscript"/>
                    </w:rPr>
                    <w:t>3</w:t>
                  </w:r>
                  <w:r>
                    <w:rPr>
                      <w:rFonts w:hint="eastAsia" w:eastAsia="宋体"/>
                      <w:spacing w:val="0"/>
                      <w:sz w:val="21"/>
                      <w:szCs w:val="21"/>
                      <w:u w:val="single" w:color="auto"/>
                    </w:rPr>
                    <w:t>/吨-</w:t>
                  </w:r>
                  <w:r>
                    <w:rPr>
                      <w:rFonts w:hint="eastAsia" w:ascii="Times New Roman" w:hAnsi="Times New Roman" w:eastAsia="宋体" w:cs="Times New Roman"/>
                      <w:b w:val="0"/>
                      <w:color w:val="auto"/>
                      <w:kern w:val="2"/>
                      <w:sz w:val="21"/>
                      <w:szCs w:val="21"/>
                      <w:u w:val="single" w:color="auto"/>
                      <w:lang w:val="en-US" w:eastAsia="zh-CN" w:bidi="ar-SA"/>
                    </w:rPr>
                    <w:t>轻质柴油（0#）</w:t>
                  </w:r>
                </w:p>
              </w:tc>
              <w:tc>
                <w:tcPr>
                  <w:tcW w:w="1395" w:type="dxa"/>
                  <w:noWrap w:val="0"/>
                  <w:vAlign w:val="center"/>
                </w:tcPr>
                <w:p w14:paraId="7683A92D">
                  <w:pPr>
                    <w:pStyle w:val="7"/>
                    <w:jc w:val="center"/>
                    <w:rPr>
                      <w:rFonts w:hint="eastAsia" w:eastAsia="宋体"/>
                      <w:spacing w:val="0"/>
                      <w:sz w:val="21"/>
                      <w:szCs w:val="21"/>
                      <w:u w:val="single" w:color="auto"/>
                    </w:rPr>
                  </w:pPr>
                  <w:r>
                    <w:rPr>
                      <w:rFonts w:hint="eastAsia"/>
                      <w:spacing w:val="0"/>
                      <w:sz w:val="21"/>
                      <w:szCs w:val="21"/>
                      <w:u w:val="single" w:color="auto"/>
                      <w:lang w:val="en-US" w:eastAsia="zh-CN"/>
                    </w:rPr>
                    <w:t>3.22</w:t>
                  </w:r>
                  <w:r>
                    <w:rPr>
                      <w:rFonts w:hint="eastAsia" w:eastAsia="宋体"/>
                      <w:spacing w:val="0"/>
                      <w:sz w:val="21"/>
                      <w:szCs w:val="21"/>
                      <w:u w:val="single" w:color="auto"/>
                    </w:rPr>
                    <w:t>×10</w:t>
                  </w:r>
                  <w:r>
                    <w:rPr>
                      <w:rFonts w:hint="eastAsia"/>
                      <w:spacing w:val="0"/>
                      <w:sz w:val="21"/>
                      <w:szCs w:val="21"/>
                      <w:u w:val="single" w:color="auto"/>
                      <w:vertAlign w:val="superscript"/>
                      <w:lang w:val="en-US" w:eastAsia="zh-CN"/>
                    </w:rPr>
                    <w:t>6</w:t>
                  </w:r>
                  <w:r>
                    <w:rPr>
                      <w:rFonts w:hint="eastAsia" w:eastAsia="宋体"/>
                      <w:spacing w:val="0"/>
                      <w:sz w:val="21"/>
                      <w:szCs w:val="21"/>
                      <w:u w:val="single" w:color="auto"/>
                    </w:rPr>
                    <w:t>Nm</w:t>
                  </w:r>
                  <w:r>
                    <w:rPr>
                      <w:rFonts w:hint="eastAsia" w:eastAsia="宋体"/>
                      <w:spacing w:val="0"/>
                      <w:sz w:val="21"/>
                      <w:szCs w:val="21"/>
                      <w:u w:val="single" w:color="auto"/>
                      <w:vertAlign w:val="superscript"/>
                    </w:rPr>
                    <w:t>3</w:t>
                  </w:r>
                  <w:r>
                    <w:rPr>
                      <w:rFonts w:hint="eastAsia" w:eastAsia="宋体"/>
                      <w:spacing w:val="0"/>
                      <w:sz w:val="21"/>
                      <w:szCs w:val="21"/>
                      <w:u w:val="single" w:color="auto"/>
                    </w:rPr>
                    <w:t>/a</w:t>
                  </w:r>
                </w:p>
              </w:tc>
              <w:tc>
                <w:tcPr>
                  <w:tcW w:w="1412" w:type="dxa"/>
                  <w:noWrap w:val="0"/>
                  <w:vAlign w:val="center"/>
                </w:tcPr>
                <w:p w14:paraId="4AF5588F">
                  <w:pPr>
                    <w:pStyle w:val="7"/>
                    <w:jc w:val="center"/>
                    <w:rPr>
                      <w:rFonts w:hint="default" w:eastAsia="宋体"/>
                      <w:spacing w:val="0"/>
                      <w:sz w:val="21"/>
                      <w:szCs w:val="21"/>
                      <w:u w:val="single" w:color="auto"/>
                      <w:lang w:val="en-US" w:eastAsia="zh-CN"/>
                    </w:rPr>
                  </w:pPr>
                  <w:r>
                    <w:rPr>
                      <w:rFonts w:hint="eastAsia" w:eastAsia="宋体"/>
                      <w:spacing w:val="0"/>
                      <w:sz w:val="21"/>
                      <w:szCs w:val="21"/>
                      <w:u w:val="single" w:color="auto"/>
                      <w:lang w:val="en-US" w:eastAsia="zh-CN"/>
                    </w:rPr>
                    <w:t>/</w:t>
                  </w:r>
                </w:p>
              </w:tc>
            </w:tr>
            <w:tr w14:paraId="36AE4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noWrap w:val="0"/>
                  <w:vAlign w:val="center"/>
                </w:tcPr>
                <w:p w14:paraId="3CA9CC5D">
                  <w:pPr>
                    <w:pStyle w:val="7"/>
                    <w:jc w:val="center"/>
                    <w:rPr>
                      <w:rFonts w:hint="eastAsia" w:eastAsia="宋体"/>
                      <w:spacing w:val="0"/>
                      <w:sz w:val="21"/>
                      <w:szCs w:val="21"/>
                      <w:u w:val="single" w:color="auto"/>
                    </w:rPr>
                  </w:pPr>
                  <w:r>
                    <w:rPr>
                      <w:rFonts w:hint="eastAsia" w:eastAsia="宋体"/>
                      <w:spacing w:val="0"/>
                      <w:sz w:val="21"/>
                      <w:szCs w:val="21"/>
                      <w:u w:val="single" w:color="auto"/>
                    </w:rPr>
                    <w:t>SO</w:t>
                  </w:r>
                  <w:r>
                    <w:rPr>
                      <w:rFonts w:hint="eastAsia" w:eastAsia="宋体"/>
                      <w:spacing w:val="0"/>
                      <w:sz w:val="21"/>
                      <w:szCs w:val="21"/>
                      <w:u w:val="single" w:color="auto"/>
                      <w:vertAlign w:val="subscript"/>
                    </w:rPr>
                    <w:t>2</w:t>
                  </w:r>
                </w:p>
              </w:tc>
              <w:tc>
                <w:tcPr>
                  <w:tcW w:w="3855" w:type="dxa"/>
                  <w:noWrap w:val="0"/>
                  <w:vAlign w:val="center"/>
                </w:tcPr>
                <w:p w14:paraId="7F95E5C0">
                  <w:pPr>
                    <w:pStyle w:val="7"/>
                    <w:jc w:val="center"/>
                    <w:rPr>
                      <w:rFonts w:hint="eastAsia" w:eastAsia="宋体"/>
                      <w:spacing w:val="0"/>
                      <w:sz w:val="21"/>
                      <w:szCs w:val="21"/>
                      <w:u w:val="single" w:color="auto"/>
                    </w:rPr>
                  </w:pPr>
                  <w:r>
                    <w:rPr>
                      <w:rFonts w:hint="eastAsia"/>
                      <w:spacing w:val="0"/>
                      <w:sz w:val="21"/>
                      <w:szCs w:val="21"/>
                      <w:u w:val="single" w:color="auto"/>
                      <w:lang w:val="en-US" w:eastAsia="zh-CN"/>
                    </w:rPr>
                    <w:t>0.38</w:t>
                  </w:r>
                  <w:r>
                    <w:rPr>
                      <w:rFonts w:hint="eastAsia" w:eastAsia="宋体"/>
                      <w:spacing w:val="0"/>
                      <w:sz w:val="21"/>
                      <w:szCs w:val="21"/>
                      <w:u w:val="single" w:color="auto"/>
                    </w:rPr>
                    <w:t>kg/吨-</w:t>
                  </w:r>
                  <w:r>
                    <w:rPr>
                      <w:rFonts w:hint="eastAsia" w:ascii="Times New Roman" w:hAnsi="Times New Roman" w:eastAsia="宋体" w:cs="Times New Roman"/>
                      <w:b w:val="0"/>
                      <w:color w:val="auto"/>
                      <w:kern w:val="2"/>
                      <w:sz w:val="21"/>
                      <w:szCs w:val="21"/>
                      <w:u w:val="single" w:color="auto"/>
                      <w:lang w:val="en-US" w:eastAsia="zh-CN" w:bidi="ar-SA"/>
                    </w:rPr>
                    <w:t>轻质柴油（0#）</w:t>
                  </w:r>
                </w:p>
              </w:tc>
              <w:tc>
                <w:tcPr>
                  <w:tcW w:w="1395" w:type="dxa"/>
                  <w:noWrap w:val="0"/>
                  <w:vAlign w:val="center"/>
                </w:tcPr>
                <w:p w14:paraId="458F9D1F">
                  <w:pPr>
                    <w:pStyle w:val="7"/>
                    <w:jc w:val="center"/>
                    <w:rPr>
                      <w:rFonts w:hint="eastAsia" w:eastAsia="宋体"/>
                      <w:spacing w:val="0"/>
                      <w:sz w:val="21"/>
                      <w:szCs w:val="21"/>
                      <w:u w:val="single" w:color="auto"/>
                    </w:rPr>
                  </w:pPr>
                  <w:r>
                    <w:rPr>
                      <w:rFonts w:hint="eastAsia"/>
                      <w:spacing w:val="0"/>
                      <w:sz w:val="21"/>
                      <w:szCs w:val="21"/>
                      <w:u w:val="single" w:color="auto"/>
                      <w:lang w:val="en-US" w:eastAsia="zh-CN"/>
                    </w:rPr>
                    <w:t>0.07t</w:t>
                  </w:r>
                  <w:r>
                    <w:rPr>
                      <w:rFonts w:hint="eastAsia" w:eastAsia="宋体"/>
                      <w:spacing w:val="0"/>
                      <w:sz w:val="21"/>
                      <w:szCs w:val="21"/>
                      <w:u w:val="single" w:color="auto"/>
                    </w:rPr>
                    <w:t>/a</w:t>
                  </w:r>
                </w:p>
              </w:tc>
              <w:tc>
                <w:tcPr>
                  <w:tcW w:w="1412" w:type="dxa"/>
                  <w:noWrap w:val="0"/>
                  <w:vAlign w:val="center"/>
                </w:tcPr>
                <w:p w14:paraId="44BDE5C1">
                  <w:pPr>
                    <w:pStyle w:val="7"/>
                    <w:jc w:val="center"/>
                    <w:rPr>
                      <w:rFonts w:hint="eastAsia" w:eastAsia="宋体"/>
                      <w:spacing w:val="0"/>
                      <w:sz w:val="21"/>
                      <w:szCs w:val="21"/>
                      <w:u w:val="single" w:color="auto"/>
                    </w:rPr>
                  </w:pPr>
                  <w:r>
                    <w:rPr>
                      <w:rFonts w:hint="eastAsia"/>
                      <w:spacing w:val="0"/>
                      <w:sz w:val="21"/>
                      <w:szCs w:val="21"/>
                      <w:u w:val="single" w:color="auto"/>
                      <w:lang w:val="en-US" w:eastAsia="zh-CN"/>
                    </w:rPr>
                    <w:t>21.3</w:t>
                  </w:r>
                  <w:r>
                    <w:rPr>
                      <w:rFonts w:hint="eastAsia" w:eastAsia="宋体"/>
                      <w:spacing w:val="0"/>
                      <w:sz w:val="21"/>
                      <w:szCs w:val="21"/>
                      <w:u w:val="single" w:color="auto"/>
                    </w:rPr>
                    <w:t>mg/m</w:t>
                  </w:r>
                  <w:r>
                    <w:rPr>
                      <w:rFonts w:hint="eastAsia" w:eastAsia="宋体"/>
                      <w:spacing w:val="0"/>
                      <w:sz w:val="21"/>
                      <w:szCs w:val="21"/>
                      <w:u w:val="single" w:color="auto"/>
                      <w:vertAlign w:val="superscript"/>
                    </w:rPr>
                    <w:t>3</w:t>
                  </w:r>
                </w:p>
              </w:tc>
            </w:tr>
            <w:tr w14:paraId="72733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noWrap w:val="0"/>
                  <w:vAlign w:val="center"/>
                </w:tcPr>
                <w:p w14:paraId="19E74DBD">
                  <w:pPr>
                    <w:pStyle w:val="7"/>
                    <w:jc w:val="center"/>
                    <w:rPr>
                      <w:rFonts w:hint="eastAsia" w:eastAsia="宋体"/>
                      <w:spacing w:val="0"/>
                      <w:sz w:val="21"/>
                      <w:szCs w:val="21"/>
                      <w:u w:val="single" w:color="auto"/>
                    </w:rPr>
                  </w:pPr>
                  <w:r>
                    <w:rPr>
                      <w:rFonts w:hint="eastAsia" w:eastAsia="宋体"/>
                      <w:spacing w:val="0"/>
                      <w:sz w:val="21"/>
                      <w:szCs w:val="21"/>
                      <w:u w:val="single" w:color="auto"/>
                    </w:rPr>
                    <w:t>NO</w:t>
                  </w:r>
                  <w:r>
                    <w:rPr>
                      <w:rFonts w:hint="eastAsia" w:eastAsia="宋体"/>
                      <w:spacing w:val="0"/>
                      <w:sz w:val="21"/>
                      <w:szCs w:val="21"/>
                      <w:u w:val="single" w:color="auto"/>
                      <w:vertAlign w:val="subscript"/>
                    </w:rPr>
                    <w:t>x</w:t>
                  </w:r>
                </w:p>
              </w:tc>
              <w:tc>
                <w:tcPr>
                  <w:tcW w:w="3855" w:type="dxa"/>
                  <w:noWrap w:val="0"/>
                  <w:vAlign w:val="center"/>
                </w:tcPr>
                <w:p w14:paraId="4459FF53">
                  <w:pPr>
                    <w:pStyle w:val="7"/>
                    <w:jc w:val="center"/>
                    <w:rPr>
                      <w:rFonts w:hint="eastAsia" w:eastAsia="宋体"/>
                      <w:spacing w:val="0"/>
                      <w:sz w:val="21"/>
                      <w:szCs w:val="21"/>
                      <w:u w:val="single" w:color="auto"/>
                    </w:rPr>
                  </w:pPr>
                  <w:r>
                    <w:rPr>
                      <w:rFonts w:hint="eastAsia"/>
                      <w:spacing w:val="0"/>
                      <w:sz w:val="21"/>
                      <w:szCs w:val="21"/>
                      <w:u w:val="single" w:color="auto"/>
                      <w:lang w:val="en-US" w:eastAsia="zh-CN"/>
                    </w:rPr>
                    <w:t>3.02</w:t>
                  </w:r>
                  <w:r>
                    <w:rPr>
                      <w:rFonts w:hint="eastAsia" w:eastAsia="宋体"/>
                      <w:spacing w:val="0"/>
                      <w:sz w:val="21"/>
                      <w:szCs w:val="21"/>
                      <w:u w:val="single" w:color="auto"/>
                    </w:rPr>
                    <w:t>kg/吨-</w:t>
                  </w:r>
                  <w:r>
                    <w:rPr>
                      <w:rFonts w:hint="eastAsia" w:ascii="Times New Roman" w:hAnsi="Times New Roman" w:eastAsia="宋体" w:cs="Times New Roman"/>
                      <w:b w:val="0"/>
                      <w:color w:val="auto"/>
                      <w:kern w:val="2"/>
                      <w:sz w:val="21"/>
                      <w:szCs w:val="21"/>
                      <w:u w:val="single" w:color="auto"/>
                      <w:lang w:val="en-US" w:eastAsia="zh-CN" w:bidi="ar-SA"/>
                    </w:rPr>
                    <w:t>轻质柴油（0#）</w:t>
                  </w:r>
                </w:p>
              </w:tc>
              <w:tc>
                <w:tcPr>
                  <w:tcW w:w="1395" w:type="dxa"/>
                  <w:noWrap w:val="0"/>
                  <w:vAlign w:val="center"/>
                </w:tcPr>
                <w:p w14:paraId="56A11905">
                  <w:pPr>
                    <w:pStyle w:val="7"/>
                    <w:jc w:val="center"/>
                    <w:rPr>
                      <w:rFonts w:hint="eastAsia" w:eastAsia="宋体"/>
                      <w:spacing w:val="0"/>
                      <w:sz w:val="21"/>
                      <w:szCs w:val="21"/>
                      <w:u w:val="single" w:color="auto"/>
                    </w:rPr>
                  </w:pPr>
                  <w:r>
                    <w:rPr>
                      <w:rFonts w:hint="eastAsia"/>
                      <w:spacing w:val="0"/>
                      <w:sz w:val="21"/>
                      <w:szCs w:val="21"/>
                      <w:u w:val="single" w:color="auto"/>
                      <w:lang w:val="en-US" w:eastAsia="zh-CN"/>
                    </w:rPr>
                    <w:t>0.54t</w:t>
                  </w:r>
                  <w:r>
                    <w:rPr>
                      <w:rFonts w:hint="eastAsia" w:eastAsia="宋体"/>
                      <w:spacing w:val="0"/>
                      <w:sz w:val="21"/>
                      <w:szCs w:val="21"/>
                      <w:u w:val="single" w:color="auto"/>
                    </w:rPr>
                    <w:t>/a</w:t>
                  </w:r>
                </w:p>
              </w:tc>
              <w:tc>
                <w:tcPr>
                  <w:tcW w:w="1412" w:type="dxa"/>
                  <w:noWrap w:val="0"/>
                  <w:vAlign w:val="center"/>
                </w:tcPr>
                <w:p w14:paraId="1D3EF048">
                  <w:pPr>
                    <w:pStyle w:val="7"/>
                    <w:jc w:val="center"/>
                    <w:rPr>
                      <w:rFonts w:hint="eastAsia" w:eastAsia="宋体"/>
                      <w:spacing w:val="0"/>
                      <w:sz w:val="21"/>
                      <w:szCs w:val="21"/>
                      <w:u w:val="single" w:color="auto"/>
                      <w:lang w:val="en-US" w:eastAsia="zh-CN"/>
                    </w:rPr>
                  </w:pPr>
                  <w:r>
                    <w:rPr>
                      <w:rFonts w:hint="eastAsia"/>
                      <w:spacing w:val="0"/>
                      <w:sz w:val="21"/>
                      <w:szCs w:val="21"/>
                      <w:u w:val="single" w:color="auto"/>
                      <w:lang w:val="en-US" w:eastAsia="zh-CN"/>
                    </w:rPr>
                    <w:t>168.6</w:t>
                  </w:r>
                  <w:r>
                    <w:rPr>
                      <w:rFonts w:hint="eastAsia" w:eastAsia="宋体"/>
                      <w:spacing w:val="0"/>
                      <w:sz w:val="21"/>
                      <w:szCs w:val="21"/>
                      <w:u w:val="single" w:color="auto"/>
                    </w:rPr>
                    <w:t>mg/m</w:t>
                  </w:r>
                  <w:r>
                    <w:rPr>
                      <w:rFonts w:hint="eastAsia" w:eastAsia="宋体"/>
                      <w:spacing w:val="0"/>
                      <w:sz w:val="21"/>
                      <w:szCs w:val="21"/>
                      <w:u w:val="single" w:color="auto"/>
                      <w:vertAlign w:val="superscript"/>
                      <w:lang w:val="en-US" w:eastAsia="zh-CN"/>
                    </w:rPr>
                    <w:t>3</w:t>
                  </w:r>
                </w:p>
              </w:tc>
            </w:tr>
            <w:tr w14:paraId="70ED9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22" w:type="dxa"/>
                  <w:noWrap w:val="0"/>
                  <w:vAlign w:val="center"/>
                </w:tcPr>
                <w:p w14:paraId="44F10F3E">
                  <w:pPr>
                    <w:pStyle w:val="7"/>
                    <w:jc w:val="center"/>
                    <w:rPr>
                      <w:rFonts w:hint="eastAsia" w:eastAsia="宋体"/>
                      <w:spacing w:val="0"/>
                      <w:sz w:val="21"/>
                      <w:szCs w:val="21"/>
                      <w:u w:val="single" w:color="auto"/>
                      <w:lang w:val="en-US" w:eastAsia="zh-CN"/>
                    </w:rPr>
                  </w:pPr>
                  <w:r>
                    <w:rPr>
                      <w:rFonts w:hint="eastAsia" w:eastAsia="宋体"/>
                      <w:spacing w:val="0"/>
                      <w:sz w:val="21"/>
                      <w:szCs w:val="21"/>
                      <w:u w:val="single" w:color="auto"/>
                      <w:lang w:val="en-US" w:eastAsia="zh-CN"/>
                    </w:rPr>
                    <w:t>烟尘</w:t>
                  </w:r>
                </w:p>
              </w:tc>
              <w:tc>
                <w:tcPr>
                  <w:tcW w:w="3855" w:type="dxa"/>
                  <w:noWrap w:val="0"/>
                  <w:vAlign w:val="center"/>
                </w:tcPr>
                <w:p w14:paraId="2D6DEDA8">
                  <w:pPr>
                    <w:pStyle w:val="7"/>
                    <w:jc w:val="center"/>
                    <w:rPr>
                      <w:rFonts w:hint="eastAsia" w:eastAsia="宋体"/>
                      <w:spacing w:val="0"/>
                      <w:sz w:val="21"/>
                      <w:szCs w:val="21"/>
                      <w:u w:val="single" w:color="auto"/>
                    </w:rPr>
                  </w:pPr>
                  <w:r>
                    <w:rPr>
                      <w:rFonts w:hint="eastAsia" w:eastAsia="宋体"/>
                      <w:spacing w:val="0"/>
                      <w:sz w:val="21"/>
                      <w:szCs w:val="21"/>
                      <w:u w:val="single" w:color="auto"/>
                    </w:rPr>
                    <w:t>0.</w:t>
                  </w:r>
                  <w:r>
                    <w:rPr>
                      <w:rFonts w:hint="eastAsia"/>
                      <w:spacing w:val="0"/>
                      <w:sz w:val="21"/>
                      <w:szCs w:val="21"/>
                      <w:u w:val="single" w:color="auto"/>
                      <w:lang w:val="en-US" w:eastAsia="zh-CN"/>
                    </w:rPr>
                    <w:t>26</w:t>
                  </w:r>
                  <w:r>
                    <w:rPr>
                      <w:rFonts w:hint="eastAsia" w:eastAsia="宋体"/>
                      <w:spacing w:val="0"/>
                      <w:sz w:val="21"/>
                      <w:szCs w:val="21"/>
                      <w:u w:val="single" w:color="auto"/>
                    </w:rPr>
                    <w:t>kg/吨-</w:t>
                  </w:r>
                  <w:r>
                    <w:rPr>
                      <w:rFonts w:hint="eastAsia" w:ascii="Times New Roman" w:hAnsi="Times New Roman" w:eastAsia="宋体" w:cs="Times New Roman"/>
                      <w:b w:val="0"/>
                      <w:color w:val="auto"/>
                      <w:kern w:val="2"/>
                      <w:sz w:val="21"/>
                      <w:szCs w:val="21"/>
                      <w:u w:val="single" w:color="auto"/>
                      <w:lang w:val="en-US" w:eastAsia="zh-CN" w:bidi="ar-SA"/>
                    </w:rPr>
                    <w:t>轻质柴油（0#）</w:t>
                  </w:r>
                </w:p>
              </w:tc>
              <w:tc>
                <w:tcPr>
                  <w:tcW w:w="1395" w:type="dxa"/>
                  <w:noWrap w:val="0"/>
                  <w:vAlign w:val="center"/>
                </w:tcPr>
                <w:p w14:paraId="396963EE">
                  <w:pPr>
                    <w:pStyle w:val="7"/>
                    <w:jc w:val="center"/>
                    <w:rPr>
                      <w:rFonts w:hint="eastAsia" w:eastAsia="宋体"/>
                      <w:spacing w:val="0"/>
                      <w:sz w:val="21"/>
                      <w:szCs w:val="21"/>
                      <w:u w:val="single" w:color="auto"/>
                    </w:rPr>
                  </w:pPr>
                  <w:r>
                    <w:rPr>
                      <w:rFonts w:hint="eastAsia"/>
                      <w:spacing w:val="0"/>
                      <w:sz w:val="21"/>
                      <w:szCs w:val="21"/>
                      <w:u w:val="single" w:color="auto"/>
                      <w:lang w:val="en-US" w:eastAsia="zh-CN"/>
                    </w:rPr>
                    <w:t>0.05t</w:t>
                  </w:r>
                  <w:r>
                    <w:rPr>
                      <w:rFonts w:hint="eastAsia" w:eastAsia="宋体"/>
                      <w:spacing w:val="0"/>
                      <w:sz w:val="21"/>
                      <w:szCs w:val="21"/>
                      <w:u w:val="single" w:color="auto"/>
                    </w:rPr>
                    <w:t>/a</w:t>
                  </w:r>
                </w:p>
              </w:tc>
              <w:tc>
                <w:tcPr>
                  <w:tcW w:w="1412" w:type="dxa"/>
                  <w:noWrap w:val="0"/>
                  <w:vAlign w:val="center"/>
                </w:tcPr>
                <w:p w14:paraId="60105749">
                  <w:pPr>
                    <w:pStyle w:val="7"/>
                    <w:jc w:val="center"/>
                    <w:rPr>
                      <w:rFonts w:hint="eastAsia" w:eastAsia="宋体"/>
                      <w:spacing w:val="0"/>
                      <w:sz w:val="21"/>
                      <w:szCs w:val="21"/>
                      <w:u w:val="single" w:color="auto"/>
                      <w:lang w:val="en-US" w:eastAsia="zh-CN"/>
                    </w:rPr>
                  </w:pPr>
                  <w:r>
                    <w:rPr>
                      <w:rFonts w:hint="eastAsia"/>
                      <w:spacing w:val="0"/>
                      <w:sz w:val="21"/>
                      <w:szCs w:val="21"/>
                      <w:u w:val="single" w:color="auto"/>
                      <w:lang w:val="en-US" w:eastAsia="zh-CN"/>
                    </w:rPr>
                    <w:t>21.67</w:t>
                  </w:r>
                  <w:r>
                    <w:rPr>
                      <w:rFonts w:hint="eastAsia" w:eastAsia="宋体"/>
                      <w:spacing w:val="0"/>
                      <w:sz w:val="21"/>
                      <w:szCs w:val="21"/>
                      <w:u w:val="single" w:color="auto"/>
                    </w:rPr>
                    <w:t>mg/m</w:t>
                  </w:r>
                  <w:r>
                    <w:rPr>
                      <w:rFonts w:hint="eastAsia" w:eastAsia="宋体"/>
                      <w:spacing w:val="0"/>
                      <w:sz w:val="21"/>
                      <w:szCs w:val="21"/>
                      <w:u w:val="single" w:color="auto"/>
                      <w:vertAlign w:val="superscript"/>
                      <w:lang w:val="en-US" w:eastAsia="zh-CN"/>
                    </w:rPr>
                    <w:t>3</w:t>
                  </w:r>
                </w:p>
              </w:tc>
            </w:tr>
          </w:tbl>
          <w:p w14:paraId="0B2CAF7B">
            <w:pPr>
              <w:pStyle w:val="21"/>
              <w:bidi w:val="0"/>
              <w:rPr>
                <w:rFonts w:hint="default" w:ascii="Times New Roman" w:hAnsi="Times New Roman" w:eastAsia="宋体" w:cs="Times New Roman"/>
                <w:b/>
                <w:bCs/>
                <w:color w:val="auto"/>
                <w:kern w:val="2"/>
                <w:sz w:val="24"/>
                <w:szCs w:val="24"/>
                <w:u w:val="none" w:color="auto"/>
                <w:lang w:val="en-US" w:eastAsia="zh-CN" w:bidi="ar-SA"/>
              </w:rPr>
            </w:pPr>
            <w:r>
              <w:rPr>
                <w:rFonts w:hint="eastAsia" w:ascii="Times New Roman" w:hAnsi="Times New Roman" w:eastAsia="宋体" w:cs="Times New Roman"/>
                <w:b/>
                <w:bCs/>
                <w:color w:val="auto"/>
                <w:kern w:val="2"/>
                <w:sz w:val="24"/>
                <w:szCs w:val="24"/>
                <w:u w:val="none" w:color="auto"/>
                <w:lang w:val="en-US" w:eastAsia="zh-CN" w:bidi="ar-SA"/>
              </w:rPr>
              <w:t>1.2 废气产排污情况</w:t>
            </w:r>
          </w:p>
          <w:p w14:paraId="4449E56E">
            <w:pPr>
              <w:pStyle w:val="22"/>
              <w:bidi w:val="0"/>
              <w:rPr>
                <w:rFonts w:hint="eastAsia"/>
                <w:color w:val="auto"/>
                <w:lang w:val="en-US" w:eastAsia="zh-CN"/>
              </w:rPr>
            </w:pPr>
            <w:r>
              <w:rPr>
                <w:rFonts w:hint="eastAsia"/>
                <w:color w:val="auto"/>
                <w:lang w:val="en-US" w:eastAsia="zh-CN"/>
              </w:rPr>
              <w:t>本项目废气产排情况详见下表。</w:t>
            </w:r>
          </w:p>
          <w:p w14:paraId="351F68C3">
            <w:pPr>
              <w:pStyle w:val="23"/>
              <w:bidi w:val="0"/>
              <w:rPr>
                <w:rFonts w:hint="eastAsia"/>
                <w:color w:val="4874CB" w:themeColor="accent1"/>
                <w:lang w:val="en-US" w:eastAsia="zh-CN"/>
                <w14:textFill>
                  <w14:solidFill>
                    <w14:schemeClr w14:val="accent1"/>
                  </w14:solidFill>
                </w14:textFill>
              </w:rPr>
            </w:pPr>
            <w:r>
              <w:rPr>
                <w:rFonts w:hint="eastAsia"/>
                <w:color w:val="auto"/>
                <w:lang w:val="en-US" w:eastAsia="zh-CN"/>
              </w:rPr>
              <w:t>表4-5</w:t>
            </w:r>
            <w:r>
              <w:rPr>
                <w:rFonts w:hint="eastAsia"/>
                <w:color w:val="4874CB" w:themeColor="accent1"/>
                <w:lang w:val="en-US" w:eastAsia="zh-CN"/>
                <w14:textFill>
                  <w14:solidFill>
                    <w14:schemeClr w14:val="accent1"/>
                  </w14:solidFill>
                </w14:textFill>
              </w:rPr>
              <w:t xml:space="preserve"> </w:t>
            </w:r>
            <w:r>
              <w:rPr>
                <w:rFonts w:hint="eastAsia"/>
                <w:color w:val="auto"/>
                <w:lang w:val="en-US" w:eastAsia="zh-CN"/>
              </w:rPr>
              <w:t xml:space="preserve"> 废气产排情况一览表</w:t>
            </w:r>
          </w:p>
          <w:tbl>
            <w:tblPr>
              <w:tblStyle w:val="1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0"/>
              <w:gridCol w:w="1284"/>
              <w:gridCol w:w="870"/>
              <w:gridCol w:w="870"/>
              <w:gridCol w:w="2655"/>
              <w:gridCol w:w="870"/>
              <w:gridCol w:w="834"/>
            </w:tblGrid>
            <w:tr w14:paraId="698A9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0F032ED0">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序号</w:t>
                  </w:r>
                </w:p>
              </w:tc>
              <w:tc>
                <w:tcPr>
                  <w:tcW w:w="814" w:type="pct"/>
                  <w:vAlign w:val="center"/>
                </w:tcPr>
                <w:p w14:paraId="1A0AA0BE">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排放源</w:t>
                  </w:r>
                </w:p>
              </w:tc>
              <w:tc>
                <w:tcPr>
                  <w:tcW w:w="551" w:type="pct"/>
                  <w:vAlign w:val="center"/>
                </w:tcPr>
                <w:p w14:paraId="45B61B48">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污染物</w:t>
                  </w:r>
                </w:p>
              </w:tc>
              <w:tc>
                <w:tcPr>
                  <w:tcW w:w="551" w:type="pct"/>
                  <w:vAlign w:val="center"/>
                </w:tcPr>
                <w:p w14:paraId="50CFC5C4">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产生量（t/a）</w:t>
                  </w:r>
                </w:p>
              </w:tc>
              <w:tc>
                <w:tcPr>
                  <w:tcW w:w="1684" w:type="pct"/>
                  <w:vAlign w:val="center"/>
                </w:tcPr>
                <w:p w14:paraId="6D0D2F7F">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处理措施</w:t>
                  </w:r>
                </w:p>
              </w:tc>
              <w:tc>
                <w:tcPr>
                  <w:tcW w:w="551" w:type="pct"/>
                  <w:vAlign w:val="center"/>
                </w:tcPr>
                <w:p w14:paraId="6CDDCCAC">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排放方式</w:t>
                  </w:r>
                </w:p>
              </w:tc>
              <w:tc>
                <w:tcPr>
                  <w:tcW w:w="528" w:type="pct"/>
                  <w:vAlign w:val="center"/>
                </w:tcPr>
                <w:p w14:paraId="2DD2E941">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排放量（t/a）</w:t>
                  </w:r>
                </w:p>
              </w:tc>
            </w:tr>
            <w:tr w14:paraId="0DF0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Merge w:val="restart"/>
                  <w:vAlign w:val="center"/>
                </w:tcPr>
                <w:p w14:paraId="3AAC726E">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1</w:t>
                  </w:r>
                </w:p>
              </w:tc>
              <w:tc>
                <w:tcPr>
                  <w:tcW w:w="814" w:type="pct"/>
                  <w:vMerge w:val="restart"/>
                  <w:vAlign w:val="center"/>
                </w:tcPr>
                <w:p w14:paraId="3A636A26">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工艺废气</w:t>
                  </w:r>
                </w:p>
              </w:tc>
              <w:tc>
                <w:tcPr>
                  <w:tcW w:w="551" w:type="pct"/>
                  <w:vMerge w:val="restart"/>
                  <w:vAlign w:val="center"/>
                </w:tcPr>
                <w:p w14:paraId="12208549">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颗粒物</w:t>
                  </w:r>
                </w:p>
              </w:tc>
              <w:tc>
                <w:tcPr>
                  <w:tcW w:w="551" w:type="pct"/>
                  <w:vAlign w:val="center"/>
                </w:tcPr>
                <w:p w14:paraId="02B0703D">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408.6</w:t>
                  </w:r>
                </w:p>
              </w:tc>
              <w:tc>
                <w:tcPr>
                  <w:tcW w:w="1684" w:type="pct"/>
                  <w:vAlign w:val="center"/>
                </w:tcPr>
                <w:p w14:paraId="21845CC4">
                  <w:pPr>
                    <w:pStyle w:val="24"/>
                    <w:bidi w:val="0"/>
                    <w:jc w:val="center"/>
                    <w:rPr>
                      <w:rFonts w:hint="eastAsia"/>
                      <w:color w:val="auto"/>
                      <w:u w:val="single"/>
                      <w:vertAlign w:val="baseline"/>
                      <w:lang w:val="en-US" w:eastAsia="zh-CN"/>
                    </w:rPr>
                  </w:pPr>
                  <w:r>
                    <w:rPr>
                      <w:rFonts w:hint="eastAsia"/>
                      <w:color w:val="auto"/>
                      <w:u w:val="single"/>
                      <w:lang w:val="en-US" w:eastAsia="zh-CN"/>
                    </w:rPr>
                    <w:t>采用旋风除尘器＋布袋除尘＋喷淋处理后通过管道经15m高的排气筒（DA001）排放</w:t>
                  </w:r>
                </w:p>
              </w:tc>
              <w:tc>
                <w:tcPr>
                  <w:tcW w:w="551" w:type="pct"/>
                  <w:vAlign w:val="center"/>
                </w:tcPr>
                <w:p w14:paraId="34E51E2D">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有组织</w:t>
                  </w:r>
                </w:p>
              </w:tc>
              <w:tc>
                <w:tcPr>
                  <w:tcW w:w="528" w:type="pct"/>
                  <w:vAlign w:val="center"/>
                </w:tcPr>
                <w:p w14:paraId="480B97B3">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3.26</w:t>
                  </w:r>
                </w:p>
              </w:tc>
            </w:tr>
            <w:tr w14:paraId="3C8AC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Merge w:val="continue"/>
                  <w:vAlign w:val="center"/>
                </w:tcPr>
                <w:p w14:paraId="3232A4C7">
                  <w:pPr>
                    <w:pStyle w:val="24"/>
                    <w:bidi w:val="0"/>
                    <w:jc w:val="center"/>
                    <w:rPr>
                      <w:rFonts w:hint="eastAsia"/>
                      <w:color w:val="auto"/>
                      <w:u w:val="single"/>
                      <w:vertAlign w:val="baseline"/>
                      <w:lang w:val="en-US" w:eastAsia="zh-CN"/>
                    </w:rPr>
                  </w:pPr>
                </w:p>
              </w:tc>
              <w:tc>
                <w:tcPr>
                  <w:tcW w:w="814" w:type="pct"/>
                  <w:vMerge w:val="continue"/>
                  <w:vAlign w:val="center"/>
                </w:tcPr>
                <w:p w14:paraId="04E7C1EB">
                  <w:pPr>
                    <w:pStyle w:val="24"/>
                    <w:bidi w:val="0"/>
                    <w:jc w:val="center"/>
                    <w:rPr>
                      <w:rFonts w:hint="eastAsia"/>
                      <w:color w:val="auto"/>
                      <w:u w:val="single"/>
                      <w:vertAlign w:val="baseline"/>
                      <w:lang w:val="en-US" w:eastAsia="zh-CN"/>
                    </w:rPr>
                  </w:pPr>
                </w:p>
              </w:tc>
              <w:tc>
                <w:tcPr>
                  <w:tcW w:w="551" w:type="pct"/>
                  <w:vMerge w:val="continue"/>
                  <w:vAlign w:val="center"/>
                </w:tcPr>
                <w:p w14:paraId="4B19C1CC">
                  <w:pPr>
                    <w:pStyle w:val="24"/>
                    <w:bidi w:val="0"/>
                    <w:jc w:val="center"/>
                    <w:rPr>
                      <w:rFonts w:hint="eastAsia"/>
                      <w:color w:val="auto"/>
                      <w:u w:val="single"/>
                      <w:vertAlign w:val="baseline"/>
                      <w:lang w:val="en-US" w:eastAsia="zh-CN"/>
                    </w:rPr>
                  </w:pPr>
                </w:p>
              </w:tc>
              <w:tc>
                <w:tcPr>
                  <w:tcW w:w="551" w:type="pct"/>
                  <w:vAlign w:val="center"/>
                </w:tcPr>
                <w:p w14:paraId="5CA30E55">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45.4</w:t>
                  </w:r>
                </w:p>
              </w:tc>
              <w:tc>
                <w:tcPr>
                  <w:tcW w:w="1684" w:type="pct"/>
                  <w:vAlign w:val="center"/>
                </w:tcPr>
                <w:p w14:paraId="6D4AEAB7">
                  <w:pPr>
                    <w:pStyle w:val="24"/>
                    <w:bidi w:val="0"/>
                    <w:jc w:val="center"/>
                    <w:rPr>
                      <w:rFonts w:hint="default"/>
                      <w:color w:val="auto"/>
                      <w:u w:val="single"/>
                      <w:lang w:val="en-US" w:eastAsia="zh-CN"/>
                    </w:rPr>
                  </w:pPr>
                  <w:r>
                    <w:rPr>
                      <w:rFonts w:hint="eastAsia"/>
                      <w:color w:val="auto"/>
                      <w:u w:val="single"/>
                      <w:lang w:val="en-US" w:eastAsia="zh-CN"/>
                    </w:rPr>
                    <w:t>车间沉降、定期清扫</w:t>
                  </w:r>
                </w:p>
              </w:tc>
              <w:tc>
                <w:tcPr>
                  <w:tcW w:w="551" w:type="pct"/>
                  <w:vAlign w:val="center"/>
                </w:tcPr>
                <w:p w14:paraId="7A59016E">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无组织</w:t>
                  </w:r>
                </w:p>
              </w:tc>
              <w:tc>
                <w:tcPr>
                  <w:tcW w:w="528" w:type="pct"/>
                  <w:vAlign w:val="center"/>
                </w:tcPr>
                <w:p w14:paraId="128F2FE4">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13.62</w:t>
                  </w:r>
                </w:p>
              </w:tc>
            </w:tr>
            <w:tr w14:paraId="15D8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Merge w:val="restart"/>
                  <w:vAlign w:val="center"/>
                </w:tcPr>
                <w:p w14:paraId="540A8C63">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2</w:t>
                  </w:r>
                </w:p>
              </w:tc>
              <w:tc>
                <w:tcPr>
                  <w:tcW w:w="814" w:type="pct"/>
                  <w:vMerge w:val="restart"/>
                  <w:vAlign w:val="center"/>
                </w:tcPr>
                <w:p w14:paraId="63B981BA">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原料挥发</w:t>
                  </w:r>
                </w:p>
              </w:tc>
              <w:tc>
                <w:tcPr>
                  <w:tcW w:w="551" w:type="pct"/>
                  <w:vMerge w:val="restart"/>
                  <w:vAlign w:val="center"/>
                </w:tcPr>
                <w:p w14:paraId="5A926A6A">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氨气</w:t>
                  </w:r>
                </w:p>
              </w:tc>
              <w:tc>
                <w:tcPr>
                  <w:tcW w:w="551" w:type="pct"/>
                  <w:vAlign w:val="center"/>
                </w:tcPr>
                <w:p w14:paraId="5FAF8462">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0.542</w:t>
                  </w:r>
                </w:p>
              </w:tc>
              <w:tc>
                <w:tcPr>
                  <w:tcW w:w="1684" w:type="pct"/>
                  <w:vAlign w:val="center"/>
                </w:tcPr>
                <w:p w14:paraId="3EB298E7">
                  <w:pPr>
                    <w:pStyle w:val="24"/>
                    <w:bidi w:val="0"/>
                    <w:jc w:val="center"/>
                    <w:rPr>
                      <w:rFonts w:hint="eastAsia"/>
                      <w:color w:val="auto"/>
                      <w:u w:val="single"/>
                      <w:vertAlign w:val="baseline"/>
                      <w:lang w:val="en-US" w:eastAsia="zh-CN"/>
                    </w:rPr>
                  </w:pPr>
                  <w:r>
                    <w:rPr>
                      <w:rFonts w:hint="eastAsia"/>
                      <w:color w:val="auto"/>
                      <w:u w:val="single"/>
                      <w:lang w:val="en-US" w:eastAsia="zh-CN"/>
                    </w:rPr>
                    <w:t>采用旋风除尘器＋布袋除尘＋喷淋处理后通过管道经15m高的排气筒（DA001）排放</w:t>
                  </w:r>
                </w:p>
              </w:tc>
              <w:tc>
                <w:tcPr>
                  <w:tcW w:w="551" w:type="pct"/>
                  <w:vAlign w:val="center"/>
                </w:tcPr>
                <w:p w14:paraId="4A94FDDB">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有组织</w:t>
                  </w:r>
                </w:p>
              </w:tc>
              <w:tc>
                <w:tcPr>
                  <w:tcW w:w="528" w:type="pct"/>
                  <w:vAlign w:val="center"/>
                </w:tcPr>
                <w:p w14:paraId="777FAE26">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0.076</w:t>
                  </w:r>
                </w:p>
              </w:tc>
            </w:tr>
            <w:tr w14:paraId="4DC35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Merge w:val="continue"/>
                  <w:vAlign w:val="center"/>
                </w:tcPr>
                <w:p w14:paraId="13FE11BA">
                  <w:pPr>
                    <w:pStyle w:val="24"/>
                    <w:bidi w:val="0"/>
                    <w:jc w:val="center"/>
                    <w:rPr>
                      <w:rFonts w:hint="eastAsia"/>
                      <w:color w:val="auto"/>
                      <w:u w:val="single"/>
                      <w:vertAlign w:val="baseline"/>
                      <w:lang w:val="en-US" w:eastAsia="zh-CN"/>
                    </w:rPr>
                  </w:pPr>
                </w:p>
              </w:tc>
              <w:tc>
                <w:tcPr>
                  <w:tcW w:w="814" w:type="pct"/>
                  <w:vMerge w:val="continue"/>
                  <w:vAlign w:val="center"/>
                </w:tcPr>
                <w:p w14:paraId="4D32BDB6">
                  <w:pPr>
                    <w:pStyle w:val="24"/>
                    <w:bidi w:val="0"/>
                    <w:jc w:val="center"/>
                    <w:rPr>
                      <w:rFonts w:hint="eastAsia"/>
                      <w:color w:val="auto"/>
                      <w:u w:val="single"/>
                      <w:vertAlign w:val="baseline"/>
                      <w:lang w:val="en-US" w:eastAsia="zh-CN"/>
                    </w:rPr>
                  </w:pPr>
                </w:p>
              </w:tc>
              <w:tc>
                <w:tcPr>
                  <w:tcW w:w="551" w:type="pct"/>
                  <w:vMerge w:val="continue"/>
                  <w:vAlign w:val="center"/>
                </w:tcPr>
                <w:p w14:paraId="3EF10F84">
                  <w:pPr>
                    <w:pStyle w:val="24"/>
                    <w:bidi w:val="0"/>
                    <w:jc w:val="center"/>
                    <w:rPr>
                      <w:rFonts w:hint="eastAsia"/>
                      <w:color w:val="auto"/>
                      <w:u w:val="single"/>
                      <w:vertAlign w:val="baseline"/>
                      <w:lang w:val="en-US" w:eastAsia="zh-CN"/>
                    </w:rPr>
                  </w:pPr>
                </w:p>
              </w:tc>
              <w:tc>
                <w:tcPr>
                  <w:tcW w:w="551" w:type="pct"/>
                  <w:vAlign w:val="center"/>
                </w:tcPr>
                <w:p w14:paraId="070FBC59">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0.028</w:t>
                  </w:r>
                </w:p>
              </w:tc>
              <w:tc>
                <w:tcPr>
                  <w:tcW w:w="1684" w:type="pct"/>
                  <w:vAlign w:val="center"/>
                </w:tcPr>
                <w:p w14:paraId="60B2ECA2">
                  <w:pPr>
                    <w:pStyle w:val="24"/>
                    <w:bidi w:val="0"/>
                    <w:jc w:val="center"/>
                    <w:rPr>
                      <w:rFonts w:hint="eastAsia"/>
                      <w:color w:val="auto"/>
                      <w:u w:val="single"/>
                      <w:lang w:val="en-US" w:eastAsia="zh-CN"/>
                    </w:rPr>
                  </w:pPr>
                  <w:r>
                    <w:rPr>
                      <w:rFonts w:hint="eastAsia"/>
                      <w:color w:val="auto"/>
                      <w:u w:val="single"/>
                      <w:lang w:val="en-US" w:eastAsia="zh-CN"/>
                    </w:rPr>
                    <w:t>生产车间全封闭</w:t>
                  </w:r>
                </w:p>
              </w:tc>
              <w:tc>
                <w:tcPr>
                  <w:tcW w:w="551" w:type="pct"/>
                  <w:vAlign w:val="center"/>
                </w:tcPr>
                <w:p w14:paraId="33FE5D1A">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无组织</w:t>
                  </w:r>
                </w:p>
              </w:tc>
              <w:tc>
                <w:tcPr>
                  <w:tcW w:w="528" w:type="pct"/>
                  <w:vAlign w:val="center"/>
                </w:tcPr>
                <w:p w14:paraId="2C0A2B8E">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0.028</w:t>
                  </w:r>
                </w:p>
              </w:tc>
            </w:tr>
            <w:tr w14:paraId="7AB4A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Merge w:val="restart"/>
                  <w:vAlign w:val="center"/>
                </w:tcPr>
                <w:p w14:paraId="337AF5BA">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3</w:t>
                  </w:r>
                </w:p>
              </w:tc>
              <w:tc>
                <w:tcPr>
                  <w:tcW w:w="814" w:type="pct"/>
                  <w:vMerge w:val="restart"/>
                  <w:vAlign w:val="center"/>
                </w:tcPr>
                <w:p w14:paraId="52FACE05">
                  <w:pPr>
                    <w:pStyle w:val="22"/>
                    <w:numPr>
                      <w:ilvl w:val="0"/>
                      <w:numId w:val="0"/>
                    </w:numPr>
                    <w:bidi w:val="0"/>
                    <w:jc w:val="center"/>
                    <w:rPr>
                      <w:rFonts w:hint="default"/>
                      <w:color w:val="auto"/>
                      <w:u w:val="single"/>
                      <w:vertAlign w:val="baseline"/>
                      <w:lang w:val="en-US" w:eastAsia="zh-CN"/>
                    </w:rPr>
                  </w:pPr>
                  <w:r>
                    <w:rPr>
                      <w:rFonts w:hint="eastAsia"/>
                      <w:color w:val="auto"/>
                      <w:sz w:val="21"/>
                      <w:szCs w:val="21"/>
                      <w:u w:val="single"/>
                      <w:vertAlign w:val="baseline"/>
                      <w:lang w:val="en-US" w:eastAsia="zh-CN"/>
                    </w:rPr>
                    <w:t>原料挥发</w:t>
                  </w:r>
                </w:p>
              </w:tc>
              <w:tc>
                <w:tcPr>
                  <w:tcW w:w="551" w:type="pct"/>
                  <w:vMerge w:val="restart"/>
                  <w:vAlign w:val="center"/>
                </w:tcPr>
                <w:p w14:paraId="529E2A09">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氯化氢</w:t>
                  </w:r>
                </w:p>
              </w:tc>
              <w:tc>
                <w:tcPr>
                  <w:tcW w:w="551" w:type="pct"/>
                  <w:vAlign w:val="center"/>
                </w:tcPr>
                <w:p w14:paraId="4D664C70">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0.00426</w:t>
                  </w:r>
                </w:p>
              </w:tc>
              <w:tc>
                <w:tcPr>
                  <w:tcW w:w="1684" w:type="pct"/>
                  <w:vAlign w:val="center"/>
                </w:tcPr>
                <w:p w14:paraId="26CD5044">
                  <w:pPr>
                    <w:pStyle w:val="24"/>
                    <w:bidi w:val="0"/>
                    <w:jc w:val="center"/>
                    <w:rPr>
                      <w:rFonts w:hint="default"/>
                      <w:color w:val="auto"/>
                      <w:u w:val="single"/>
                      <w:vertAlign w:val="baseline"/>
                      <w:lang w:val="en-US" w:eastAsia="zh-CN"/>
                    </w:rPr>
                  </w:pPr>
                  <w:r>
                    <w:rPr>
                      <w:rFonts w:hint="eastAsia"/>
                      <w:color w:val="auto"/>
                      <w:u w:val="single"/>
                      <w:lang w:val="en-US" w:eastAsia="zh-CN"/>
                    </w:rPr>
                    <w:t>采用旋风除尘器＋布袋除尘＋喷淋处理后通过管道经15m高的排气筒（DA001）排放</w:t>
                  </w:r>
                </w:p>
              </w:tc>
              <w:tc>
                <w:tcPr>
                  <w:tcW w:w="551" w:type="pct"/>
                  <w:vAlign w:val="center"/>
                </w:tcPr>
                <w:p w14:paraId="6985BBA5">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有组织</w:t>
                  </w:r>
                </w:p>
              </w:tc>
              <w:tc>
                <w:tcPr>
                  <w:tcW w:w="528" w:type="pct"/>
                  <w:vAlign w:val="center"/>
                </w:tcPr>
                <w:p w14:paraId="0D52B513">
                  <w:pPr>
                    <w:pStyle w:val="24"/>
                    <w:bidi w:val="0"/>
                    <w:jc w:val="center"/>
                    <w:rPr>
                      <w:rFonts w:hint="default"/>
                      <w:color w:val="auto"/>
                      <w:u w:val="single"/>
                      <w:vertAlign w:val="baseline"/>
                      <w:lang w:val="en-US" w:eastAsia="zh-CN"/>
                    </w:rPr>
                  </w:pPr>
                  <w:r>
                    <w:rPr>
                      <w:rFonts w:hint="eastAsia"/>
                      <w:color w:val="auto"/>
                      <w:u w:val="single"/>
                      <w:lang w:val="en-US" w:eastAsia="zh-CN"/>
                    </w:rPr>
                    <w:t>0.0006</w:t>
                  </w:r>
                </w:p>
              </w:tc>
            </w:tr>
            <w:tr w14:paraId="5B704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Merge w:val="continue"/>
                  <w:vAlign w:val="center"/>
                </w:tcPr>
                <w:p w14:paraId="1CF69AAC">
                  <w:pPr>
                    <w:pStyle w:val="24"/>
                    <w:bidi w:val="0"/>
                    <w:jc w:val="center"/>
                    <w:rPr>
                      <w:rFonts w:hint="eastAsia"/>
                      <w:color w:val="auto"/>
                      <w:u w:val="single"/>
                      <w:vertAlign w:val="baseline"/>
                      <w:lang w:val="en-US" w:eastAsia="zh-CN"/>
                    </w:rPr>
                  </w:pPr>
                </w:p>
              </w:tc>
              <w:tc>
                <w:tcPr>
                  <w:tcW w:w="814" w:type="pct"/>
                  <w:vMerge w:val="continue"/>
                  <w:vAlign w:val="center"/>
                </w:tcPr>
                <w:p w14:paraId="32ACE3D4">
                  <w:pPr>
                    <w:pStyle w:val="22"/>
                    <w:numPr>
                      <w:ilvl w:val="0"/>
                      <w:numId w:val="0"/>
                    </w:numPr>
                    <w:bidi w:val="0"/>
                    <w:jc w:val="center"/>
                    <w:rPr>
                      <w:rFonts w:hint="eastAsia"/>
                      <w:color w:val="auto"/>
                      <w:sz w:val="21"/>
                      <w:szCs w:val="21"/>
                      <w:u w:val="single"/>
                      <w:vertAlign w:val="baseline"/>
                      <w:lang w:val="en-US" w:eastAsia="zh-CN"/>
                    </w:rPr>
                  </w:pPr>
                </w:p>
              </w:tc>
              <w:tc>
                <w:tcPr>
                  <w:tcW w:w="551" w:type="pct"/>
                  <w:vMerge w:val="continue"/>
                  <w:vAlign w:val="center"/>
                </w:tcPr>
                <w:p w14:paraId="0B290960">
                  <w:pPr>
                    <w:pStyle w:val="24"/>
                    <w:bidi w:val="0"/>
                    <w:jc w:val="center"/>
                    <w:rPr>
                      <w:rFonts w:hint="eastAsia"/>
                      <w:color w:val="auto"/>
                      <w:u w:val="single"/>
                      <w:vertAlign w:val="baseline"/>
                      <w:lang w:val="en-US" w:eastAsia="zh-CN"/>
                    </w:rPr>
                  </w:pPr>
                </w:p>
              </w:tc>
              <w:tc>
                <w:tcPr>
                  <w:tcW w:w="551" w:type="pct"/>
                  <w:vAlign w:val="center"/>
                </w:tcPr>
                <w:p w14:paraId="126B9B7D">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0.00024</w:t>
                  </w:r>
                </w:p>
              </w:tc>
              <w:tc>
                <w:tcPr>
                  <w:tcW w:w="1684" w:type="pct"/>
                  <w:vAlign w:val="center"/>
                </w:tcPr>
                <w:p w14:paraId="67D8B6B9">
                  <w:pPr>
                    <w:pStyle w:val="24"/>
                    <w:bidi w:val="0"/>
                    <w:jc w:val="center"/>
                    <w:rPr>
                      <w:rFonts w:hint="eastAsia"/>
                      <w:color w:val="auto"/>
                      <w:u w:val="single"/>
                      <w:lang w:val="en-US" w:eastAsia="zh-CN"/>
                    </w:rPr>
                  </w:pPr>
                  <w:r>
                    <w:rPr>
                      <w:rFonts w:hint="eastAsia"/>
                      <w:color w:val="auto"/>
                      <w:u w:val="single"/>
                      <w:lang w:val="en-US" w:eastAsia="zh-CN"/>
                    </w:rPr>
                    <w:t>生产车间全封闭</w:t>
                  </w:r>
                </w:p>
              </w:tc>
              <w:tc>
                <w:tcPr>
                  <w:tcW w:w="551" w:type="pct"/>
                  <w:vAlign w:val="center"/>
                </w:tcPr>
                <w:p w14:paraId="3BA9EE8B">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无组织</w:t>
                  </w:r>
                </w:p>
              </w:tc>
              <w:tc>
                <w:tcPr>
                  <w:tcW w:w="528" w:type="pct"/>
                  <w:vAlign w:val="center"/>
                </w:tcPr>
                <w:p w14:paraId="2F27B623">
                  <w:pPr>
                    <w:pStyle w:val="24"/>
                    <w:bidi w:val="0"/>
                    <w:jc w:val="center"/>
                    <w:rPr>
                      <w:rFonts w:hint="default"/>
                      <w:color w:val="auto"/>
                      <w:u w:val="single"/>
                      <w:lang w:val="en-US" w:eastAsia="zh-CN"/>
                    </w:rPr>
                  </w:pPr>
                  <w:r>
                    <w:rPr>
                      <w:rFonts w:hint="eastAsia"/>
                      <w:color w:val="auto"/>
                      <w:u w:val="single"/>
                      <w:lang w:val="en-US" w:eastAsia="zh-CN"/>
                    </w:rPr>
                    <w:t>0.00024</w:t>
                  </w:r>
                </w:p>
              </w:tc>
            </w:tr>
            <w:tr w14:paraId="408D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3DDCB459">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4</w:t>
                  </w:r>
                </w:p>
              </w:tc>
              <w:tc>
                <w:tcPr>
                  <w:tcW w:w="814" w:type="pct"/>
                  <w:vAlign w:val="center"/>
                </w:tcPr>
                <w:p w14:paraId="73F0B11E">
                  <w:pPr>
                    <w:pStyle w:val="24"/>
                    <w:bidi w:val="0"/>
                    <w:jc w:val="center"/>
                    <w:rPr>
                      <w:rFonts w:hint="eastAsia"/>
                      <w:color w:val="auto"/>
                      <w:u w:val="single"/>
                      <w:vertAlign w:val="baseline"/>
                      <w:lang w:val="en-US" w:eastAsia="zh-CN"/>
                    </w:rPr>
                  </w:pPr>
                  <w:r>
                    <w:rPr>
                      <w:rFonts w:hint="eastAsia"/>
                      <w:color w:val="auto"/>
                      <w:u w:val="single"/>
                      <w:lang w:val="en-US" w:eastAsia="zh-CN"/>
                    </w:rPr>
                    <w:t>热风炉烟气</w:t>
                  </w:r>
                </w:p>
              </w:tc>
              <w:tc>
                <w:tcPr>
                  <w:tcW w:w="551" w:type="pct"/>
                  <w:vAlign w:val="center"/>
                </w:tcPr>
                <w:p w14:paraId="5D486912">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颗粒物</w:t>
                  </w:r>
                </w:p>
              </w:tc>
              <w:tc>
                <w:tcPr>
                  <w:tcW w:w="551" w:type="pct"/>
                  <w:vAlign w:val="center"/>
                </w:tcPr>
                <w:p w14:paraId="09C4DE83">
                  <w:pPr>
                    <w:pStyle w:val="24"/>
                    <w:bidi w:val="0"/>
                    <w:jc w:val="center"/>
                    <w:rPr>
                      <w:rFonts w:hint="default"/>
                      <w:color w:val="auto"/>
                      <w:u w:val="single"/>
                      <w:vertAlign w:val="baseline"/>
                      <w:lang w:val="en-US" w:eastAsia="zh-CN"/>
                    </w:rPr>
                  </w:pPr>
                  <w:r>
                    <w:rPr>
                      <w:rFonts w:hint="eastAsia"/>
                      <w:color w:val="auto"/>
                      <w:highlight w:val="none"/>
                      <w:u w:val="single"/>
                      <w:lang w:val="en-US" w:eastAsia="zh-CN"/>
                    </w:rPr>
                    <w:t>0.05</w:t>
                  </w:r>
                </w:p>
              </w:tc>
              <w:tc>
                <w:tcPr>
                  <w:tcW w:w="1684" w:type="pct"/>
                  <w:vAlign w:val="center"/>
                </w:tcPr>
                <w:p w14:paraId="077DB564">
                  <w:pPr>
                    <w:pStyle w:val="24"/>
                    <w:bidi w:val="0"/>
                    <w:jc w:val="center"/>
                    <w:rPr>
                      <w:rFonts w:hint="eastAsia"/>
                      <w:color w:val="auto"/>
                      <w:u w:val="single"/>
                      <w:vertAlign w:val="baseline"/>
                      <w:lang w:val="en-US" w:eastAsia="zh-CN"/>
                    </w:rPr>
                  </w:pPr>
                  <w:r>
                    <w:rPr>
                      <w:rFonts w:hint="eastAsia"/>
                      <w:color w:val="auto"/>
                      <w:u w:val="single"/>
                      <w:lang w:val="en-US" w:eastAsia="zh-CN"/>
                    </w:rPr>
                    <w:t>通过15m高的排气筒（DA002）排放</w:t>
                  </w:r>
                </w:p>
              </w:tc>
              <w:tc>
                <w:tcPr>
                  <w:tcW w:w="551" w:type="pct"/>
                  <w:vAlign w:val="center"/>
                </w:tcPr>
                <w:p w14:paraId="65F3F896">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有组织</w:t>
                  </w:r>
                </w:p>
              </w:tc>
              <w:tc>
                <w:tcPr>
                  <w:tcW w:w="528" w:type="pct"/>
                  <w:vAlign w:val="center"/>
                </w:tcPr>
                <w:p w14:paraId="279117B6">
                  <w:pPr>
                    <w:pStyle w:val="24"/>
                    <w:bidi w:val="0"/>
                    <w:jc w:val="center"/>
                    <w:rPr>
                      <w:rFonts w:hint="default"/>
                      <w:color w:val="auto"/>
                      <w:u w:val="single"/>
                      <w:vertAlign w:val="baseline"/>
                      <w:lang w:val="en-US" w:eastAsia="zh-CN"/>
                    </w:rPr>
                  </w:pPr>
                  <w:r>
                    <w:rPr>
                      <w:rFonts w:hint="eastAsia"/>
                      <w:color w:val="auto"/>
                      <w:highlight w:val="none"/>
                      <w:u w:val="single"/>
                      <w:lang w:val="en-US" w:eastAsia="zh-CN"/>
                    </w:rPr>
                    <w:t>0.05</w:t>
                  </w:r>
                </w:p>
              </w:tc>
            </w:tr>
            <w:tr w14:paraId="34055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5DA2ED5B">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5</w:t>
                  </w:r>
                </w:p>
              </w:tc>
              <w:tc>
                <w:tcPr>
                  <w:tcW w:w="814" w:type="pct"/>
                  <w:vAlign w:val="center"/>
                </w:tcPr>
                <w:p w14:paraId="58784203">
                  <w:pPr>
                    <w:pStyle w:val="24"/>
                    <w:bidi w:val="0"/>
                    <w:jc w:val="center"/>
                    <w:rPr>
                      <w:rFonts w:hint="eastAsia"/>
                      <w:color w:val="auto"/>
                      <w:u w:val="single"/>
                      <w:lang w:val="en-US" w:eastAsia="zh-CN"/>
                    </w:rPr>
                  </w:pPr>
                  <w:r>
                    <w:rPr>
                      <w:rFonts w:hint="eastAsia"/>
                      <w:color w:val="auto"/>
                      <w:u w:val="single"/>
                      <w:lang w:val="en-US" w:eastAsia="zh-CN"/>
                    </w:rPr>
                    <w:t>热风炉烟气</w:t>
                  </w:r>
                </w:p>
              </w:tc>
              <w:tc>
                <w:tcPr>
                  <w:tcW w:w="551" w:type="pct"/>
                  <w:vAlign w:val="center"/>
                </w:tcPr>
                <w:p w14:paraId="5E8792FF">
                  <w:pPr>
                    <w:pStyle w:val="24"/>
                    <w:bidi w:val="0"/>
                    <w:jc w:val="center"/>
                    <w:rPr>
                      <w:rFonts w:hint="eastAsia"/>
                      <w:color w:val="auto"/>
                      <w:u w:val="single"/>
                      <w:vertAlign w:val="baseline"/>
                      <w:lang w:val="en-US" w:eastAsia="zh-CN"/>
                    </w:rPr>
                  </w:pPr>
                  <w:r>
                    <w:rPr>
                      <w:rFonts w:hint="default" w:ascii="Times New Roman" w:hAnsi="Times New Roman" w:eastAsia="宋体" w:cs="Times New Roman"/>
                      <w:b w:val="0"/>
                      <w:color w:val="auto"/>
                      <w:kern w:val="2"/>
                      <w:sz w:val="24"/>
                      <w:szCs w:val="24"/>
                      <w:u w:val="single" w:color="auto"/>
                      <w:lang w:val="en-US" w:eastAsia="zh-CN" w:bidi="ar-SA"/>
                    </w:rPr>
                    <w:t>SO</w:t>
                  </w:r>
                  <w:r>
                    <w:rPr>
                      <w:rFonts w:hint="default" w:ascii="Times New Roman" w:hAnsi="Times New Roman" w:eastAsia="宋体" w:cs="Times New Roman"/>
                      <w:b w:val="0"/>
                      <w:color w:val="auto"/>
                      <w:kern w:val="2"/>
                      <w:sz w:val="24"/>
                      <w:szCs w:val="24"/>
                      <w:u w:val="single" w:color="auto"/>
                      <w:vertAlign w:val="subscript"/>
                      <w:lang w:val="en-US" w:eastAsia="zh-CN" w:bidi="ar-SA"/>
                    </w:rPr>
                    <w:t>2</w:t>
                  </w:r>
                </w:p>
              </w:tc>
              <w:tc>
                <w:tcPr>
                  <w:tcW w:w="551" w:type="pct"/>
                  <w:vAlign w:val="center"/>
                </w:tcPr>
                <w:p w14:paraId="4441FD33">
                  <w:pPr>
                    <w:pStyle w:val="24"/>
                    <w:bidi w:val="0"/>
                    <w:jc w:val="center"/>
                    <w:rPr>
                      <w:rFonts w:hint="default"/>
                      <w:color w:val="auto"/>
                      <w:highlight w:val="none"/>
                      <w:u w:val="single"/>
                      <w:lang w:val="en-US" w:eastAsia="zh-CN"/>
                    </w:rPr>
                  </w:pPr>
                  <w:r>
                    <w:rPr>
                      <w:rFonts w:hint="eastAsia"/>
                      <w:color w:val="auto"/>
                      <w:highlight w:val="none"/>
                      <w:u w:val="single"/>
                      <w:lang w:val="en-US" w:eastAsia="zh-CN"/>
                    </w:rPr>
                    <w:t>0.07</w:t>
                  </w:r>
                </w:p>
              </w:tc>
              <w:tc>
                <w:tcPr>
                  <w:tcW w:w="1684" w:type="pct"/>
                  <w:vAlign w:val="center"/>
                </w:tcPr>
                <w:p w14:paraId="14DEE0B1">
                  <w:pPr>
                    <w:pStyle w:val="24"/>
                    <w:bidi w:val="0"/>
                    <w:jc w:val="center"/>
                    <w:rPr>
                      <w:rFonts w:hint="eastAsia"/>
                      <w:color w:val="auto"/>
                      <w:u w:val="single"/>
                      <w:lang w:val="en-US" w:eastAsia="zh-CN"/>
                    </w:rPr>
                  </w:pPr>
                  <w:r>
                    <w:rPr>
                      <w:rFonts w:hint="eastAsia"/>
                      <w:color w:val="auto"/>
                      <w:u w:val="single"/>
                      <w:lang w:val="en-US" w:eastAsia="zh-CN"/>
                    </w:rPr>
                    <w:t>通过15m高的排气筒（DA002）排放</w:t>
                  </w:r>
                </w:p>
              </w:tc>
              <w:tc>
                <w:tcPr>
                  <w:tcW w:w="551" w:type="pct"/>
                  <w:vAlign w:val="center"/>
                </w:tcPr>
                <w:p w14:paraId="6D05A9E1">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有组织</w:t>
                  </w:r>
                </w:p>
              </w:tc>
              <w:tc>
                <w:tcPr>
                  <w:tcW w:w="528" w:type="pct"/>
                  <w:vAlign w:val="center"/>
                </w:tcPr>
                <w:p w14:paraId="1282668E">
                  <w:pPr>
                    <w:pStyle w:val="24"/>
                    <w:bidi w:val="0"/>
                    <w:jc w:val="center"/>
                    <w:rPr>
                      <w:rFonts w:hint="default"/>
                      <w:color w:val="auto"/>
                      <w:highlight w:val="none"/>
                      <w:u w:val="single"/>
                      <w:lang w:val="en-US" w:eastAsia="zh-CN"/>
                    </w:rPr>
                  </w:pPr>
                  <w:r>
                    <w:rPr>
                      <w:rFonts w:hint="eastAsia"/>
                      <w:color w:val="auto"/>
                      <w:highlight w:val="none"/>
                      <w:u w:val="single"/>
                      <w:lang w:val="en-US" w:eastAsia="zh-CN"/>
                    </w:rPr>
                    <w:t>0.07</w:t>
                  </w:r>
                </w:p>
              </w:tc>
            </w:tr>
            <w:tr w14:paraId="11956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7" w:type="pct"/>
                  <w:vAlign w:val="center"/>
                </w:tcPr>
                <w:p w14:paraId="03C225C5">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6</w:t>
                  </w:r>
                </w:p>
              </w:tc>
              <w:tc>
                <w:tcPr>
                  <w:tcW w:w="814" w:type="pct"/>
                  <w:vAlign w:val="center"/>
                </w:tcPr>
                <w:p w14:paraId="1652BE75">
                  <w:pPr>
                    <w:pStyle w:val="24"/>
                    <w:bidi w:val="0"/>
                    <w:jc w:val="center"/>
                    <w:rPr>
                      <w:rFonts w:hint="eastAsia"/>
                      <w:color w:val="auto"/>
                      <w:u w:val="single"/>
                      <w:lang w:val="en-US" w:eastAsia="zh-CN"/>
                    </w:rPr>
                  </w:pPr>
                  <w:r>
                    <w:rPr>
                      <w:rFonts w:hint="eastAsia"/>
                      <w:color w:val="auto"/>
                      <w:u w:val="single"/>
                      <w:lang w:val="en-US" w:eastAsia="zh-CN"/>
                    </w:rPr>
                    <w:t>热风炉烟气</w:t>
                  </w:r>
                </w:p>
              </w:tc>
              <w:tc>
                <w:tcPr>
                  <w:tcW w:w="551" w:type="pct"/>
                  <w:vAlign w:val="center"/>
                </w:tcPr>
                <w:p w14:paraId="0AF5D697">
                  <w:pPr>
                    <w:pStyle w:val="24"/>
                    <w:bidi w:val="0"/>
                    <w:jc w:val="center"/>
                    <w:rPr>
                      <w:rFonts w:hint="default" w:ascii="Times New Roman" w:hAnsi="Times New Roman" w:eastAsia="宋体" w:cs="Times New Roman"/>
                      <w:b w:val="0"/>
                      <w:color w:val="auto"/>
                      <w:kern w:val="2"/>
                      <w:sz w:val="24"/>
                      <w:szCs w:val="24"/>
                      <w:u w:val="single" w:color="auto"/>
                      <w:lang w:val="en-US" w:eastAsia="zh-CN" w:bidi="ar-SA"/>
                    </w:rPr>
                  </w:pPr>
                  <w:r>
                    <w:rPr>
                      <w:rFonts w:hint="default" w:ascii="Times New Roman" w:hAnsi="Times New Roman" w:eastAsia="宋体" w:cs="Times New Roman"/>
                      <w:b w:val="0"/>
                      <w:color w:val="auto"/>
                      <w:kern w:val="2"/>
                      <w:sz w:val="24"/>
                      <w:szCs w:val="24"/>
                      <w:u w:val="single" w:color="auto"/>
                      <w:lang w:val="en-US" w:eastAsia="zh-CN" w:bidi="ar-SA"/>
                    </w:rPr>
                    <w:t>NO</w:t>
                  </w:r>
                  <w:r>
                    <w:rPr>
                      <w:rFonts w:hint="default" w:ascii="Times New Roman" w:hAnsi="Times New Roman" w:eastAsia="宋体" w:cs="Times New Roman"/>
                      <w:b w:val="0"/>
                      <w:color w:val="auto"/>
                      <w:kern w:val="2"/>
                      <w:sz w:val="24"/>
                      <w:szCs w:val="24"/>
                      <w:u w:val="single" w:color="auto"/>
                      <w:vertAlign w:val="subscript"/>
                      <w:lang w:val="en-US" w:eastAsia="zh-CN" w:bidi="ar-SA"/>
                    </w:rPr>
                    <w:t>X</w:t>
                  </w:r>
                </w:p>
              </w:tc>
              <w:tc>
                <w:tcPr>
                  <w:tcW w:w="551" w:type="pct"/>
                  <w:vAlign w:val="center"/>
                </w:tcPr>
                <w:p w14:paraId="513158A7">
                  <w:pPr>
                    <w:pStyle w:val="24"/>
                    <w:bidi w:val="0"/>
                    <w:jc w:val="center"/>
                    <w:rPr>
                      <w:rFonts w:hint="default"/>
                      <w:color w:val="auto"/>
                      <w:highlight w:val="none"/>
                      <w:u w:val="single"/>
                      <w:lang w:val="en-US" w:eastAsia="zh-CN"/>
                    </w:rPr>
                  </w:pPr>
                  <w:r>
                    <w:rPr>
                      <w:rFonts w:hint="eastAsia"/>
                      <w:color w:val="auto"/>
                      <w:highlight w:val="none"/>
                      <w:u w:val="single"/>
                      <w:lang w:val="en-US" w:eastAsia="zh-CN"/>
                    </w:rPr>
                    <w:t>0.54</w:t>
                  </w:r>
                </w:p>
              </w:tc>
              <w:tc>
                <w:tcPr>
                  <w:tcW w:w="1684" w:type="pct"/>
                  <w:vAlign w:val="center"/>
                </w:tcPr>
                <w:p w14:paraId="0600397F">
                  <w:pPr>
                    <w:pStyle w:val="24"/>
                    <w:bidi w:val="0"/>
                    <w:jc w:val="center"/>
                    <w:rPr>
                      <w:rFonts w:hint="eastAsia"/>
                      <w:color w:val="auto"/>
                      <w:u w:val="single"/>
                      <w:lang w:val="en-US" w:eastAsia="zh-CN"/>
                    </w:rPr>
                  </w:pPr>
                  <w:r>
                    <w:rPr>
                      <w:rFonts w:hint="eastAsia"/>
                      <w:color w:val="auto"/>
                      <w:u w:val="single"/>
                      <w:lang w:val="en-US" w:eastAsia="zh-CN"/>
                    </w:rPr>
                    <w:t>通过15m高的排气筒（DA002）排放</w:t>
                  </w:r>
                </w:p>
              </w:tc>
              <w:tc>
                <w:tcPr>
                  <w:tcW w:w="551" w:type="pct"/>
                  <w:vAlign w:val="center"/>
                </w:tcPr>
                <w:p w14:paraId="585D8C21">
                  <w:pPr>
                    <w:pStyle w:val="24"/>
                    <w:bidi w:val="0"/>
                    <w:jc w:val="center"/>
                    <w:rPr>
                      <w:rFonts w:hint="eastAsia"/>
                      <w:color w:val="auto"/>
                      <w:u w:val="single"/>
                      <w:vertAlign w:val="baseline"/>
                      <w:lang w:val="en-US" w:eastAsia="zh-CN"/>
                    </w:rPr>
                  </w:pPr>
                  <w:r>
                    <w:rPr>
                      <w:rFonts w:hint="eastAsia"/>
                      <w:color w:val="auto"/>
                      <w:u w:val="single"/>
                      <w:vertAlign w:val="baseline"/>
                      <w:lang w:val="en-US" w:eastAsia="zh-CN"/>
                    </w:rPr>
                    <w:t>有组织</w:t>
                  </w:r>
                </w:p>
              </w:tc>
              <w:tc>
                <w:tcPr>
                  <w:tcW w:w="528" w:type="pct"/>
                  <w:vAlign w:val="center"/>
                </w:tcPr>
                <w:p w14:paraId="337C48CF">
                  <w:pPr>
                    <w:pStyle w:val="24"/>
                    <w:bidi w:val="0"/>
                    <w:jc w:val="center"/>
                    <w:rPr>
                      <w:rFonts w:hint="default"/>
                      <w:color w:val="auto"/>
                      <w:highlight w:val="none"/>
                      <w:u w:val="single"/>
                      <w:lang w:val="en-US" w:eastAsia="zh-CN"/>
                    </w:rPr>
                  </w:pPr>
                  <w:r>
                    <w:rPr>
                      <w:rFonts w:hint="eastAsia"/>
                      <w:color w:val="auto"/>
                      <w:highlight w:val="none"/>
                      <w:u w:val="single"/>
                      <w:lang w:val="en-US" w:eastAsia="zh-CN"/>
                    </w:rPr>
                    <w:t>0.54</w:t>
                  </w:r>
                </w:p>
              </w:tc>
            </w:tr>
          </w:tbl>
          <w:p w14:paraId="4FA48589">
            <w:pPr>
              <w:pStyle w:val="21"/>
              <w:bidi w:val="0"/>
              <w:rPr>
                <w:rFonts w:hint="default"/>
                <w:color w:val="4874CB" w:themeColor="accent1"/>
                <w:lang w:val="en-US" w:eastAsia="zh-CN"/>
                <w14:textFill>
                  <w14:solidFill>
                    <w14:schemeClr w14:val="accent1"/>
                  </w14:solidFill>
                </w14:textFill>
              </w:rPr>
            </w:pPr>
            <w:r>
              <w:rPr>
                <w:rFonts w:hint="default"/>
                <w:color w:val="auto"/>
                <w:lang w:val="en-US" w:eastAsia="zh-CN"/>
              </w:rPr>
              <w:t>1.</w:t>
            </w:r>
            <w:r>
              <w:rPr>
                <w:rFonts w:hint="eastAsia"/>
                <w:color w:val="auto"/>
                <w:lang w:val="en-US" w:eastAsia="zh-CN"/>
              </w:rPr>
              <w:t>3 废气处理</w:t>
            </w:r>
            <w:r>
              <w:rPr>
                <w:rFonts w:hint="default"/>
                <w:color w:val="auto"/>
                <w:lang w:val="en-US" w:eastAsia="zh-CN"/>
              </w:rPr>
              <w:t>措施可行性分析</w:t>
            </w:r>
          </w:p>
          <w:p w14:paraId="0B26B094">
            <w:pPr>
              <w:pStyle w:val="22"/>
              <w:bidi w:val="0"/>
              <w:rPr>
                <w:rFonts w:hint="default"/>
                <w:color w:val="auto"/>
                <w:u w:val="single"/>
                <w:lang w:val="en-US" w:eastAsia="zh-CN"/>
              </w:rPr>
            </w:pPr>
            <w:r>
              <w:rPr>
                <w:rFonts w:hint="eastAsia"/>
                <w:color w:val="auto"/>
                <w:u w:val="single"/>
                <w:lang w:val="en-US" w:eastAsia="zh-CN"/>
              </w:rPr>
              <w:t>根据</w:t>
            </w:r>
            <w:r>
              <w:rPr>
                <w:rFonts w:hint="default"/>
                <w:color w:val="auto"/>
                <w:u w:val="single"/>
                <w:lang w:val="en-US" w:eastAsia="zh-CN"/>
              </w:rPr>
              <w:t>《排污许可证申请与核发技术规范 磷肥、 钾肥 、复混钾肥 、有机肥料及微生物肥料工业》(HJ 864.2-2018)</w:t>
            </w:r>
            <w:r>
              <w:rPr>
                <w:rFonts w:hint="eastAsia"/>
                <w:color w:val="auto"/>
                <w:u w:val="single"/>
                <w:lang w:val="en-US" w:eastAsia="zh-CN"/>
              </w:rPr>
              <w:t>，颗粒物可行治理技术有：“</w:t>
            </w:r>
            <w:r>
              <w:rPr>
                <w:rFonts w:hint="default"/>
                <w:color w:val="auto"/>
                <w:u w:val="single"/>
                <w:lang w:val="en-US" w:eastAsia="zh-CN"/>
              </w:rPr>
              <w:t>袋式除尘、</w:t>
            </w:r>
            <w:r>
              <w:rPr>
                <w:rFonts w:hint="eastAsia"/>
                <w:color w:val="auto"/>
                <w:u w:val="single"/>
                <w:lang w:val="en-US" w:eastAsia="zh-CN"/>
              </w:rPr>
              <w:t>湿式除尘+除雾、</w:t>
            </w:r>
            <w:r>
              <w:rPr>
                <w:rFonts w:hint="default"/>
                <w:color w:val="auto"/>
                <w:u w:val="single"/>
                <w:lang w:val="en-US" w:eastAsia="zh-CN"/>
              </w:rPr>
              <w:t>其他</w:t>
            </w:r>
            <w:r>
              <w:rPr>
                <w:rFonts w:hint="eastAsia"/>
                <w:color w:val="auto"/>
                <w:u w:val="single"/>
                <w:lang w:val="en-US" w:eastAsia="zh-CN"/>
              </w:rPr>
              <w:t>”；氨、氯化氢可行治理技术有：“湿式除尘（文丘里、喷淋塔）、生物除臭、吸收、其他”。本项目工艺废气采用旋旋风除尘器＋布袋除尘＋喷淋处理后通过管道经15m高的排气筒排放，热风炉烟气通过15m高的排气筒排放；</w:t>
            </w:r>
            <w:r>
              <w:rPr>
                <w:rFonts w:hint="default"/>
                <w:color w:val="auto"/>
                <w:u w:val="single"/>
                <w:lang w:val="en-US" w:eastAsia="zh-CN"/>
              </w:rPr>
              <w:t>采取的措施属于可行的技术。</w:t>
            </w:r>
          </w:p>
          <w:p w14:paraId="5E622389">
            <w:pPr>
              <w:pStyle w:val="22"/>
              <w:bidi w:val="0"/>
              <w:rPr>
                <w:rFonts w:hint="eastAsia" w:ascii="Times New Roman" w:hAnsi="Times New Roman" w:eastAsia="宋体" w:cs="Times New Roman"/>
                <w:color w:val="auto"/>
                <w:kern w:val="2"/>
                <w:sz w:val="24"/>
                <w:szCs w:val="24"/>
                <w:u w:val="single"/>
                <w:lang w:val="en-US" w:eastAsia="zh-CN" w:bidi="ar-SA"/>
              </w:rPr>
            </w:pPr>
            <w:r>
              <w:rPr>
                <w:rFonts w:hint="eastAsia"/>
                <w:color w:val="auto"/>
                <w:u w:val="single"/>
                <w:lang w:val="en-US" w:eastAsia="zh-CN"/>
              </w:rPr>
              <w:t>工艺废气排气筒(DA001)高15m，直径0.3m，位于生产车间西侧（东经113°13'42"，北纬29°03'54"）；热风炉烟气排气筒(DA002)高15m，直径0.3m，位于生产车间西侧（东经113°13'43"，北纬29°03'53"）。项目排气筒200m范围内最高建筑为三层9米高的研发楼，生产车间以及厂库的层高均为8米。执行</w:t>
            </w:r>
            <w:r>
              <w:rPr>
                <w:rFonts w:hint="eastAsia" w:ascii="Times New Roman" w:hAnsi="Times New Roman" w:eastAsia="宋体" w:cs="Times New Roman"/>
                <w:color w:val="auto"/>
                <w:kern w:val="2"/>
                <w:sz w:val="24"/>
                <w:szCs w:val="24"/>
                <w:u w:val="single"/>
                <w:lang w:val="en-US" w:eastAsia="zh-CN" w:bidi="ar-SA"/>
              </w:rPr>
              <w:t>《大气污染物综合排放标准》（GB16297</w:t>
            </w:r>
            <w:r>
              <w:rPr>
                <w:rFonts w:hint="default" w:ascii="Times New Roman" w:hAnsi="Times New Roman" w:eastAsia="宋体" w:cs="Times New Roman"/>
                <w:color w:val="auto"/>
                <w:kern w:val="2"/>
                <w:sz w:val="24"/>
                <w:szCs w:val="24"/>
                <w:u w:val="single"/>
                <w:lang w:val="en-US" w:eastAsia="zh-CN" w:bidi="ar-SA"/>
              </w:rPr>
              <w:t>-</w:t>
            </w:r>
            <w:r>
              <w:rPr>
                <w:rFonts w:hint="eastAsia" w:ascii="Times New Roman" w:hAnsi="Times New Roman" w:eastAsia="宋体" w:cs="Times New Roman"/>
                <w:color w:val="auto"/>
                <w:kern w:val="2"/>
                <w:sz w:val="24"/>
                <w:szCs w:val="24"/>
                <w:u w:val="single"/>
                <w:lang w:val="en-US" w:eastAsia="zh-CN" w:bidi="ar-SA"/>
              </w:rPr>
              <w:t>1996）的DA001</w:t>
            </w:r>
            <w:r>
              <w:rPr>
                <w:rFonts w:hint="eastAsia" w:cs="Times New Roman"/>
                <w:color w:val="auto"/>
                <w:kern w:val="2"/>
                <w:sz w:val="24"/>
                <w:szCs w:val="24"/>
                <w:u w:val="single"/>
                <w:lang w:val="en-US" w:eastAsia="zh-CN" w:bidi="ar-SA"/>
              </w:rPr>
              <w:t>、DA002</w:t>
            </w:r>
            <w:r>
              <w:rPr>
                <w:rFonts w:hint="eastAsia" w:ascii="Times New Roman" w:hAnsi="Times New Roman" w:eastAsia="宋体" w:cs="Times New Roman"/>
                <w:color w:val="auto"/>
                <w:kern w:val="2"/>
                <w:sz w:val="24"/>
                <w:szCs w:val="24"/>
                <w:u w:val="single"/>
                <w:lang w:val="en-US" w:eastAsia="zh-CN" w:bidi="ar-SA"/>
              </w:rPr>
              <w:t>排气筒能满足“高于周围200m范围内建筑5m以上”的要求。</w:t>
            </w:r>
          </w:p>
          <w:p w14:paraId="1F142B62">
            <w:pPr>
              <w:pStyle w:val="22"/>
              <w:bidi w:val="0"/>
              <w:rPr>
                <w:rFonts w:hint="default" w:ascii="Times New Roman" w:hAnsi="Times New Roman" w:eastAsia="宋体" w:cs="Times New Roman"/>
                <w:color w:val="auto"/>
                <w:u w:val="single"/>
                <w:vertAlign w:val="baseline"/>
                <w:lang w:val="en-US" w:eastAsia="zh-CN"/>
              </w:rPr>
            </w:pPr>
            <w:r>
              <w:rPr>
                <w:rFonts w:hint="eastAsia"/>
                <w:color w:val="auto"/>
                <w:u w:val="single"/>
                <w:lang w:val="en-US" w:eastAsia="zh-CN"/>
              </w:rPr>
              <w:t>DA001排气筒颗粒物、氯化氢执行《大气污染物综合排放标准》（GB16297-1996）表2中二级标准，颗粒物最高允许排放浓度为120mg/m</w:t>
            </w:r>
            <w:r>
              <w:rPr>
                <w:rFonts w:hint="eastAsia"/>
                <w:color w:val="auto"/>
                <w:u w:val="single"/>
                <w:vertAlign w:val="superscript"/>
                <w:lang w:val="en-US" w:eastAsia="zh-CN"/>
              </w:rPr>
              <w:t>3</w:t>
            </w:r>
            <w:r>
              <w:rPr>
                <w:rFonts w:hint="eastAsia"/>
                <w:color w:val="auto"/>
                <w:u w:val="single"/>
                <w:vertAlign w:val="baseline"/>
                <w:lang w:val="en-US" w:eastAsia="zh-CN"/>
              </w:rPr>
              <w:t>，氯化氢</w:t>
            </w:r>
            <w:r>
              <w:rPr>
                <w:rFonts w:hint="eastAsia"/>
                <w:color w:val="auto"/>
                <w:u w:val="single"/>
                <w:lang w:val="en-US" w:eastAsia="zh-CN"/>
              </w:rPr>
              <w:t>最高允许排放速率为0.26</w:t>
            </w:r>
            <w:r>
              <w:rPr>
                <w:rFonts w:hint="eastAsia" w:eastAsia="宋体"/>
                <w:spacing w:val="0"/>
                <w:sz w:val="24"/>
                <w:szCs w:val="24"/>
                <w:u w:val="single"/>
              </w:rPr>
              <w:t>kg</w:t>
            </w:r>
            <w:r>
              <w:rPr>
                <w:rFonts w:eastAsia="宋体"/>
                <w:spacing w:val="0"/>
                <w:sz w:val="24"/>
                <w:szCs w:val="24"/>
                <w:u w:val="single"/>
              </w:rPr>
              <w:t>/</w:t>
            </w:r>
            <w:r>
              <w:rPr>
                <w:rFonts w:hint="eastAsia" w:eastAsia="宋体"/>
                <w:spacing w:val="0"/>
                <w:sz w:val="24"/>
                <w:szCs w:val="24"/>
                <w:u w:val="single"/>
              </w:rPr>
              <w:t>h</w:t>
            </w:r>
            <w:r>
              <w:rPr>
                <w:rFonts w:hint="eastAsia"/>
                <w:color w:val="auto"/>
                <w:u w:val="single"/>
                <w:vertAlign w:val="baseline"/>
                <w:lang w:val="en-US" w:eastAsia="zh-CN"/>
              </w:rPr>
              <w:t>。</w:t>
            </w:r>
            <w:r>
              <w:rPr>
                <w:rFonts w:hint="eastAsia" w:ascii="Times New Roman" w:hAnsi="Times New Roman" w:eastAsia="宋体" w:cs="Times New Roman"/>
                <w:color w:val="auto"/>
                <w:u w:val="single"/>
                <w:lang w:val="en-US" w:eastAsia="zh-CN"/>
              </w:rPr>
              <w:t>氨执行《恶臭污染物排放标准》（G</w:t>
            </w:r>
            <w:r>
              <w:rPr>
                <w:rFonts w:hint="default" w:ascii="Times New Roman" w:hAnsi="Times New Roman" w:eastAsia="宋体" w:cs="Times New Roman"/>
                <w:color w:val="auto"/>
                <w:u w:val="single"/>
                <w:lang w:val="en-US" w:eastAsia="zh-CN"/>
              </w:rPr>
              <w:t>B 14554</w:t>
            </w:r>
            <w:r>
              <w:rPr>
                <w:rFonts w:hint="eastAsia" w:ascii="Times New Roman" w:hAnsi="Times New Roman" w:eastAsia="宋体" w:cs="Times New Roman"/>
                <w:color w:val="auto"/>
                <w:u w:val="single"/>
                <w:lang w:val="en-US" w:eastAsia="zh-CN"/>
              </w:rPr>
              <w:t>-</w:t>
            </w:r>
            <w:r>
              <w:rPr>
                <w:rFonts w:hint="eastAsia" w:cs="Times New Roman"/>
                <w:color w:val="auto"/>
                <w:u w:val="single"/>
                <w:lang w:val="en-US" w:eastAsia="zh-CN"/>
              </w:rPr>
              <w:t>19</w:t>
            </w:r>
            <w:r>
              <w:rPr>
                <w:rFonts w:hint="default" w:ascii="Times New Roman" w:hAnsi="Times New Roman" w:eastAsia="宋体" w:cs="Times New Roman"/>
                <w:color w:val="auto"/>
                <w:u w:val="single"/>
                <w:lang w:val="en-US" w:eastAsia="zh-CN"/>
              </w:rPr>
              <w:t>93</w:t>
            </w:r>
            <w:r>
              <w:rPr>
                <w:rFonts w:hint="eastAsia" w:ascii="Times New Roman" w:hAnsi="Times New Roman" w:eastAsia="宋体" w:cs="Times New Roman"/>
                <w:color w:val="auto"/>
                <w:u w:val="single"/>
                <w:lang w:val="en-US" w:eastAsia="zh-CN"/>
              </w:rPr>
              <w:t>）表2排放限值，</w:t>
            </w:r>
            <w:r>
              <w:rPr>
                <w:rFonts w:hint="eastAsia" w:eastAsia="宋体"/>
                <w:spacing w:val="0"/>
                <w:sz w:val="24"/>
                <w:szCs w:val="24"/>
                <w:u w:val="single"/>
              </w:rPr>
              <w:t>最高允许排放速率</w:t>
            </w:r>
            <w:r>
              <w:rPr>
                <w:rFonts w:hint="eastAsia" w:eastAsia="宋体"/>
                <w:spacing w:val="0"/>
                <w:sz w:val="24"/>
                <w:szCs w:val="24"/>
                <w:u w:val="single"/>
                <w:lang w:val="en-US" w:eastAsia="zh-CN"/>
              </w:rPr>
              <w:t>为4.9</w:t>
            </w:r>
            <w:r>
              <w:rPr>
                <w:rFonts w:hint="eastAsia" w:eastAsia="宋体"/>
                <w:spacing w:val="0"/>
                <w:sz w:val="24"/>
                <w:szCs w:val="24"/>
                <w:u w:val="single"/>
              </w:rPr>
              <w:t>kg</w:t>
            </w:r>
            <w:r>
              <w:rPr>
                <w:rFonts w:eastAsia="宋体"/>
                <w:spacing w:val="0"/>
                <w:sz w:val="24"/>
                <w:szCs w:val="24"/>
                <w:u w:val="single"/>
              </w:rPr>
              <w:t>/</w:t>
            </w:r>
            <w:r>
              <w:rPr>
                <w:rFonts w:hint="eastAsia" w:eastAsia="宋体"/>
                <w:spacing w:val="0"/>
                <w:sz w:val="24"/>
                <w:szCs w:val="24"/>
                <w:u w:val="single"/>
              </w:rPr>
              <w:t>h</w:t>
            </w:r>
            <w:r>
              <w:rPr>
                <w:rFonts w:hint="eastAsia" w:eastAsia="宋体"/>
                <w:spacing w:val="0"/>
                <w:sz w:val="24"/>
                <w:szCs w:val="24"/>
                <w:u w:val="single"/>
                <w:lang w:eastAsia="zh-CN"/>
              </w:rPr>
              <w:t>。</w:t>
            </w:r>
            <w:r>
              <w:rPr>
                <w:rFonts w:hint="eastAsia" w:eastAsia="宋体"/>
                <w:spacing w:val="0"/>
                <w:sz w:val="24"/>
                <w:szCs w:val="24"/>
                <w:u w:val="single"/>
                <w:lang w:val="en-US" w:eastAsia="zh-CN"/>
              </w:rPr>
              <w:t>项目</w:t>
            </w:r>
            <w:r>
              <w:rPr>
                <w:rFonts w:hint="eastAsia"/>
                <w:color w:val="auto"/>
                <w:u w:val="single"/>
                <w:lang w:val="en-US" w:eastAsia="zh-CN"/>
              </w:rPr>
              <w:t>DA001排气筒颗粒物最高排放浓度为70.7</w:t>
            </w:r>
            <w:r>
              <w:rPr>
                <w:rFonts w:hint="eastAsia" w:ascii="Times New Roman" w:hAnsi="Times New Roman" w:eastAsia="Times New Roman" w:cs="Times New Roman"/>
                <w:kern w:val="2"/>
                <w:sz w:val="24"/>
                <w:szCs w:val="24"/>
                <w:u w:val="single"/>
                <w:lang w:val="en-US" w:eastAsia="zh-CN" w:bidi="ar-SA"/>
              </w:rPr>
              <w:t>mg/m</w:t>
            </w:r>
            <w:r>
              <w:rPr>
                <w:rFonts w:hint="eastAsia" w:ascii="Times New Roman" w:hAnsi="Times New Roman" w:eastAsia="Times New Roman" w:cs="Times New Roman"/>
                <w:kern w:val="2"/>
                <w:sz w:val="24"/>
                <w:szCs w:val="24"/>
                <w:u w:val="single"/>
                <w:vertAlign w:val="superscript"/>
                <w:lang w:val="en-US" w:eastAsia="zh-CN" w:bidi="ar-SA"/>
              </w:rPr>
              <w:t>3</w:t>
            </w:r>
            <w:r>
              <w:rPr>
                <w:rFonts w:hint="eastAsia" w:ascii="Times New Roman" w:hAnsi="Times New Roman" w:eastAsia="Times New Roman" w:cs="Times New Roman"/>
                <w:kern w:val="2"/>
                <w:sz w:val="24"/>
                <w:szCs w:val="24"/>
                <w:u w:val="single"/>
                <w:vertAlign w:val="baseline"/>
                <w:lang w:val="en-US" w:eastAsia="zh-CN" w:bidi="ar-SA"/>
              </w:rPr>
              <w:t>；</w:t>
            </w:r>
            <w:r>
              <w:rPr>
                <w:rFonts w:hint="eastAsia"/>
                <w:color w:val="auto"/>
                <w:u w:val="single"/>
                <w:vertAlign w:val="baseline"/>
                <w:lang w:val="en-US" w:eastAsia="zh-CN"/>
              </w:rPr>
              <w:t>氯化氢、</w:t>
            </w:r>
            <w:r>
              <w:rPr>
                <w:rFonts w:hint="eastAsia" w:ascii="Times New Roman" w:hAnsi="Times New Roman" w:eastAsia="宋体" w:cs="Times New Roman"/>
                <w:color w:val="auto"/>
                <w:u w:val="single"/>
                <w:lang w:val="en-US" w:eastAsia="zh-CN"/>
              </w:rPr>
              <w:t>氨</w:t>
            </w:r>
            <w:r>
              <w:rPr>
                <w:rFonts w:hint="eastAsia"/>
                <w:color w:val="auto"/>
                <w:u w:val="single"/>
                <w:lang w:val="en-US" w:eastAsia="zh-CN"/>
              </w:rPr>
              <w:t>排放速率分别为0.00023</w:t>
            </w:r>
            <w:r>
              <w:rPr>
                <w:rFonts w:hint="eastAsia" w:eastAsia="宋体"/>
                <w:spacing w:val="0"/>
                <w:sz w:val="24"/>
                <w:szCs w:val="24"/>
                <w:u w:val="single"/>
              </w:rPr>
              <w:t>kg</w:t>
            </w:r>
            <w:r>
              <w:rPr>
                <w:rFonts w:eastAsia="宋体"/>
                <w:spacing w:val="0"/>
                <w:sz w:val="24"/>
                <w:szCs w:val="24"/>
                <w:u w:val="single"/>
              </w:rPr>
              <w:t>/</w:t>
            </w:r>
            <w:r>
              <w:rPr>
                <w:rFonts w:hint="eastAsia" w:eastAsia="宋体"/>
                <w:spacing w:val="0"/>
                <w:sz w:val="24"/>
                <w:szCs w:val="24"/>
                <w:u w:val="single"/>
              </w:rPr>
              <w:t>h</w:t>
            </w:r>
            <w:r>
              <w:rPr>
                <w:rFonts w:hint="eastAsia" w:eastAsia="宋体"/>
                <w:spacing w:val="0"/>
                <w:sz w:val="24"/>
                <w:szCs w:val="24"/>
                <w:u w:val="single"/>
                <w:lang w:val="en-US" w:eastAsia="zh-CN"/>
              </w:rPr>
              <w:t>和0.0</w:t>
            </w:r>
            <w:r>
              <w:rPr>
                <w:rFonts w:hint="eastAsia"/>
                <w:spacing w:val="0"/>
                <w:sz w:val="24"/>
                <w:szCs w:val="24"/>
                <w:u w:val="single"/>
                <w:lang w:val="en-US" w:eastAsia="zh-CN"/>
              </w:rPr>
              <w:t>29</w:t>
            </w:r>
            <w:r>
              <w:rPr>
                <w:rFonts w:hint="eastAsia" w:eastAsia="宋体"/>
                <w:spacing w:val="0"/>
                <w:sz w:val="24"/>
                <w:szCs w:val="24"/>
                <w:u w:val="single"/>
              </w:rPr>
              <w:t>kg</w:t>
            </w:r>
            <w:r>
              <w:rPr>
                <w:rFonts w:eastAsia="宋体"/>
                <w:spacing w:val="0"/>
                <w:sz w:val="24"/>
                <w:szCs w:val="24"/>
                <w:u w:val="single"/>
              </w:rPr>
              <w:t>/</w:t>
            </w:r>
            <w:r>
              <w:rPr>
                <w:rFonts w:hint="eastAsia" w:eastAsia="宋体"/>
                <w:spacing w:val="0"/>
                <w:sz w:val="24"/>
                <w:szCs w:val="24"/>
                <w:u w:val="single"/>
              </w:rPr>
              <w:t>h</w:t>
            </w:r>
            <w:r>
              <w:rPr>
                <w:rFonts w:hint="eastAsia" w:eastAsia="宋体"/>
                <w:spacing w:val="0"/>
                <w:sz w:val="24"/>
                <w:szCs w:val="24"/>
                <w:u w:val="single"/>
                <w:lang w:eastAsia="zh-CN"/>
              </w:rPr>
              <w:t>，</w:t>
            </w:r>
            <w:r>
              <w:rPr>
                <w:rFonts w:hint="eastAsia" w:eastAsia="宋体"/>
                <w:spacing w:val="0"/>
                <w:sz w:val="24"/>
                <w:szCs w:val="24"/>
                <w:u w:val="single"/>
                <w:lang w:val="en-US" w:eastAsia="zh-CN"/>
              </w:rPr>
              <w:t>符合限制要求，污染物能够达标排放。</w:t>
            </w:r>
          </w:p>
          <w:p w14:paraId="223A6F47">
            <w:pPr>
              <w:pStyle w:val="22"/>
              <w:bidi w:val="0"/>
              <w:rPr>
                <w:rFonts w:hint="default" w:eastAsia="宋体"/>
                <w:spacing w:val="0"/>
                <w:sz w:val="24"/>
                <w:szCs w:val="24"/>
                <w:u w:val="single"/>
                <w:lang w:val="en-US" w:eastAsia="zh-CN"/>
              </w:rPr>
            </w:pPr>
            <w:r>
              <w:rPr>
                <w:rFonts w:hint="eastAsia" w:cs="Times New Roman"/>
                <w:color w:val="auto"/>
                <w:kern w:val="2"/>
                <w:sz w:val="24"/>
                <w:szCs w:val="24"/>
                <w:u w:val="single"/>
                <w:lang w:val="en-US" w:eastAsia="zh-CN" w:bidi="ar-SA"/>
              </w:rPr>
              <w:t>DA002</w:t>
            </w:r>
            <w:r>
              <w:rPr>
                <w:rFonts w:hint="eastAsia"/>
                <w:color w:val="auto"/>
                <w:u w:val="single"/>
                <w:lang w:val="en-US" w:eastAsia="zh-CN"/>
              </w:rPr>
              <w:t>排气筒颗粒物、二氧化硫执行</w:t>
            </w:r>
            <w:r>
              <w:rPr>
                <w:rFonts w:hint="eastAsia" w:ascii="Times New Roman" w:hAnsi="Times New Roman" w:eastAsia="宋体" w:cs="Times New Roman"/>
                <w:color w:val="auto"/>
                <w:kern w:val="2"/>
                <w:sz w:val="24"/>
                <w:szCs w:val="24"/>
                <w:u w:val="single"/>
                <w:lang w:val="en-US" w:eastAsia="zh-CN" w:bidi="ar-SA"/>
              </w:rPr>
              <w:t>《工业炉窑大气污染物排放标准》（GB 9078-1996），</w:t>
            </w:r>
            <w:r>
              <w:rPr>
                <w:rFonts w:hint="eastAsia"/>
                <w:color w:val="auto"/>
                <w:u w:val="single"/>
                <w:lang w:val="en-US" w:eastAsia="zh-CN"/>
              </w:rPr>
              <w:t>最高允许排放浓度分别为200mg/m</w:t>
            </w:r>
            <w:r>
              <w:rPr>
                <w:rFonts w:hint="eastAsia"/>
                <w:color w:val="auto"/>
                <w:u w:val="single"/>
                <w:vertAlign w:val="superscript"/>
                <w:lang w:val="en-US" w:eastAsia="zh-CN"/>
              </w:rPr>
              <w:t>3</w:t>
            </w:r>
            <w:r>
              <w:rPr>
                <w:rFonts w:hint="eastAsia"/>
                <w:color w:val="auto"/>
                <w:u w:val="single"/>
                <w:lang w:val="en-US" w:eastAsia="zh-CN"/>
              </w:rPr>
              <w:t>、850mg/m</w:t>
            </w:r>
            <w:r>
              <w:rPr>
                <w:rFonts w:hint="eastAsia"/>
                <w:color w:val="auto"/>
                <w:u w:val="single"/>
                <w:vertAlign w:val="superscript"/>
                <w:lang w:val="en-US" w:eastAsia="zh-CN"/>
              </w:rPr>
              <w:t>3</w:t>
            </w:r>
            <w:r>
              <w:rPr>
                <w:rFonts w:hint="eastAsia"/>
                <w:color w:val="auto"/>
                <w:u w:val="single"/>
                <w:vertAlign w:val="baseline"/>
                <w:lang w:val="en-US" w:eastAsia="zh-CN"/>
              </w:rPr>
              <w:t>。</w:t>
            </w:r>
            <w:r>
              <w:rPr>
                <w:rFonts w:hint="eastAsia" w:eastAsia="宋体"/>
                <w:spacing w:val="0"/>
                <w:sz w:val="24"/>
                <w:szCs w:val="24"/>
                <w:u w:val="single"/>
                <w:lang w:val="en-US" w:eastAsia="zh-CN"/>
              </w:rPr>
              <w:t>项目</w:t>
            </w:r>
            <w:r>
              <w:rPr>
                <w:rFonts w:hint="eastAsia"/>
                <w:color w:val="auto"/>
                <w:u w:val="single"/>
                <w:lang w:val="en-US" w:eastAsia="zh-CN"/>
              </w:rPr>
              <w:t>DA002排气筒颗粒物、二氧化硫排放浓度分别为21.67mg/m</w:t>
            </w:r>
            <w:r>
              <w:rPr>
                <w:rFonts w:hint="eastAsia"/>
                <w:color w:val="auto"/>
                <w:u w:val="single"/>
                <w:vertAlign w:val="superscript"/>
                <w:lang w:val="en-US" w:eastAsia="zh-CN"/>
              </w:rPr>
              <w:t>3</w:t>
            </w:r>
            <w:r>
              <w:rPr>
                <w:rFonts w:hint="eastAsia"/>
                <w:color w:val="auto"/>
                <w:u w:val="single"/>
                <w:lang w:val="en-US" w:eastAsia="zh-CN"/>
              </w:rPr>
              <w:t>、</w:t>
            </w:r>
            <w:r>
              <w:rPr>
                <w:rFonts w:hint="eastAsia"/>
                <w:spacing w:val="0"/>
                <w:sz w:val="24"/>
                <w:szCs w:val="24"/>
                <w:u w:val="single" w:color="auto"/>
                <w:lang w:val="en-US" w:eastAsia="zh-CN"/>
              </w:rPr>
              <w:t>21.3mg/m</w:t>
            </w:r>
            <w:r>
              <w:rPr>
                <w:rFonts w:hint="eastAsia"/>
                <w:spacing w:val="0"/>
                <w:sz w:val="24"/>
                <w:szCs w:val="24"/>
                <w:u w:val="single" w:color="auto"/>
                <w:vertAlign w:val="superscript"/>
                <w:lang w:val="en-US" w:eastAsia="zh-CN"/>
              </w:rPr>
              <w:t>3</w:t>
            </w:r>
            <w:r>
              <w:rPr>
                <w:rFonts w:hint="eastAsia"/>
                <w:color w:val="auto"/>
                <w:u w:val="single"/>
                <w:lang w:val="en-US" w:eastAsia="zh-CN"/>
              </w:rPr>
              <w:t>，</w:t>
            </w:r>
            <w:r>
              <w:rPr>
                <w:rFonts w:hint="eastAsia" w:eastAsia="宋体"/>
                <w:spacing w:val="0"/>
                <w:sz w:val="24"/>
                <w:szCs w:val="24"/>
                <w:u w:val="single"/>
                <w:lang w:val="en-US" w:eastAsia="zh-CN"/>
              </w:rPr>
              <w:t>符合限制要求，污染物能够达标排放。</w:t>
            </w:r>
            <w:r>
              <w:rPr>
                <w:rFonts w:hint="eastAsia"/>
                <w:color w:val="auto"/>
                <w:u w:val="single"/>
                <w:lang w:val="en-US" w:eastAsia="zh-CN"/>
              </w:rPr>
              <w:t>氮氧化物执行</w:t>
            </w:r>
            <w:r>
              <w:rPr>
                <w:rFonts w:hint="eastAsia" w:ascii="Times New Roman" w:hAnsi="Times New Roman" w:eastAsia="宋体" w:cs="Times New Roman"/>
                <w:color w:val="auto"/>
                <w:kern w:val="2"/>
                <w:sz w:val="24"/>
                <w:szCs w:val="24"/>
                <w:u w:val="single"/>
                <w:lang w:val="en-US" w:eastAsia="zh-CN" w:bidi="ar-SA"/>
              </w:rPr>
              <w:t>《大气污染物综合排放标准》（GB16297-1996），</w:t>
            </w:r>
            <w:r>
              <w:rPr>
                <w:rFonts w:hint="eastAsia"/>
                <w:color w:val="auto"/>
                <w:u w:val="single"/>
                <w:lang w:val="en-US" w:eastAsia="zh-CN"/>
              </w:rPr>
              <w:t>最高允许排放浓度分别为240mg/m</w:t>
            </w:r>
            <w:r>
              <w:rPr>
                <w:rFonts w:hint="eastAsia"/>
                <w:color w:val="auto"/>
                <w:u w:val="single"/>
                <w:vertAlign w:val="superscript"/>
                <w:lang w:val="en-US" w:eastAsia="zh-CN"/>
              </w:rPr>
              <w:t>3</w:t>
            </w:r>
            <w:r>
              <w:rPr>
                <w:rFonts w:hint="eastAsia"/>
                <w:color w:val="auto"/>
                <w:u w:val="single"/>
                <w:vertAlign w:val="baseline"/>
                <w:lang w:val="en-US" w:eastAsia="zh-CN"/>
              </w:rPr>
              <w:t>，最高允许排放速率为0.77kg/h，项目DA002排气筒氮氧化物排放浓度为</w:t>
            </w:r>
            <w:r>
              <w:rPr>
                <w:rFonts w:hint="eastAsia"/>
                <w:color w:val="auto"/>
                <w:u w:val="single"/>
                <w:lang w:val="en-US" w:eastAsia="zh-CN"/>
              </w:rPr>
              <w:t>168.6mg/m</w:t>
            </w:r>
            <w:r>
              <w:rPr>
                <w:rFonts w:hint="eastAsia"/>
                <w:color w:val="auto"/>
                <w:u w:val="single"/>
                <w:vertAlign w:val="superscript"/>
                <w:lang w:val="en-US" w:eastAsia="zh-CN"/>
              </w:rPr>
              <w:t>3</w:t>
            </w:r>
            <w:r>
              <w:rPr>
                <w:rFonts w:hint="eastAsia"/>
                <w:color w:val="auto"/>
                <w:u w:val="single"/>
                <w:vertAlign w:val="baseline"/>
                <w:lang w:val="en-US" w:eastAsia="zh-CN"/>
              </w:rPr>
              <w:t>，排放速率为0.21kg/h，</w:t>
            </w:r>
            <w:r>
              <w:rPr>
                <w:rFonts w:hint="eastAsia" w:eastAsia="宋体"/>
                <w:spacing w:val="0"/>
                <w:sz w:val="24"/>
                <w:szCs w:val="24"/>
                <w:u w:val="single"/>
                <w:lang w:val="en-US" w:eastAsia="zh-CN"/>
              </w:rPr>
              <w:t>符合限制要求，污染物能够达标排放。</w:t>
            </w:r>
          </w:p>
          <w:p w14:paraId="1A50B5FE">
            <w:pPr>
              <w:pStyle w:val="21"/>
              <w:bidi w:val="0"/>
              <w:rPr>
                <w:rFonts w:hint="default"/>
                <w:color w:val="auto"/>
                <w:lang w:val="en-US" w:eastAsia="zh-CN"/>
              </w:rPr>
            </w:pPr>
            <w:r>
              <w:rPr>
                <w:rFonts w:hint="default"/>
                <w:color w:val="auto"/>
                <w:lang w:val="en-US" w:eastAsia="zh-CN"/>
              </w:rPr>
              <w:t>1.</w:t>
            </w:r>
            <w:r>
              <w:rPr>
                <w:rFonts w:hint="eastAsia"/>
                <w:color w:val="auto"/>
                <w:lang w:val="en-US" w:eastAsia="zh-CN"/>
              </w:rPr>
              <w:t>4</w:t>
            </w:r>
            <w:r>
              <w:rPr>
                <w:rFonts w:hint="default"/>
                <w:color w:val="auto"/>
                <w:lang w:val="en-US" w:eastAsia="zh-CN"/>
              </w:rPr>
              <w:t xml:space="preserve"> 废气监测要求</w:t>
            </w:r>
          </w:p>
          <w:p w14:paraId="2A4ACC6D">
            <w:pPr>
              <w:pStyle w:val="22"/>
              <w:bidi w:val="0"/>
              <w:rPr>
                <w:rFonts w:hint="default"/>
                <w:color w:val="auto"/>
                <w:lang w:val="en-US" w:eastAsia="zh-CN"/>
              </w:rPr>
            </w:pPr>
            <w:r>
              <w:rPr>
                <w:rFonts w:hint="default"/>
                <w:color w:val="auto"/>
                <w:lang w:val="en-US" w:eastAsia="zh-CN"/>
              </w:rPr>
              <w:t>根据《排污单位自行监测技术指南</w:t>
            </w:r>
            <w:r>
              <w:rPr>
                <w:rFonts w:hint="eastAsia"/>
                <w:color w:val="auto"/>
                <w:lang w:val="en-US" w:eastAsia="zh-CN"/>
              </w:rPr>
              <w:t xml:space="preserve"> </w:t>
            </w:r>
            <w:r>
              <w:rPr>
                <w:rFonts w:hint="default"/>
                <w:color w:val="auto"/>
                <w:lang w:val="en-US" w:eastAsia="zh-CN"/>
              </w:rPr>
              <w:t>总则》（HJ 819-2017）、排污单位自行监测技术指南 磷肥、钾肥、复混肥料、有机肥料和微生物肥料（HJ 1088—2020），废气监测计划详见下表。</w:t>
            </w:r>
          </w:p>
          <w:p w14:paraId="6FFEEE2F">
            <w:pPr>
              <w:pStyle w:val="23"/>
              <w:bidi w:val="0"/>
              <w:rPr>
                <w:rFonts w:hint="default"/>
                <w:color w:val="auto"/>
                <w:u w:val="single" w:color="auto"/>
                <w:lang w:val="en-US" w:eastAsia="zh-CN"/>
              </w:rPr>
            </w:pPr>
            <w:r>
              <w:rPr>
                <w:rFonts w:hint="default"/>
                <w:color w:val="auto"/>
                <w:lang w:val="en-US" w:eastAsia="zh-CN"/>
              </w:rPr>
              <w:t>表4-</w:t>
            </w:r>
            <w:r>
              <w:rPr>
                <w:rFonts w:hint="eastAsia"/>
                <w:color w:val="auto"/>
                <w:lang w:val="en-US" w:eastAsia="zh-CN"/>
              </w:rPr>
              <w:t xml:space="preserve">6  </w:t>
            </w:r>
            <w:r>
              <w:rPr>
                <w:rFonts w:hint="default"/>
                <w:color w:val="auto"/>
                <w:u w:val="single" w:color="auto"/>
                <w:lang w:val="en-US" w:eastAsia="zh-CN"/>
              </w:rPr>
              <w:t>运营期废气监测计划一览表</w:t>
            </w:r>
          </w:p>
          <w:tbl>
            <w:tblPr>
              <w:tblStyle w:val="16"/>
              <w:tblW w:w="7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1173"/>
              <w:gridCol w:w="1091"/>
              <w:gridCol w:w="4521"/>
            </w:tblGrid>
            <w:tr w14:paraId="7D779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vAlign w:val="center"/>
                </w:tcPr>
                <w:p w14:paraId="2947F2C6">
                  <w:pPr>
                    <w:pStyle w:val="24"/>
                    <w:bidi w:val="0"/>
                    <w:jc w:val="center"/>
                    <w:rPr>
                      <w:rFonts w:hint="default"/>
                      <w:color w:val="auto"/>
                      <w:u w:val="single" w:color="auto"/>
                      <w:lang w:val="en-US" w:eastAsia="zh-CN"/>
                    </w:rPr>
                  </w:pPr>
                  <w:r>
                    <w:rPr>
                      <w:rFonts w:hint="eastAsia"/>
                      <w:color w:val="auto"/>
                      <w:u w:val="single" w:color="auto"/>
                      <w:lang w:val="en-US" w:eastAsia="zh-CN"/>
                    </w:rPr>
                    <w:t>监测点位</w:t>
                  </w:r>
                </w:p>
              </w:tc>
              <w:tc>
                <w:tcPr>
                  <w:tcW w:w="1173" w:type="dxa"/>
                  <w:vAlign w:val="center"/>
                </w:tcPr>
                <w:p w14:paraId="5A65E98D">
                  <w:pPr>
                    <w:pStyle w:val="24"/>
                    <w:bidi w:val="0"/>
                    <w:jc w:val="center"/>
                    <w:rPr>
                      <w:rFonts w:hint="default"/>
                      <w:color w:val="auto"/>
                      <w:u w:val="single" w:color="auto"/>
                      <w:lang w:val="en-US" w:eastAsia="zh-CN"/>
                    </w:rPr>
                  </w:pPr>
                  <w:r>
                    <w:rPr>
                      <w:rFonts w:hint="eastAsia"/>
                      <w:color w:val="auto"/>
                      <w:u w:val="single" w:color="auto"/>
                      <w:lang w:val="en-US" w:eastAsia="zh-CN"/>
                    </w:rPr>
                    <w:t>监测内容</w:t>
                  </w:r>
                </w:p>
              </w:tc>
              <w:tc>
                <w:tcPr>
                  <w:tcW w:w="1091" w:type="dxa"/>
                  <w:vAlign w:val="center"/>
                </w:tcPr>
                <w:p w14:paraId="35D21523">
                  <w:pPr>
                    <w:pStyle w:val="24"/>
                    <w:bidi w:val="0"/>
                    <w:jc w:val="center"/>
                    <w:rPr>
                      <w:rFonts w:hint="default"/>
                      <w:color w:val="auto"/>
                      <w:u w:val="single" w:color="auto"/>
                      <w:lang w:val="en-US" w:eastAsia="zh-CN"/>
                    </w:rPr>
                  </w:pPr>
                  <w:r>
                    <w:rPr>
                      <w:rFonts w:hint="eastAsia"/>
                      <w:color w:val="auto"/>
                      <w:u w:val="single" w:color="auto"/>
                      <w:lang w:val="en-US" w:eastAsia="zh-CN"/>
                    </w:rPr>
                    <w:t>监测频次</w:t>
                  </w:r>
                </w:p>
              </w:tc>
              <w:tc>
                <w:tcPr>
                  <w:tcW w:w="4521" w:type="dxa"/>
                  <w:vAlign w:val="center"/>
                </w:tcPr>
                <w:p w14:paraId="2806296E">
                  <w:pPr>
                    <w:pStyle w:val="24"/>
                    <w:bidi w:val="0"/>
                    <w:jc w:val="center"/>
                    <w:rPr>
                      <w:rFonts w:hint="default"/>
                      <w:color w:val="auto"/>
                      <w:u w:val="single" w:color="auto"/>
                      <w:lang w:val="en-US" w:eastAsia="zh-CN"/>
                    </w:rPr>
                  </w:pPr>
                  <w:r>
                    <w:rPr>
                      <w:rFonts w:hint="eastAsia"/>
                      <w:color w:val="auto"/>
                      <w:u w:val="single" w:color="auto"/>
                      <w:lang w:val="en-US" w:eastAsia="zh-CN"/>
                    </w:rPr>
                    <w:t>执行标准</w:t>
                  </w:r>
                </w:p>
              </w:tc>
            </w:tr>
            <w:tr w14:paraId="12B19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vAlign w:val="center"/>
                </w:tcPr>
                <w:p w14:paraId="122E10A0">
                  <w:pPr>
                    <w:pStyle w:val="24"/>
                    <w:bidi w:val="0"/>
                    <w:jc w:val="center"/>
                    <w:rPr>
                      <w:rFonts w:hint="default"/>
                      <w:color w:val="auto"/>
                      <w:u w:val="single" w:color="auto"/>
                      <w:lang w:val="en-US" w:eastAsia="zh-CN"/>
                    </w:rPr>
                  </w:pPr>
                  <w:r>
                    <w:rPr>
                      <w:rFonts w:hint="eastAsia"/>
                      <w:color w:val="auto"/>
                      <w:u w:val="single" w:color="auto"/>
                      <w:lang w:val="en-US" w:eastAsia="zh-CN"/>
                    </w:rPr>
                    <w:t>厂界</w:t>
                  </w:r>
                </w:p>
              </w:tc>
              <w:tc>
                <w:tcPr>
                  <w:tcW w:w="1173" w:type="dxa"/>
                  <w:vAlign w:val="center"/>
                </w:tcPr>
                <w:p w14:paraId="7C8432A3">
                  <w:pPr>
                    <w:pStyle w:val="24"/>
                    <w:bidi w:val="0"/>
                    <w:jc w:val="center"/>
                    <w:rPr>
                      <w:rFonts w:hint="default"/>
                      <w:color w:val="auto"/>
                      <w:u w:val="single" w:color="auto"/>
                      <w:lang w:val="en-US" w:eastAsia="zh-CN"/>
                    </w:rPr>
                  </w:pPr>
                  <w:r>
                    <w:rPr>
                      <w:rFonts w:hint="eastAsia"/>
                      <w:color w:val="auto"/>
                      <w:u w:val="single" w:color="auto"/>
                      <w:lang w:val="en-US" w:eastAsia="zh-CN"/>
                    </w:rPr>
                    <w:t>颗粒物、氨、氯化氢</w:t>
                  </w:r>
                </w:p>
              </w:tc>
              <w:tc>
                <w:tcPr>
                  <w:tcW w:w="1091" w:type="dxa"/>
                  <w:vAlign w:val="center"/>
                </w:tcPr>
                <w:p w14:paraId="547E4712">
                  <w:pPr>
                    <w:pStyle w:val="24"/>
                    <w:bidi w:val="0"/>
                    <w:jc w:val="center"/>
                    <w:rPr>
                      <w:rFonts w:hint="default"/>
                      <w:color w:val="auto"/>
                      <w:u w:val="single" w:color="auto"/>
                      <w:lang w:val="en-US" w:eastAsia="zh-CN"/>
                    </w:rPr>
                  </w:pPr>
                  <w:r>
                    <w:rPr>
                      <w:rFonts w:hint="eastAsia"/>
                      <w:color w:val="auto"/>
                      <w:u w:val="single" w:color="auto"/>
                      <w:lang w:val="en-US" w:eastAsia="zh-CN"/>
                    </w:rPr>
                    <w:t>1次/季度</w:t>
                  </w:r>
                </w:p>
              </w:tc>
              <w:tc>
                <w:tcPr>
                  <w:tcW w:w="4521" w:type="dxa"/>
                  <w:vAlign w:val="center"/>
                </w:tcPr>
                <w:p w14:paraId="132A1A1E">
                  <w:pPr>
                    <w:pStyle w:val="24"/>
                    <w:bidi w:val="0"/>
                    <w:jc w:val="center"/>
                    <w:rPr>
                      <w:rFonts w:hint="default"/>
                      <w:color w:val="auto"/>
                      <w:u w:val="single" w:color="auto"/>
                      <w:lang w:val="en-US" w:eastAsia="zh-CN"/>
                    </w:rPr>
                  </w:pPr>
                  <w:r>
                    <w:rPr>
                      <w:rFonts w:hint="eastAsia" w:cs="Times New Roman"/>
                      <w:color w:val="auto"/>
                      <w:kern w:val="2"/>
                      <w:sz w:val="21"/>
                      <w:szCs w:val="21"/>
                      <w:u w:val="single" w:color="auto"/>
                      <w:lang w:val="en-US" w:eastAsia="zh-CN" w:bidi="ar-SA"/>
                    </w:rPr>
                    <w:t>颗粒物、氯化氢</w:t>
                  </w:r>
                  <w:r>
                    <w:rPr>
                      <w:rFonts w:hint="eastAsia" w:ascii="Times New Roman" w:hAnsi="Times New Roman" w:eastAsia="宋体" w:cs="Times New Roman"/>
                      <w:color w:val="auto"/>
                      <w:kern w:val="2"/>
                      <w:sz w:val="21"/>
                      <w:szCs w:val="21"/>
                      <w:u w:val="single" w:color="auto"/>
                      <w:lang w:val="en-US" w:eastAsia="zh-CN" w:bidi="ar-SA"/>
                    </w:rPr>
                    <w:t>执行《大气污染物综合排放标准》（GB16297</w:t>
                  </w:r>
                  <w:r>
                    <w:rPr>
                      <w:rFonts w:hint="default" w:ascii="Times New Roman" w:hAnsi="Times New Roman" w:eastAsia="宋体" w:cs="Times New Roman"/>
                      <w:color w:val="auto"/>
                      <w:kern w:val="2"/>
                      <w:sz w:val="21"/>
                      <w:szCs w:val="21"/>
                      <w:u w:val="single" w:color="auto"/>
                      <w:lang w:val="en-US" w:eastAsia="zh-CN" w:bidi="ar-SA"/>
                    </w:rPr>
                    <w:t>-</w:t>
                  </w:r>
                  <w:r>
                    <w:rPr>
                      <w:rFonts w:hint="eastAsia" w:ascii="Times New Roman" w:hAnsi="Times New Roman" w:eastAsia="宋体" w:cs="Times New Roman"/>
                      <w:color w:val="auto"/>
                      <w:kern w:val="2"/>
                      <w:sz w:val="21"/>
                      <w:szCs w:val="21"/>
                      <w:u w:val="single" w:color="auto"/>
                      <w:lang w:val="en-US" w:eastAsia="zh-CN" w:bidi="ar-SA"/>
                    </w:rPr>
                    <w:t>1996）</w:t>
                  </w:r>
                  <w:r>
                    <w:rPr>
                      <w:rFonts w:hint="eastAsia" w:cs="Times New Roman"/>
                      <w:color w:val="auto"/>
                      <w:kern w:val="2"/>
                      <w:sz w:val="21"/>
                      <w:szCs w:val="21"/>
                      <w:u w:val="single" w:color="auto"/>
                      <w:lang w:val="en-US" w:eastAsia="zh-CN" w:bidi="ar-SA"/>
                    </w:rPr>
                    <w:t>中无组织排放限值，氨执行</w:t>
                  </w:r>
                  <w:r>
                    <w:rPr>
                      <w:rFonts w:hint="eastAsia" w:ascii="Times New Roman" w:hAnsi="Times New Roman" w:eastAsia="宋体" w:cs="Times New Roman"/>
                      <w:color w:val="auto"/>
                      <w:kern w:val="2"/>
                      <w:sz w:val="21"/>
                      <w:szCs w:val="21"/>
                      <w:u w:val="single" w:color="auto"/>
                      <w:lang w:val="en-US" w:eastAsia="zh-CN" w:bidi="ar-SA"/>
                    </w:rPr>
                    <w:t>《恶臭污染物排放标准》（G</w:t>
                  </w:r>
                  <w:r>
                    <w:rPr>
                      <w:rFonts w:hint="default" w:ascii="Times New Roman" w:hAnsi="Times New Roman" w:eastAsia="宋体" w:cs="Times New Roman"/>
                      <w:color w:val="auto"/>
                      <w:kern w:val="2"/>
                      <w:sz w:val="21"/>
                      <w:szCs w:val="21"/>
                      <w:u w:val="single" w:color="auto"/>
                      <w:lang w:val="en-US" w:eastAsia="zh-CN" w:bidi="ar-SA"/>
                    </w:rPr>
                    <w:t>B 14554</w:t>
                  </w:r>
                  <w:r>
                    <w:rPr>
                      <w:rFonts w:hint="eastAsia" w:ascii="Times New Roman" w:hAnsi="Times New Roman" w:eastAsia="宋体" w:cs="Times New Roman"/>
                      <w:color w:val="auto"/>
                      <w:kern w:val="2"/>
                      <w:sz w:val="21"/>
                      <w:szCs w:val="21"/>
                      <w:u w:val="single" w:color="auto"/>
                      <w:lang w:val="en-US" w:eastAsia="zh-CN" w:bidi="ar-SA"/>
                    </w:rPr>
                    <w:t>-</w:t>
                  </w:r>
                  <w:r>
                    <w:rPr>
                      <w:rFonts w:hint="eastAsia" w:cs="Times New Roman"/>
                      <w:color w:val="auto"/>
                      <w:kern w:val="2"/>
                      <w:sz w:val="21"/>
                      <w:szCs w:val="21"/>
                      <w:u w:val="single" w:color="auto"/>
                      <w:lang w:val="en-US" w:eastAsia="zh-CN" w:bidi="ar-SA"/>
                    </w:rPr>
                    <w:t>19</w:t>
                  </w:r>
                  <w:r>
                    <w:rPr>
                      <w:rFonts w:hint="default" w:ascii="Times New Roman" w:hAnsi="Times New Roman" w:eastAsia="宋体" w:cs="Times New Roman"/>
                      <w:color w:val="auto"/>
                      <w:kern w:val="2"/>
                      <w:sz w:val="21"/>
                      <w:szCs w:val="21"/>
                      <w:u w:val="single" w:color="auto"/>
                      <w:lang w:val="en-US" w:eastAsia="zh-CN" w:bidi="ar-SA"/>
                    </w:rPr>
                    <w:t>93</w:t>
                  </w:r>
                  <w:r>
                    <w:rPr>
                      <w:rFonts w:hint="eastAsia" w:ascii="Times New Roman" w:hAnsi="Times New Roman" w:eastAsia="宋体" w:cs="Times New Roman"/>
                      <w:color w:val="auto"/>
                      <w:kern w:val="2"/>
                      <w:sz w:val="21"/>
                      <w:szCs w:val="21"/>
                      <w:u w:val="single" w:color="auto"/>
                      <w:lang w:val="en-US" w:eastAsia="zh-CN" w:bidi="ar-SA"/>
                    </w:rPr>
                    <w:t>）</w:t>
                  </w:r>
                  <w:r>
                    <w:rPr>
                      <w:rFonts w:hint="eastAsia" w:cs="Times New Roman"/>
                      <w:color w:val="auto"/>
                      <w:kern w:val="2"/>
                      <w:sz w:val="21"/>
                      <w:szCs w:val="21"/>
                      <w:u w:val="single" w:color="auto"/>
                      <w:lang w:val="en-US" w:eastAsia="zh-CN" w:bidi="ar-SA"/>
                    </w:rPr>
                    <w:t>表1中无组织排放限值</w:t>
                  </w:r>
                </w:p>
              </w:tc>
            </w:tr>
            <w:tr w14:paraId="4FBB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114" w:type="dxa"/>
                  <w:vMerge w:val="restart"/>
                  <w:vAlign w:val="center"/>
                </w:tcPr>
                <w:p w14:paraId="088D6956">
                  <w:pPr>
                    <w:pStyle w:val="24"/>
                    <w:bidi w:val="0"/>
                    <w:jc w:val="center"/>
                    <w:rPr>
                      <w:rFonts w:hint="default"/>
                      <w:color w:val="auto"/>
                      <w:u w:val="single" w:color="auto"/>
                      <w:lang w:val="en-US" w:eastAsia="zh-CN"/>
                    </w:rPr>
                  </w:pPr>
                  <w:r>
                    <w:rPr>
                      <w:rFonts w:hint="eastAsia"/>
                      <w:color w:val="auto"/>
                      <w:u w:val="single" w:color="auto"/>
                      <w:lang w:val="en-US" w:eastAsia="zh-CN"/>
                    </w:rPr>
                    <w:t>废气排放口DA001</w:t>
                  </w:r>
                </w:p>
              </w:tc>
              <w:tc>
                <w:tcPr>
                  <w:tcW w:w="1173" w:type="dxa"/>
                  <w:vAlign w:val="center"/>
                </w:tcPr>
                <w:p w14:paraId="1F60BAD0">
                  <w:pPr>
                    <w:pStyle w:val="24"/>
                    <w:bidi w:val="0"/>
                    <w:jc w:val="center"/>
                    <w:rPr>
                      <w:rFonts w:hint="default"/>
                      <w:color w:val="auto"/>
                      <w:u w:val="single" w:color="auto"/>
                      <w:lang w:val="en-US" w:eastAsia="zh-CN"/>
                    </w:rPr>
                  </w:pPr>
                  <w:r>
                    <w:rPr>
                      <w:rFonts w:hint="eastAsia"/>
                      <w:color w:val="auto"/>
                      <w:u w:val="single" w:color="auto"/>
                      <w:lang w:val="en-US" w:eastAsia="zh-CN"/>
                    </w:rPr>
                    <w:t>颗粒物</w:t>
                  </w:r>
                </w:p>
              </w:tc>
              <w:tc>
                <w:tcPr>
                  <w:tcW w:w="1091" w:type="dxa"/>
                  <w:vMerge w:val="restart"/>
                  <w:vAlign w:val="center"/>
                </w:tcPr>
                <w:p w14:paraId="564A4EAB">
                  <w:pPr>
                    <w:pStyle w:val="24"/>
                    <w:bidi w:val="0"/>
                    <w:jc w:val="center"/>
                    <w:rPr>
                      <w:rFonts w:hint="default"/>
                      <w:color w:val="auto"/>
                      <w:u w:val="single" w:color="auto"/>
                      <w:lang w:val="en-US" w:eastAsia="zh-CN"/>
                    </w:rPr>
                  </w:pPr>
                  <w:r>
                    <w:rPr>
                      <w:rFonts w:hint="eastAsia"/>
                      <w:color w:val="auto"/>
                      <w:u w:val="single" w:color="auto"/>
                      <w:lang w:val="en-US" w:eastAsia="zh-CN"/>
                    </w:rPr>
                    <w:t>1次/半年</w:t>
                  </w:r>
                </w:p>
              </w:tc>
              <w:tc>
                <w:tcPr>
                  <w:tcW w:w="4521" w:type="dxa"/>
                  <w:vMerge w:val="restart"/>
                  <w:vAlign w:val="center"/>
                </w:tcPr>
                <w:p w14:paraId="1130C89D">
                  <w:pPr>
                    <w:pStyle w:val="24"/>
                    <w:bidi w:val="0"/>
                    <w:jc w:val="center"/>
                    <w:rPr>
                      <w:rFonts w:hint="default"/>
                      <w:color w:val="auto"/>
                      <w:u w:val="single" w:color="auto"/>
                      <w:lang w:val="en-US" w:eastAsia="zh-CN"/>
                    </w:rPr>
                  </w:pPr>
                  <w:r>
                    <w:rPr>
                      <w:rFonts w:hint="eastAsia" w:ascii="Times New Roman" w:hAnsi="Times New Roman" w:eastAsia="宋体" w:cs="Times New Roman"/>
                      <w:color w:val="auto"/>
                      <w:kern w:val="2"/>
                      <w:sz w:val="21"/>
                      <w:szCs w:val="21"/>
                      <w:u w:val="single" w:color="auto"/>
                      <w:lang w:val="en-US" w:eastAsia="zh-CN" w:bidi="ar-SA"/>
                    </w:rPr>
                    <w:t>《大气污染物综合排放标准》（GB16297</w:t>
                  </w:r>
                  <w:r>
                    <w:rPr>
                      <w:rFonts w:hint="default" w:ascii="Times New Roman" w:hAnsi="Times New Roman" w:eastAsia="宋体" w:cs="Times New Roman"/>
                      <w:color w:val="auto"/>
                      <w:kern w:val="2"/>
                      <w:sz w:val="21"/>
                      <w:szCs w:val="21"/>
                      <w:u w:val="single" w:color="auto"/>
                      <w:lang w:val="en-US" w:eastAsia="zh-CN" w:bidi="ar-SA"/>
                    </w:rPr>
                    <w:t>-</w:t>
                  </w:r>
                  <w:r>
                    <w:rPr>
                      <w:rFonts w:hint="eastAsia" w:ascii="Times New Roman" w:hAnsi="Times New Roman" w:eastAsia="宋体" w:cs="Times New Roman"/>
                      <w:color w:val="auto"/>
                      <w:kern w:val="2"/>
                      <w:sz w:val="21"/>
                      <w:szCs w:val="21"/>
                      <w:u w:val="single" w:color="auto"/>
                      <w:lang w:val="en-US" w:eastAsia="zh-CN" w:bidi="ar-SA"/>
                    </w:rPr>
                    <w:t>1996）</w:t>
                  </w:r>
                  <w:r>
                    <w:rPr>
                      <w:rFonts w:hint="eastAsia" w:cs="Times New Roman"/>
                      <w:color w:val="auto"/>
                      <w:kern w:val="2"/>
                      <w:sz w:val="21"/>
                      <w:szCs w:val="21"/>
                      <w:u w:val="single" w:color="auto"/>
                      <w:lang w:val="en-US" w:eastAsia="zh-CN" w:bidi="ar-SA"/>
                    </w:rPr>
                    <w:t>表2中二级标准</w:t>
                  </w:r>
                </w:p>
              </w:tc>
            </w:tr>
            <w:tr w14:paraId="29711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vMerge w:val="continue"/>
                  <w:vAlign w:val="center"/>
                </w:tcPr>
                <w:p w14:paraId="33746DE7">
                  <w:pPr>
                    <w:pStyle w:val="24"/>
                    <w:bidi w:val="0"/>
                    <w:jc w:val="center"/>
                    <w:rPr>
                      <w:rFonts w:hint="eastAsia"/>
                      <w:color w:val="auto"/>
                      <w:u w:val="single" w:color="auto"/>
                      <w:lang w:val="en-US" w:eastAsia="zh-CN"/>
                    </w:rPr>
                  </w:pPr>
                </w:p>
              </w:tc>
              <w:tc>
                <w:tcPr>
                  <w:tcW w:w="1173" w:type="dxa"/>
                  <w:vAlign w:val="center"/>
                </w:tcPr>
                <w:p w14:paraId="438E4488">
                  <w:pPr>
                    <w:pStyle w:val="24"/>
                    <w:bidi w:val="0"/>
                    <w:jc w:val="center"/>
                    <w:rPr>
                      <w:rFonts w:hint="default"/>
                      <w:color w:val="auto"/>
                      <w:u w:val="single" w:color="auto"/>
                      <w:lang w:val="en-US" w:eastAsia="zh-CN"/>
                    </w:rPr>
                  </w:pPr>
                  <w:r>
                    <w:rPr>
                      <w:rFonts w:hint="eastAsia"/>
                      <w:color w:val="auto"/>
                      <w:u w:val="single" w:color="auto"/>
                      <w:lang w:val="en-US" w:eastAsia="zh-CN"/>
                    </w:rPr>
                    <w:t>氯化氢</w:t>
                  </w:r>
                </w:p>
              </w:tc>
              <w:tc>
                <w:tcPr>
                  <w:tcW w:w="1091" w:type="dxa"/>
                  <w:vMerge w:val="continue"/>
                  <w:vAlign w:val="center"/>
                </w:tcPr>
                <w:p w14:paraId="408291BA">
                  <w:pPr>
                    <w:pStyle w:val="24"/>
                    <w:bidi w:val="0"/>
                    <w:jc w:val="center"/>
                    <w:rPr>
                      <w:rFonts w:hint="eastAsia"/>
                      <w:color w:val="auto"/>
                      <w:u w:val="single" w:color="auto"/>
                      <w:lang w:val="en-US" w:eastAsia="zh-CN"/>
                    </w:rPr>
                  </w:pPr>
                </w:p>
              </w:tc>
              <w:tc>
                <w:tcPr>
                  <w:tcW w:w="4521" w:type="dxa"/>
                  <w:vMerge w:val="continue"/>
                  <w:vAlign w:val="center"/>
                </w:tcPr>
                <w:p w14:paraId="32279E98">
                  <w:pPr>
                    <w:pStyle w:val="24"/>
                    <w:bidi w:val="0"/>
                    <w:jc w:val="center"/>
                    <w:rPr>
                      <w:rFonts w:hint="default"/>
                      <w:color w:val="auto"/>
                      <w:u w:val="single" w:color="auto"/>
                      <w:lang w:val="en-US" w:eastAsia="zh-CN"/>
                    </w:rPr>
                  </w:pPr>
                </w:p>
              </w:tc>
            </w:tr>
            <w:tr w14:paraId="2EAE7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vMerge w:val="continue"/>
                  <w:vAlign w:val="center"/>
                </w:tcPr>
                <w:p w14:paraId="338DC2FA">
                  <w:pPr>
                    <w:pStyle w:val="24"/>
                    <w:bidi w:val="0"/>
                    <w:jc w:val="center"/>
                    <w:rPr>
                      <w:rFonts w:hint="eastAsia"/>
                      <w:color w:val="auto"/>
                      <w:u w:val="single" w:color="auto"/>
                      <w:lang w:val="en-US" w:eastAsia="zh-CN"/>
                    </w:rPr>
                  </w:pPr>
                </w:p>
              </w:tc>
              <w:tc>
                <w:tcPr>
                  <w:tcW w:w="1173" w:type="dxa"/>
                  <w:vAlign w:val="center"/>
                </w:tcPr>
                <w:p w14:paraId="1AF99DA8">
                  <w:pPr>
                    <w:pStyle w:val="24"/>
                    <w:bidi w:val="0"/>
                    <w:jc w:val="center"/>
                    <w:rPr>
                      <w:rFonts w:hint="default"/>
                      <w:color w:val="auto"/>
                      <w:u w:val="single" w:color="auto"/>
                      <w:lang w:val="en-US" w:eastAsia="zh-CN"/>
                    </w:rPr>
                  </w:pPr>
                  <w:r>
                    <w:rPr>
                      <w:rFonts w:hint="eastAsia"/>
                      <w:color w:val="auto"/>
                      <w:u w:val="single" w:color="auto"/>
                      <w:lang w:val="en-US" w:eastAsia="zh-CN"/>
                    </w:rPr>
                    <w:t>氨</w:t>
                  </w:r>
                </w:p>
              </w:tc>
              <w:tc>
                <w:tcPr>
                  <w:tcW w:w="1091" w:type="dxa"/>
                  <w:vAlign w:val="center"/>
                </w:tcPr>
                <w:p w14:paraId="133686C0">
                  <w:pPr>
                    <w:pStyle w:val="24"/>
                    <w:bidi w:val="0"/>
                    <w:jc w:val="center"/>
                    <w:rPr>
                      <w:rFonts w:hint="eastAsia"/>
                      <w:color w:val="auto"/>
                      <w:u w:val="single" w:color="auto"/>
                      <w:lang w:val="en-US" w:eastAsia="zh-CN"/>
                    </w:rPr>
                  </w:pPr>
                  <w:r>
                    <w:rPr>
                      <w:rFonts w:hint="eastAsia"/>
                      <w:color w:val="auto"/>
                      <w:u w:val="single" w:color="auto"/>
                      <w:lang w:val="en-US" w:eastAsia="zh-CN"/>
                    </w:rPr>
                    <w:t>1次/季度</w:t>
                  </w:r>
                </w:p>
              </w:tc>
              <w:tc>
                <w:tcPr>
                  <w:tcW w:w="4521" w:type="dxa"/>
                  <w:vAlign w:val="center"/>
                </w:tcPr>
                <w:p w14:paraId="5EF02AC1">
                  <w:pPr>
                    <w:pStyle w:val="24"/>
                    <w:bidi w:val="0"/>
                    <w:jc w:val="center"/>
                    <w:rPr>
                      <w:rFonts w:hint="default"/>
                      <w:color w:val="auto"/>
                      <w:u w:val="single" w:color="auto"/>
                      <w:lang w:val="en-US" w:eastAsia="zh-CN"/>
                    </w:rPr>
                  </w:pPr>
                  <w:r>
                    <w:rPr>
                      <w:rFonts w:hint="eastAsia" w:ascii="Times New Roman" w:hAnsi="Times New Roman" w:eastAsia="宋体" w:cs="Times New Roman"/>
                      <w:color w:val="auto"/>
                      <w:kern w:val="2"/>
                      <w:sz w:val="21"/>
                      <w:szCs w:val="21"/>
                      <w:u w:val="single" w:color="auto"/>
                      <w:lang w:val="en-US" w:eastAsia="zh-CN" w:bidi="ar-SA"/>
                    </w:rPr>
                    <w:t>《恶臭污染物排放标准》（G</w:t>
                  </w:r>
                  <w:r>
                    <w:rPr>
                      <w:rFonts w:hint="default" w:ascii="Times New Roman" w:hAnsi="Times New Roman" w:eastAsia="宋体" w:cs="Times New Roman"/>
                      <w:color w:val="auto"/>
                      <w:kern w:val="2"/>
                      <w:sz w:val="21"/>
                      <w:szCs w:val="21"/>
                      <w:u w:val="single" w:color="auto"/>
                      <w:lang w:val="en-US" w:eastAsia="zh-CN" w:bidi="ar-SA"/>
                    </w:rPr>
                    <w:t>B 14554</w:t>
                  </w:r>
                  <w:r>
                    <w:rPr>
                      <w:rFonts w:hint="eastAsia" w:ascii="Times New Roman" w:hAnsi="Times New Roman" w:eastAsia="宋体" w:cs="Times New Roman"/>
                      <w:color w:val="auto"/>
                      <w:kern w:val="2"/>
                      <w:sz w:val="21"/>
                      <w:szCs w:val="21"/>
                      <w:u w:val="single" w:color="auto"/>
                      <w:lang w:val="en-US" w:eastAsia="zh-CN" w:bidi="ar-SA"/>
                    </w:rPr>
                    <w:t>-</w:t>
                  </w:r>
                  <w:r>
                    <w:rPr>
                      <w:rFonts w:hint="eastAsia" w:cs="Times New Roman"/>
                      <w:color w:val="auto"/>
                      <w:kern w:val="2"/>
                      <w:sz w:val="21"/>
                      <w:szCs w:val="21"/>
                      <w:u w:val="single" w:color="auto"/>
                      <w:lang w:val="en-US" w:eastAsia="zh-CN" w:bidi="ar-SA"/>
                    </w:rPr>
                    <w:t>19</w:t>
                  </w:r>
                  <w:r>
                    <w:rPr>
                      <w:rFonts w:hint="default" w:ascii="Times New Roman" w:hAnsi="Times New Roman" w:eastAsia="宋体" w:cs="Times New Roman"/>
                      <w:color w:val="auto"/>
                      <w:kern w:val="2"/>
                      <w:sz w:val="21"/>
                      <w:szCs w:val="21"/>
                      <w:u w:val="single" w:color="auto"/>
                      <w:lang w:val="en-US" w:eastAsia="zh-CN" w:bidi="ar-SA"/>
                    </w:rPr>
                    <w:t>93</w:t>
                  </w:r>
                  <w:r>
                    <w:rPr>
                      <w:rFonts w:hint="eastAsia" w:ascii="Times New Roman" w:hAnsi="Times New Roman" w:eastAsia="宋体" w:cs="Times New Roman"/>
                      <w:color w:val="auto"/>
                      <w:kern w:val="2"/>
                      <w:sz w:val="21"/>
                      <w:szCs w:val="21"/>
                      <w:u w:val="single" w:color="auto"/>
                      <w:lang w:val="en-US" w:eastAsia="zh-CN" w:bidi="ar-SA"/>
                    </w:rPr>
                    <w:t>）</w:t>
                  </w:r>
                  <w:r>
                    <w:rPr>
                      <w:rFonts w:hint="eastAsia" w:cs="Times New Roman"/>
                      <w:color w:val="auto"/>
                      <w:kern w:val="2"/>
                      <w:sz w:val="21"/>
                      <w:szCs w:val="21"/>
                      <w:u w:val="single" w:color="auto"/>
                      <w:lang w:val="en-US" w:eastAsia="zh-CN" w:bidi="ar-SA"/>
                    </w:rPr>
                    <w:t>表2排放限值</w:t>
                  </w:r>
                </w:p>
              </w:tc>
            </w:tr>
            <w:tr w14:paraId="0EC2A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vMerge w:val="restart"/>
                  <w:vAlign w:val="center"/>
                </w:tcPr>
                <w:p w14:paraId="4C615591">
                  <w:pPr>
                    <w:pStyle w:val="24"/>
                    <w:bidi w:val="0"/>
                    <w:jc w:val="center"/>
                    <w:rPr>
                      <w:rFonts w:hint="default"/>
                      <w:color w:val="auto"/>
                      <w:u w:val="single" w:color="auto"/>
                      <w:lang w:val="en-US" w:eastAsia="zh-CN"/>
                    </w:rPr>
                  </w:pPr>
                  <w:r>
                    <w:rPr>
                      <w:rFonts w:hint="eastAsia"/>
                      <w:color w:val="auto"/>
                      <w:u w:val="single" w:color="auto"/>
                      <w:lang w:val="en-US" w:eastAsia="zh-CN"/>
                    </w:rPr>
                    <w:t>废气排放口DA002</w:t>
                  </w:r>
                </w:p>
              </w:tc>
              <w:tc>
                <w:tcPr>
                  <w:tcW w:w="1173" w:type="dxa"/>
                  <w:vAlign w:val="center"/>
                </w:tcPr>
                <w:p w14:paraId="598BACB6">
                  <w:pPr>
                    <w:pStyle w:val="24"/>
                    <w:bidi w:val="0"/>
                    <w:jc w:val="center"/>
                    <w:rPr>
                      <w:rFonts w:hint="eastAsia"/>
                      <w:color w:val="auto"/>
                      <w:u w:val="single" w:color="auto"/>
                      <w:lang w:val="en-US" w:eastAsia="zh-CN"/>
                    </w:rPr>
                  </w:pPr>
                  <w:r>
                    <w:rPr>
                      <w:rFonts w:hint="eastAsia"/>
                      <w:color w:val="auto"/>
                      <w:u w:val="single" w:color="auto"/>
                      <w:lang w:val="en-US" w:eastAsia="zh-CN"/>
                    </w:rPr>
                    <w:t>颗粒物</w:t>
                  </w:r>
                </w:p>
              </w:tc>
              <w:tc>
                <w:tcPr>
                  <w:tcW w:w="1091" w:type="dxa"/>
                  <w:vMerge w:val="restart"/>
                  <w:vAlign w:val="center"/>
                </w:tcPr>
                <w:p w14:paraId="5332D3C0">
                  <w:pPr>
                    <w:pStyle w:val="24"/>
                    <w:bidi w:val="0"/>
                    <w:jc w:val="center"/>
                    <w:rPr>
                      <w:rFonts w:hint="default"/>
                      <w:color w:val="auto"/>
                      <w:u w:val="single" w:color="auto"/>
                      <w:lang w:val="en-US" w:eastAsia="zh-CN"/>
                    </w:rPr>
                  </w:pPr>
                  <w:r>
                    <w:rPr>
                      <w:rFonts w:hint="eastAsia"/>
                      <w:color w:val="auto"/>
                      <w:u w:val="single" w:color="auto"/>
                      <w:lang w:val="en-US" w:eastAsia="zh-CN"/>
                    </w:rPr>
                    <w:t>1次/月</w:t>
                  </w:r>
                </w:p>
              </w:tc>
              <w:tc>
                <w:tcPr>
                  <w:tcW w:w="4521" w:type="dxa"/>
                  <w:vAlign w:val="center"/>
                </w:tcPr>
                <w:p w14:paraId="4BCEF0C8">
                  <w:pPr>
                    <w:pStyle w:val="24"/>
                    <w:bidi w:val="0"/>
                    <w:jc w:val="center"/>
                    <w:rPr>
                      <w:rFonts w:hint="default"/>
                      <w:color w:val="auto"/>
                      <w:u w:val="single" w:color="auto"/>
                      <w:lang w:val="en-US" w:eastAsia="zh-CN"/>
                    </w:rPr>
                  </w:pPr>
                  <w:r>
                    <w:rPr>
                      <w:rFonts w:hint="default"/>
                      <w:color w:val="auto"/>
                      <w:u w:val="single" w:color="auto"/>
                      <w:lang w:val="en-US" w:eastAsia="zh-CN"/>
                    </w:rPr>
                    <w:t>《工业炉窑大气污染物排放标准》（GB 9078-1996）表2中</w:t>
                  </w:r>
                  <w:r>
                    <w:rPr>
                      <w:rFonts w:hint="eastAsia"/>
                      <w:color w:val="auto"/>
                      <w:u w:val="single" w:color="auto"/>
                      <w:lang w:val="en-US" w:eastAsia="zh-CN"/>
                    </w:rPr>
                    <w:t>干燥</w:t>
                  </w:r>
                  <w:r>
                    <w:rPr>
                      <w:rFonts w:hint="default"/>
                      <w:color w:val="auto"/>
                      <w:u w:val="single" w:color="auto"/>
                      <w:lang w:val="en-US" w:eastAsia="zh-CN"/>
                    </w:rPr>
                    <w:t>炉二级排放标准</w:t>
                  </w:r>
                </w:p>
              </w:tc>
            </w:tr>
            <w:tr w14:paraId="232A5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vMerge w:val="continue"/>
                  <w:vAlign w:val="center"/>
                </w:tcPr>
                <w:p w14:paraId="208B1A6C">
                  <w:pPr>
                    <w:pStyle w:val="24"/>
                    <w:bidi w:val="0"/>
                    <w:jc w:val="center"/>
                    <w:rPr>
                      <w:rFonts w:hint="eastAsia"/>
                      <w:color w:val="auto"/>
                      <w:u w:val="single" w:color="auto"/>
                      <w:lang w:val="en-US" w:eastAsia="zh-CN"/>
                    </w:rPr>
                  </w:pPr>
                </w:p>
              </w:tc>
              <w:tc>
                <w:tcPr>
                  <w:tcW w:w="1173" w:type="dxa"/>
                  <w:vAlign w:val="center"/>
                </w:tcPr>
                <w:p w14:paraId="6C7BB88C">
                  <w:pPr>
                    <w:pStyle w:val="24"/>
                    <w:bidi w:val="0"/>
                    <w:jc w:val="center"/>
                    <w:rPr>
                      <w:rFonts w:hint="default"/>
                      <w:color w:val="auto"/>
                      <w:u w:val="single" w:color="auto"/>
                      <w:lang w:val="en-US" w:eastAsia="zh-CN"/>
                    </w:rPr>
                  </w:pPr>
                  <w:r>
                    <w:rPr>
                      <w:rFonts w:hint="eastAsia"/>
                      <w:color w:val="auto"/>
                      <w:u w:val="single" w:color="auto"/>
                      <w:lang w:val="en-US" w:eastAsia="zh-CN"/>
                    </w:rPr>
                    <w:t>二氧化硫</w:t>
                  </w:r>
                </w:p>
              </w:tc>
              <w:tc>
                <w:tcPr>
                  <w:tcW w:w="1091" w:type="dxa"/>
                  <w:vMerge w:val="continue"/>
                  <w:vAlign w:val="center"/>
                </w:tcPr>
                <w:p w14:paraId="3850D300">
                  <w:pPr>
                    <w:pStyle w:val="24"/>
                    <w:bidi w:val="0"/>
                    <w:jc w:val="center"/>
                    <w:rPr>
                      <w:rFonts w:hint="default"/>
                      <w:color w:val="auto"/>
                      <w:u w:val="single" w:color="auto"/>
                      <w:lang w:val="en-US" w:eastAsia="zh-CN"/>
                    </w:rPr>
                  </w:pPr>
                </w:p>
              </w:tc>
              <w:tc>
                <w:tcPr>
                  <w:tcW w:w="4521" w:type="dxa"/>
                  <w:vAlign w:val="center"/>
                </w:tcPr>
                <w:p w14:paraId="724FE97D">
                  <w:pPr>
                    <w:pStyle w:val="24"/>
                    <w:bidi w:val="0"/>
                    <w:jc w:val="center"/>
                    <w:rPr>
                      <w:rFonts w:hint="default"/>
                      <w:color w:val="auto"/>
                      <w:u w:val="single" w:color="auto"/>
                      <w:lang w:val="en-US" w:eastAsia="zh-CN"/>
                    </w:rPr>
                  </w:pPr>
                  <w:r>
                    <w:rPr>
                      <w:rFonts w:hint="default"/>
                      <w:color w:val="auto"/>
                      <w:u w:val="single" w:color="auto"/>
                      <w:lang w:val="en-US" w:eastAsia="zh-CN"/>
                    </w:rPr>
                    <w:t>《工业炉窑大气污染物排放标准》（GB 9078-1996）表4中燃油炉窑二级排放标准</w:t>
                  </w:r>
                </w:p>
              </w:tc>
            </w:tr>
            <w:tr w14:paraId="40B9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4" w:type="dxa"/>
                  <w:vMerge w:val="continue"/>
                  <w:vAlign w:val="center"/>
                </w:tcPr>
                <w:p w14:paraId="3560AC98">
                  <w:pPr>
                    <w:pStyle w:val="24"/>
                    <w:bidi w:val="0"/>
                    <w:jc w:val="center"/>
                    <w:rPr>
                      <w:rFonts w:hint="eastAsia"/>
                      <w:color w:val="auto"/>
                      <w:u w:val="single" w:color="auto"/>
                      <w:lang w:val="en-US" w:eastAsia="zh-CN"/>
                    </w:rPr>
                  </w:pPr>
                </w:p>
              </w:tc>
              <w:tc>
                <w:tcPr>
                  <w:tcW w:w="1173" w:type="dxa"/>
                  <w:vAlign w:val="center"/>
                </w:tcPr>
                <w:p w14:paraId="46D887B7">
                  <w:pPr>
                    <w:pStyle w:val="24"/>
                    <w:bidi w:val="0"/>
                    <w:jc w:val="center"/>
                    <w:rPr>
                      <w:rFonts w:hint="default"/>
                      <w:color w:val="auto"/>
                      <w:u w:val="single" w:color="auto"/>
                      <w:lang w:val="en-US" w:eastAsia="zh-CN"/>
                    </w:rPr>
                  </w:pPr>
                  <w:r>
                    <w:rPr>
                      <w:rFonts w:hint="eastAsia"/>
                      <w:color w:val="auto"/>
                      <w:u w:val="single" w:color="auto"/>
                      <w:lang w:val="en-US" w:eastAsia="zh-CN"/>
                    </w:rPr>
                    <w:t>氮氧化物</w:t>
                  </w:r>
                </w:p>
              </w:tc>
              <w:tc>
                <w:tcPr>
                  <w:tcW w:w="1091" w:type="dxa"/>
                  <w:vMerge w:val="continue"/>
                  <w:vAlign w:val="center"/>
                </w:tcPr>
                <w:p w14:paraId="0FA46A65">
                  <w:pPr>
                    <w:pStyle w:val="24"/>
                    <w:bidi w:val="0"/>
                    <w:jc w:val="center"/>
                    <w:rPr>
                      <w:rFonts w:hint="eastAsia"/>
                      <w:color w:val="auto"/>
                      <w:u w:val="single" w:color="auto"/>
                      <w:lang w:val="en-US" w:eastAsia="zh-CN"/>
                    </w:rPr>
                  </w:pPr>
                </w:p>
              </w:tc>
              <w:tc>
                <w:tcPr>
                  <w:tcW w:w="4521" w:type="dxa"/>
                  <w:vAlign w:val="center"/>
                </w:tcPr>
                <w:p w14:paraId="0B63F8A5">
                  <w:pPr>
                    <w:pStyle w:val="24"/>
                    <w:bidi w:val="0"/>
                    <w:jc w:val="center"/>
                    <w:rPr>
                      <w:rFonts w:hint="default"/>
                      <w:color w:val="auto"/>
                      <w:u w:val="single" w:color="auto"/>
                      <w:lang w:val="en-US" w:eastAsia="zh-CN"/>
                    </w:rPr>
                  </w:pPr>
                  <w:r>
                    <w:rPr>
                      <w:rFonts w:hint="eastAsia" w:ascii="Times New Roman" w:hAnsi="Times New Roman" w:eastAsia="宋体" w:cs="Times New Roman"/>
                      <w:color w:val="auto"/>
                      <w:kern w:val="2"/>
                      <w:sz w:val="21"/>
                      <w:szCs w:val="21"/>
                      <w:u w:val="single" w:color="auto"/>
                      <w:lang w:val="en-US" w:eastAsia="zh-CN" w:bidi="ar-SA"/>
                    </w:rPr>
                    <w:t>《大气污染物综合排放标准》（GB16297</w:t>
                  </w:r>
                  <w:r>
                    <w:rPr>
                      <w:rFonts w:hint="default" w:ascii="Times New Roman" w:hAnsi="Times New Roman" w:eastAsia="宋体" w:cs="Times New Roman"/>
                      <w:color w:val="auto"/>
                      <w:kern w:val="2"/>
                      <w:sz w:val="21"/>
                      <w:szCs w:val="21"/>
                      <w:u w:val="single" w:color="auto"/>
                      <w:lang w:val="en-US" w:eastAsia="zh-CN" w:bidi="ar-SA"/>
                    </w:rPr>
                    <w:t>-</w:t>
                  </w:r>
                  <w:r>
                    <w:rPr>
                      <w:rFonts w:hint="eastAsia" w:ascii="Times New Roman" w:hAnsi="Times New Roman" w:eastAsia="宋体" w:cs="Times New Roman"/>
                      <w:color w:val="auto"/>
                      <w:kern w:val="2"/>
                      <w:sz w:val="21"/>
                      <w:szCs w:val="21"/>
                      <w:u w:val="single" w:color="auto"/>
                      <w:lang w:val="en-US" w:eastAsia="zh-CN" w:bidi="ar-SA"/>
                    </w:rPr>
                    <w:t>1996）</w:t>
                  </w:r>
                  <w:r>
                    <w:rPr>
                      <w:rFonts w:hint="eastAsia" w:cs="Times New Roman"/>
                      <w:color w:val="auto"/>
                      <w:kern w:val="2"/>
                      <w:sz w:val="21"/>
                      <w:szCs w:val="21"/>
                      <w:u w:val="single" w:color="auto"/>
                      <w:lang w:val="en-US" w:eastAsia="zh-CN" w:bidi="ar-SA"/>
                    </w:rPr>
                    <w:t>表2中二级标准</w:t>
                  </w:r>
                </w:p>
              </w:tc>
            </w:tr>
          </w:tbl>
          <w:p w14:paraId="0713E6FA">
            <w:pPr>
              <w:pStyle w:val="21"/>
              <w:bidi w:val="0"/>
              <w:ind w:left="0" w:leftChars="0" w:firstLine="482" w:firstLineChars="200"/>
              <w:rPr>
                <w:rFonts w:hint="eastAsia"/>
                <w:color w:val="auto"/>
                <w:lang w:val="en-US" w:eastAsia="zh-CN"/>
              </w:rPr>
            </w:pPr>
            <w:r>
              <w:rPr>
                <w:rFonts w:hint="eastAsia"/>
                <w:color w:val="auto"/>
                <w:lang w:val="en-US" w:eastAsia="zh-CN"/>
              </w:rPr>
              <w:t>2、废水污染源分析</w:t>
            </w:r>
          </w:p>
          <w:p w14:paraId="78147FBB">
            <w:pPr>
              <w:pStyle w:val="22"/>
              <w:bidi w:val="0"/>
              <w:rPr>
                <w:rFonts w:hint="default"/>
                <w:b/>
                <w:bCs/>
                <w:color w:val="auto"/>
                <w:lang w:val="en-US" w:eastAsia="zh-CN"/>
              </w:rPr>
            </w:pPr>
            <w:r>
              <w:rPr>
                <w:rFonts w:hint="eastAsia"/>
                <w:b/>
                <w:bCs/>
                <w:color w:val="auto"/>
                <w:lang w:val="en-US" w:eastAsia="zh-CN"/>
              </w:rPr>
              <w:t>2.1废水污染源强核算</w:t>
            </w:r>
          </w:p>
          <w:p w14:paraId="7AC98A5F">
            <w:pPr>
              <w:pStyle w:val="22"/>
              <w:bidi w:val="0"/>
              <w:rPr>
                <w:rFonts w:hint="eastAsia" w:eastAsia="宋体"/>
                <w:color w:val="auto"/>
                <w:u w:val="single"/>
                <w:lang w:val="en-US" w:eastAsia="zh-CN"/>
              </w:rPr>
            </w:pPr>
            <w:r>
              <w:rPr>
                <w:rFonts w:hint="eastAsia"/>
                <w:sz w:val="24"/>
                <w:u w:val="single"/>
              </w:rPr>
              <w:t>运营期车间场地无需冲洗，生产车间废气处理设施喷淋废水经沉淀后回用于生产，厂区无生产废水外排。雨水经厂区雨水管网收集排入</w:t>
            </w:r>
            <w:r>
              <w:rPr>
                <w:rFonts w:hint="eastAsia"/>
                <w:sz w:val="24"/>
                <w:u w:val="single"/>
                <w:lang w:val="en-US" w:eastAsia="zh-CN"/>
              </w:rPr>
              <w:t>园区</w:t>
            </w:r>
            <w:r>
              <w:rPr>
                <w:rFonts w:hint="eastAsia"/>
                <w:sz w:val="24"/>
                <w:u w:val="single"/>
              </w:rPr>
              <w:t>雨水管网</w:t>
            </w:r>
            <w:r>
              <w:rPr>
                <w:rFonts w:hint="eastAsia"/>
                <w:sz w:val="24"/>
                <w:u w:val="single"/>
                <w:lang w:eastAsia="zh-CN"/>
              </w:rPr>
              <w:t>。</w:t>
            </w:r>
          </w:p>
          <w:p w14:paraId="0FDBB309">
            <w:pPr>
              <w:pStyle w:val="21"/>
              <w:numPr>
                <w:ilvl w:val="0"/>
                <w:numId w:val="0"/>
              </w:numPr>
              <w:bidi w:val="0"/>
              <w:ind w:leftChars="200"/>
              <w:rPr>
                <w:rFonts w:hint="default"/>
                <w:b w:val="0"/>
                <w:bCs/>
                <w:color w:val="auto"/>
                <w:u w:val="single"/>
                <w:lang w:val="en-US" w:eastAsia="zh-CN"/>
              </w:rPr>
            </w:pPr>
            <w:r>
              <w:rPr>
                <w:rFonts w:hint="default"/>
                <w:b w:val="0"/>
                <w:bCs/>
                <w:color w:val="auto"/>
                <w:u w:val="single"/>
                <w:lang w:val="en-US" w:eastAsia="zh-CN"/>
              </w:rPr>
              <w:t>员工生活污水</w:t>
            </w:r>
            <w:r>
              <w:rPr>
                <w:rFonts w:hint="eastAsia"/>
                <w:b w:val="0"/>
                <w:bCs/>
                <w:color w:val="auto"/>
                <w:u w:val="single"/>
                <w:lang w:val="en-US" w:eastAsia="zh-CN"/>
              </w:rPr>
              <w:t>：</w:t>
            </w:r>
          </w:p>
          <w:p w14:paraId="529B1687">
            <w:pPr>
              <w:spacing w:line="360" w:lineRule="auto"/>
              <w:ind w:firstLine="480" w:firstLineChars="200"/>
              <w:jc w:val="left"/>
              <w:rPr>
                <w:rFonts w:hint="default" w:eastAsia="宋体"/>
                <w:sz w:val="24"/>
                <w:szCs w:val="24"/>
                <w:lang w:val="en-US" w:eastAsia="zh-CN"/>
              </w:rPr>
            </w:pPr>
            <w:r>
              <w:rPr>
                <w:rFonts w:hint="eastAsia"/>
                <w:sz w:val="24"/>
                <w:szCs w:val="24"/>
                <w:u w:val="single"/>
                <w:lang w:val="en-US" w:eastAsia="zh-CN"/>
              </w:rPr>
              <w:t>项目</w:t>
            </w:r>
            <w:r>
              <w:rPr>
                <w:rFonts w:hint="eastAsia"/>
                <w:color w:val="auto"/>
                <w:u w:val="single"/>
                <w:lang w:val="en-US" w:eastAsia="zh-CN"/>
              </w:rPr>
              <w:t>劳动定员20人，不在厂区住宿，根据《用水定额 第3部分：生活、服务业及建筑业》（DB 43/T 388.3—2025）中相关标准，不在厂区住宿人员生活用水平均按50L/人·天计，则本项目生活用水量为320m</w:t>
            </w:r>
            <w:r>
              <w:rPr>
                <w:rFonts w:hint="eastAsia"/>
                <w:color w:val="auto"/>
                <w:u w:val="single"/>
                <w:vertAlign w:val="superscript"/>
                <w:lang w:val="en-US" w:eastAsia="zh-CN"/>
              </w:rPr>
              <w:t>3</w:t>
            </w:r>
            <w:r>
              <w:rPr>
                <w:rFonts w:hint="eastAsia"/>
                <w:color w:val="auto"/>
                <w:u w:val="single"/>
                <w:lang w:val="en-US" w:eastAsia="zh-CN"/>
              </w:rPr>
              <w:t>/a（1m</w:t>
            </w:r>
            <w:r>
              <w:rPr>
                <w:rFonts w:hint="eastAsia"/>
                <w:color w:val="auto"/>
                <w:u w:val="single"/>
                <w:vertAlign w:val="superscript"/>
                <w:lang w:val="en-US" w:eastAsia="zh-CN"/>
              </w:rPr>
              <w:t>3</w:t>
            </w:r>
            <w:r>
              <w:rPr>
                <w:rFonts w:hint="eastAsia"/>
                <w:color w:val="auto"/>
                <w:u w:val="single"/>
                <w:lang w:val="en-US" w:eastAsia="zh-CN"/>
              </w:rPr>
              <w:t>/d），排污系数的80%计，则生活污水产生量为256m</w:t>
            </w:r>
            <w:r>
              <w:rPr>
                <w:rFonts w:hint="eastAsia"/>
                <w:color w:val="auto"/>
                <w:u w:val="single"/>
                <w:vertAlign w:val="superscript"/>
                <w:lang w:val="en-US" w:eastAsia="zh-CN"/>
              </w:rPr>
              <w:t>3</w:t>
            </w:r>
            <w:r>
              <w:rPr>
                <w:rFonts w:hint="eastAsia"/>
                <w:color w:val="auto"/>
                <w:u w:val="single"/>
                <w:lang w:val="en-US" w:eastAsia="zh-CN"/>
              </w:rPr>
              <w:t>/a（0.8m</w:t>
            </w:r>
            <w:r>
              <w:rPr>
                <w:rFonts w:hint="eastAsia"/>
                <w:color w:val="auto"/>
                <w:u w:val="single"/>
                <w:vertAlign w:val="superscript"/>
                <w:lang w:val="en-US" w:eastAsia="zh-CN"/>
              </w:rPr>
              <w:t>3</w:t>
            </w:r>
            <w:r>
              <w:rPr>
                <w:rFonts w:hint="eastAsia"/>
                <w:color w:val="auto"/>
                <w:u w:val="single"/>
                <w:lang w:val="en-US" w:eastAsia="zh-CN"/>
              </w:rPr>
              <w:t>/d）。生活污水经化粪池（6m</w:t>
            </w:r>
            <w:r>
              <w:rPr>
                <w:rFonts w:hint="eastAsia"/>
                <w:color w:val="auto"/>
                <w:u w:val="single"/>
                <w:vertAlign w:val="superscript"/>
                <w:lang w:val="en-US" w:eastAsia="zh-CN"/>
              </w:rPr>
              <w:t>3</w:t>
            </w:r>
            <w:r>
              <w:rPr>
                <w:rFonts w:hint="eastAsia"/>
                <w:color w:val="auto"/>
                <w:u w:val="single"/>
                <w:lang w:val="en-US" w:eastAsia="zh-CN"/>
              </w:rPr>
              <w:t>）处理后通过园区排污管网进入岳阳高新技术产业园区长湖片污水处理厂。生活污水执行</w:t>
            </w:r>
            <w:r>
              <w:rPr>
                <w:szCs w:val="21"/>
                <w:u w:val="single" w:color="auto"/>
              </w:rPr>
              <w:t>《污水综合排放标准》（GB8978-1996）表4中三级标准</w:t>
            </w:r>
            <w:r>
              <w:rPr>
                <w:rFonts w:hint="eastAsia"/>
                <w:szCs w:val="21"/>
                <w:u w:val="single" w:color="auto"/>
                <w:lang w:val="en-US" w:eastAsia="zh-CN"/>
              </w:rPr>
              <w:t>和岳阳高新技术产业园区长湖片污水处理厂生活污水进水水质标准从严执行</w:t>
            </w:r>
            <w:r>
              <w:rPr>
                <w:rFonts w:hint="eastAsia"/>
                <w:color w:val="auto"/>
                <w:lang w:val="en-US" w:eastAsia="zh-CN"/>
              </w:rPr>
              <w:t>。</w:t>
            </w:r>
          </w:p>
          <w:p w14:paraId="789B9E93">
            <w:pPr>
              <w:pStyle w:val="21"/>
              <w:bidi w:val="0"/>
              <w:rPr>
                <w:rFonts w:hint="default"/>
                <w:color w:val="auto"/>
                <w:lang w:val="en-US" w:eastAsia="zh-CN"/>
              </w:rPr>
            </w:pPr>
            <w:r>
              <w:rPr>
                <w:rFonts w:hint="eastAsia"/>
                <w:color w:val="auto"/>
                <w:lang w:val="en-US" w:eastAsia="zh-CN"/>
              </w:rPr>
              <w:t>2</w:t>
            </w:r>
            <w:r>
              <w:rPr>
                <w:rFonts w:hint="default"/>
                <w:color w:val="auto"/>
                <w:lang w:val="en-US" w:eastAsia="zh-CN"/>
              </w:rPr>
              <w:t>.</w:t>
            </w:r>
            <w:r>
              <w:rPr>
                <w:rFonts w:hint="eastAsia"/>
                <w:color w:val="auto"/>
                <w:lang w:val="en-US" w:eastAsia="zh-CN"/>
              </w:rPr>
              <w:t>3</w:t>
            </w:r>
            <w:r>
              <w:rPr>
                <w:rFonts w:hint="default"/>
                <w:color w:val="auto"/>
                <w:lang w:val="en-US" w:eastAsia="zh-CN"/>
              </w:rPr>
              <w:t xml:space="preserve"> 废</w:t>
            </w:r>
            <w:r>
              <w:rPr>
                <w:rFonts w:hint="eastAsia"/>
                <w:color w:val="auto"/>
                <w:lang w:val="en-US" w:eastAsia="zh-CN"/>
              </w:rPr>
              <w:t>水</w:t>
            </w:r>
            <w:r>
              <w:rPr>
                <w:rFonts w:hint="default"/>
                <w:color w:val="auto"/>
                <w:lang w:val="en-US" w:eastAsia="zh-CN"/>
              </w:rPr>
              <w:t>处理措施可行性分析</w:t>
            </w:r>
          </w:p>
          <w:p w14:paraId="3E23DD56">
            <w:pPr>
              <w:rPr>
                <w:rFonts w:hint="default"/>
                <w:color w:val="auto"/>
                <w:u w:val="single"/>
                <w:lang w:val="en-US" w:eastAsia="zh-CN"/>
              </w:rPr>
            </w:pPr>
            <w:r>
              <w:rPr>
                <w:rFonts w:hint="eastAsia"/>
                <w:color w:val="auto"/>
                <w:u w:val="single"/>
                <w:lang w:val="en-US" w:eastAsia="zh-CN"/>
              </w:rPr>
              <w:t>项目生活污水采用化粪池预处理的方式与</w:t>
            </w:r>
            <w:r>
              <w:rPr>
                <w:rFonts w:hint="default"/>
                <w:color w:val="auto"/>
                <w:u w:val="single"/>
                <w:lang w:val="en-US" w:eastAsia="zh-CN"/>
              </w:rPr>
              <w:t>《排污许可证申请与核发技术规范 磷肥、 钾肥 、复混钾肥 、有机肥料及微生物肥料工业》(HJ 864.2-2018)</w:t>
            </w:r>
            <w:r>
              <w:rPr>
                <w:rFonts w:hint="eastAsia"/>
                <w:color w:val="auto"/>
                <w:u w:val="single"/>
                <w:lang w:val="en-US" w:eastAsia="zh-CN"/>
              </w:rPr>
              <w:t>中的排污单位废水处理可行技术相符。</w:t>
            </w:r>
          </w:p>
          <w:p w14:paraId="7F7DEB77">
            <w:pPr>
              <w:pStyle w:val="21"/>
              <w:bidi w:val="0"/>
              <w:rPr>
                <w:rFonts w:hint="default"/>
                <w:color w:val="auto"/>
                <w:lang w:val="en-US" w:eastAsia="zh-CN"/>
              </w:rPr>
            </w:pPr>
            <w:r>
              <w:rPr>
                <w:rFonts w:hint="default"/>
                <w:color w:val="auto"/>
                <w:lang w:val="en-US" w:eastAsia="zh-CN"/>
              </w:rPr>
              <w:t>2.4 废水监测要求</w:t>
            </w:r>
          </w:p>
          <w:p w14:paraId="58954903">
            <w:pPr>
              <w:rPr>
                <w:rFonts w:hint="eastAsia"/>
                <w:color w:val="auto"/>
                <w:lang w:val="en-US" w:eastAsia="zh-CN"/>
              </w:rPr>
            </w:pPr>
            <w:r>
              <w:rPr>
                <w:rFonts w:hint="default"/>
                <w:color w:val="auto"/>
                <w:u w:val="single" w:color="auto"/>
                <w:lang w:val="en-US" w:eastAsia="zh-CN"/>
              </w:rPr>
              <w:t>根据《排污单位自行监测技术指南</w:t>
            </w:r>
            <w:r>
              <w:rPr>
                <w:rFonts w:hint="eastAsia"/>
                <w:color w:val="auto"/>
                <w:u w:val="single" w:color="auto"/>
                <w:lang w:val="en-US" w:eastAsia="zh-CN"/>
              </w:rPr>
              <w:t xml:space="preserve"> </w:t>
            </w:r>
            <w:r>
              <w:rPr>
                <w:rFonts w:hint="default"/>
                <w:color w:val="auto"/>
                <w:u w:val="single" w:color="auto"/>
                <w:lang w:val="en-US" w:eastAsia="zh-CN"/>
              </w:rPr>
              <w:t>总则》（HJ 819-2017）、排污单位自行监测技术指南 磷肥、钾肥、复混肥料、有机肥料和微生物肥料（HJ 1088—2020），</w:t>
            </w:r>
            <w:r>
              <w:rPr>
                <w:rFonts w:hint="eastAsia"/>
                <w:color w:val="auto"/>
                <w:u w:val="single" w:color="auto"/>
                <w:lang w:val="en-US" w:eastAsia="zh-CN"/>
              </w:rPr>
              <w:t>本项目无生产废水外排；生活污水由污水处理厂接纳处理，属于间接排放无需设置监测计划</w:t>
            </w:r>
            <w:r>
              <w:rPr>
                <w:rFonts w:hint="default"/>
                <w:color w:val="auto"/>
                <w:u w:val="single" w:color="auto"/>
                <w:lang w:val="en-US" w:eastAsia="zh-CN"/>
              </w:rPr>
              <w:t>。</w:t>
            </w:r>
          </w:p>
          <w:p w14:paraId="3601B74B">
            <w:pPr>
              <w:pStyle w:val="21"/>
              <w:bidi w:val="0"/>
              <w:ind w:left="0" w:leftChars="0" w:firstLine="482" w:firstLineChars="200"/>
              <w:rPr>
                <w:rFonts w:hint="eastAsia"/>
                <w:color w:val="auto"/>
                <w:lang w:val="en-US" w:eastAsia="zh-CN"/>
              </w:rPr>
            </w:pPr>
            <w:r>
              <w:rPr>
                <w:rFonts w:hint="eastAsia"/>
                <w:color w:val="auto"/>
                <w:lang w:val="en-US" w:eastAsia="zh-CN"/>
              </w:rPr>
              <w:t>3、噪声环境影响和保护措施</w:t>
            </w:r>
          </w:p>
          <w:p w14:paraId="55773311">
            <w:pPr>
              <w:pStyle w:val="21"/>
              <w:bidi w:val="0"/>
              <w:rPr>
                <w:rFonts w:hint="default"/>
                <w:color w:val="auto"/>
                <w:lang w:val="en-US" w:eastAsia="zh-CN"/>
              </w:rPr>
            </w:pPr>
            <w:r>
              <w:rPr>
                <w:rFonts w:hint="default"/>
                <w:color w:val="auto"/>
                <w:lang w:val="en-US" w:eastAsia="zh-CN"/>
              </w:rPr>
              <w:t>3.1</w:t>
            </w:r>
            <w:r>
              <w:rPr>
                <w:rFonts w:hint="eastAsia"/>
                <w:color w:val="auto"/>
                <w:lang w:val="en-US" w:eastAsia="zh-CN"/>
              </w:rPr>
              <w:t xml:space="preserve"> </w:t>
            </w:r>
            <w:r>
              <w:rPr>
                <w:rFonts w:hint="default"/>
                <w:color w:val="auto"/>
                <w:lang w:val="en-US" w:eastAsia="zh-CN"/>
              </w:rPr>
              <w:t>噪声源强及降噪措施</w:t>
            </w:r>
          </w:p>
          <w:p w14:paraId="6D7EAD26">
            <w:pPr>
              <w:rPr>
                <w:rFonts w:hint="default"/>
                <w:color w:val="auto"/>
                <w:lang w:val="en-US" w:eastAsia="zh-CN"/>
              </w:rPr>
            </w:pPr>
            <w:r>
              <w:rPr>
                <w:rFonts w:hint="default"/>
                <w:color w:val="auto"/>
                <w:lang w:val="en-US" w:eastAsia="zh-CN"/>
              </w:rPr>
              <w:t>本项目产生噪声主要为</w:t>
            </w:r>
            <w:r>
              <w:rPr>
                <w:rFonts w:hint="eastAsia"/>
                <w:color w:val="auto"/>
                <w:lang w:val="en-US" w:eastAsia="zh-CN"/>
              </w:rPr>
              <w:t>生产</w:t>
            </w:r>
            <w:r>
              <w:rPr>
                <w:rFonts w:hint="default"/>
                <w:color w:val="auto"/>
                <w:lang w:val="en-US" w:eastAsia="zh-CN"/>
              </w:rPr>
              <w:t>设备产生的机械噪声，声源值在</w:t>
            </w:r>
            <w:r>
              <w:rPr>
                <w:rFonts w:hint="eastAsia"/>
                <w:color w:val="auto"/>
                <w:lang w:val="en-US" w:eastAsia="zh-CN"/>
              </w:rPr>
              <w:t>75</w:t>
            </w:r>
            <w:r>
              <w:rPr>
                <w:rFonts w:hint="default"/>
                <w:color w:val="auto"/>
                <w:lang w:val="en-US" w:eastAsia="zh-CN"/>
              </w:rPr>
              <w:t>dB(A)~</w:t>
            </w:r>
            <w:r>
              <w:rPr>
                <w:rFonts w:hint="eastAsia"/>
                <w:color w:val="auto"/>
                <w:lang w:val="en-US" w:eastAsia="zh-CN"/>
              </w:rPr>
              <w:t>90</w:t>
            </w:r>
            <w:r>
              <w:rPr>
                <w:rFonts w:hint="default"/>
                <w:color w:val="auto"/>
                <w:lang w:val="en-US" w:eastAsia="zh-CN"/>
              </w:rPr>
              <w:t>dB(A)之间</w:t>
            </w:r>
            <w:r>
              <w:rPr>
                <w:rFonts w:hint="eastAsia"/>
                <w:color w:val="auto"/>
                <w:lang w:val="en-US" w:eastAsia="zh-CN"/>
              </w:rPr>
              <w:t>，</w:t>
            </w:r>
            <w:r>
              <w:rPr>
                <w:rFonts w:hint="default"/>
                <w:color w:val="auto"/>
                <w:lang w:val="en-US" w:eastAsia="zh-CN"/>
              </w:rPr>
              <w:t>其中主要噪声源及设备</w:t>
            </w:r>
            <w:r>
              <w:rPr>
                <w:rFonts w:hint="eastAsia"/>
                <w:color w:val="auto"/>
                <w:lang w:val="en-US" w:eastAsia="zh-CN"/>
              </w:rPr>
              <w:t>详见</w:t>
            </w:r>
            <w:r>
              <w:rPr>
                <w:rFonts w:hint="default"/>
                <w:color w:val="auto"/>
                <w:lang w:val="en-US" w:eastAsia="zh-CN"/>
              </w:rPr>
              <w:t>下表。</w:t>
            </w:r>
          </w:p>
          <w:p w14:paraId="247B7ECF">
            <w:pPr>
              <w:pStyle w:val="23"/>
              <w:rPr>
                <w:u w:val="single" w:color="auto"/>
              </w:rPr>
            </w:pPr>
            <w:r>
              <w:t>表4-</w:t>
            </w:r>
            <w:r>
              <w:rPr>
                <w:rFonts w:hint="eastAsia"/>
                <w:lang w:val="en-US" w:eastAsia="zh-CN"/>
              </w:rPr>
              <w:t>7</w:t>
            </w:r>
            <w:r>
              <w:rPr>
                <w:rFonts w:hint="eastAsia"/>
              </w:rPr>
              <w:t xml:space="preserve">  </w:t>
            </w:r>
            <w:r>
              <w:rPr>
                <w:u w:val="single" w:color="auto"/>
              </w:rPr>
              <w:t>主要设备噪声源强（室外）</w:t>
            </w:r>
          </w:p>
          <w:tbl>
            <w:tblPr>
              <w:tblStyle w:val="16"/>
              <w:tblW w:w="7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2249"/>
              <w:gridCol w:w="1824"/>
              <w:gridCol w:w="1477"/>
              <w:gridCol w:w="1164"/>
            </w:tblGrid>
            <w:tr w14:paraId="67653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5" w:type="dxa"/>
                </w:tcPr>
                <w:p w14:paraId="19B34B9F">
                  <w:pPr>
                    <w:pStyle w:val="24"/>
                    <w:rPr>
                      <w:u w:val="single" w:color="auto"/>
                    </w:rPr>
                  </w:pPr>
                  <w:r>
                    <w:rPr>
                      <w:rFonts w:hint="eastAsia"/>
                      <w:u w:val="single" w:color="auto"/>
                    </w:rPr>
                    <w:t>声源名称</w:t>
                  </w:r>
                </w:p>
              </w:tc>
              <w:tc>
                <w:tcPr>
                  <w:tcW w:w="2249" w:type="dxa"/>
                </w:tcPr>
                <w:p w14:paraId="2043682C">
                  <w:pPr>
                    <w:pStyle w:val="24"/>
                    <w:rPr>
                      <w:u w:val="single" w:color="auto"/>
                    </w:rPr>
                  </w:pPr>
                  <w:r>
                    <w:rPr>
                      <w:u w:val="single" w:color="auto"/>
                    </w:rPr>
                    <w:t>空间相对位X/Y/Z（m）</w:t>
                  </w:r>
                </w:p>
              </w:tc>
              <w:tc>
                <w:tcPr>
                  <w:tcW w:w="1824" w:type="dxa"/>
                </w:tcPr>
                <w:p w14:paraId="63D95303">
                  <w:pPr>
                    <w:pStyle w:val="24"/>
                    <w:rPr>
                      <w:u w:val="single" w:color="auto"/>
                    </w:rPr>
                  </w:pPr>
                  <w:r>
                    <w:rPr>
                      <w:u w:val="single" w:color="auto"/>
                    </w:rPr>
                    <w:t>声功率级（dB(A)）</w:t>
                  </w:r>
                </w:p>
              </w:tc>
              <w:tc>
                <w:tcPr>
                  <w:tcW w:w="1477" w:type="dxa"/>
                </w:tcPr>
                <w:p w14:paraId="12ED749E">
                  <w:pPr>
                    <w:pStyle w:val="24"/>
                    <w:rPr>
                      <w:u w:val="single" w:color="auto"/>
                    </w:rPr>
                  </w:pPr>
                  <w:r>
                    <w:rPr>
                      <w:u w:val="single" w:color="auto"/>
                    </w:rPr>
                    <w:t>声源控制措施</w:t>
                  </w:r>
                </w:p>
              </w:tc>
              <w:tc>
                <w:tcPr>
                  <w:tcW w:w="1164" w:type="dxa"/>
                </w:tcPr>
                <w:p w14:paraId="421D428B">
                  <w:pPr>
                    <w:pStyle w:val="24"/>
                    <w:rPr>
                      <w:u w:val="single" w:color="auto"/>
                    </w:rPr>
                  </w:pPr>
                  <w:r>
                    <w:rPr>
                      <w:u w:val="single" w:color="auto"/>
                    </w:rPr>
                    <w:t>运行时段</w:t>
                  </w:r>
                </w:p>
              </w:tc>
            </w:tr>
            <w:tr w14:paraId="3E13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5" w:type="dxa"/>
                  <w:vAlign w:val="center"/>
                </w:tcPr>
                <w:p w14:paraId="4ECE1614">
                  <w:pPr>
                    <w:pStyle w:val="24"/>
                    <w:jc w:val="center"/>
                    <w:rPr>
                      <w:rFonts w:hint="default" w:eastAsia="宋体"/>
                      <w:u w:val="single" w:color="auto"/>
                      <w:lang w:val="en-US" w:eastAsia="zh-CN"/>
                    </w:rPr>
                  </w:pPr>
                  <w:r>
                    <w:rPr>
                      <w:rFonts w:hint="eastAsia"/>
                      <w:u w:val="single" w:color="auto"/>
                      <w:lang w:val="en-US" w:eastAsia="zh-CN"/>
                    </w:rPr>
                    <w:t>冷却机外机1</w:t>
                  </w:r>
                </w:p>
              </w:tc>
              <w:tc>
                <w:tcPr>
                  <w:tcW w:w="2249" w:type="dxa"/>
                  <w:vAlign w:val="center"/>
                </w:tcPr>
                <w:p w14:paraId="43B8D298">
                  <w:pPr>
                    <w:pStyle w:val="24"/>
                    <w:jc w:val="center"/>
                    <w:rPr>
                      <w:u w:val="single" w:color="auto"/>
                    </w:rPr>
                  </w:pPr>
                  <w:r>
                    <w:rPr>
                      <w:rFonts w:hint="eastAsia"/>
                      <w:u w:val="single" w:color="auto"/>
                      <w:lang w:val="en-US" w:eastAsia="zh-CN"/>
                    </w:rPr>
                    <w:t>40</w:t>
                  </w:r>
                  <w:r>
                    <w:rPr>
                      <w:rFonts w:hint="eastAsia"/>
                      <w:u w:val="single" w:color="auto"/>
                    </w:rPr>
                    <w:t>/</w:t>
                  </w:r>
                  <w:r>
                    <w:rPr>
                      <w:rFonts w:hint="eastAsia"/>
                      <w:u w:val="single" w:color="auto"/>
                      <w:lang w:val="en-US" w:eastAsia="zh-CN"/>
                    </w:rPr>
                    <w:t>50</w:t>
                  </w:r>
                  <w:r>
                    <w:rPr>
                      <w:rFonts w:hint="eastAsia"/>
                      <w:u w:val="single" w:color="auto"/>
                    </w:rPr>
                    <w:t>/0.2</w:t>
                  </w:r>
                </w:p>
              </w:tc>
              <w:tc>
                <w:tcPr>
                  <w:tcW w:w="1824" w:type="dxa"/>
                  <w:vAlign w:val="center"/>
                </w:tcPr>
                <w:p w14:paraId="2A2FD8E4">
                  <w:pPr>
                    <w:pStyle w:val="24"/>
                    <w:jc w:val="center"/>
                    <w:rPr>
                      <w:u w:val="single" w:color="auto"/>
                    </w:rPr>
                  </w:pPr>
                  <w:r>
                    <w:rPr>
                      <w:rFonts w:hint="eastAsia"/>
                      <w:u w:val="single" w:color="auto"/>
                    </w:rPr>
                    <w:t>80</w:t>
                  </w:r>
                </w:p>
              </w:tc>
              <w:tc>
                <w:tcPr>
                  <w:tcW w:w="1477" w:type="dxa"/>
                  <w:vAlign w:val="center"/>
                </w:tcPr>
                <w:p w14:paraId="11F02E5B">
                  <w:pPr>
                    <w:pStyle w:val="24"/>
                    <w:jc w:val="center"/>
                    <w:rPr>
                      <w:u w:val="single" w:color="auto"/>
                    </w:rPr>
                  </w:pPr>
                  <w:r>
                    <w:rPr>
                      <w:u w:val="single" w:color="auto"/>
                    </w:rPr>
                    <w:t>基础减振</w:t>
                  </w:r>
                </w:p>
              </w:tc>
              <w:tc>
                <w:tcPr>
                  <w:tcW w:w="1164" w:type="dxa"/>
                  <w:vAlign w:val="center"/>
                </w:tcPr>
                <w:p w14:paraId="62AF175F">
                  <w:pPr>
                    <w:pStyle w:val="24"/>
                    <w:jc w:val="center"/>
                    <w:rPr>
                      <w:u w:val="single" w:color="auto"/>
                    </w:rPr>
                  </w:pPr>
                  <w:r>
                    <w:rPr>
                      <w:rFonts w:hint="eastAsia"/>
                      <w:u w:val="single" w:color="auto"/>
                    </w:rPr>
                    <w:t>昼间</w:t>
                  </w:r>
                </w:p>
              </w:tc>
            </w:tr>
            <w:tr w14:paraId="1ABD9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5" w:type="dxa"/>
                  <w:vAlign w:val="center"/>
                </w:tcPr>
                <w:p w14:paraId="3AA1041C">
                  <w:pPr>
                    <w:pStyle w:val="24"/>
                    <w:ind w:firstLine="0" w:firstLineChars="0"/>
                    <w:jc w:val="center"/>
                    <w:rPr>
                      <w:rFonts w:hint="default"/>
                      <w:u w:val="single" w:color="auto"/>
                      <w:lang w:val="en-US"/>
                    </w:rPr>
                  </w:pPr>
                  <w:r>
                    <w:rPr>
                      <w:rFonts w:hint="eastAsia"/>
                      <w:u w:val="single" w:color="auto"/>
                      <w:lang w:val="en-US" w:eastAsia="zh-CN"/>
                    </w:rPr>
                    <w:t>冷却机外机2</w:t>
                  </w:r>
                </w:p>
              </w:tc>
              <w:tc>
                <w:tcPr>
                  <w:tcW w:w="2249" w:type="dxa"/>
                  <w:vAlign w:val="center"/>
                </w:tcPr>
                <w:p w14:paraId="1EB7F93D">
                  <w:pPr>
                    <w:pStyle w:val="24"/>
                    <w:ind w:firstLine="0" w:firstLineChars="0"/>
                    <w:jc w:val="center"/>
                    <w:rPr>
                      <w:rFonts w:hint="eastAsia"/>
                      <w:u w:val="single" w:color="auto"/>
                      <w:lang w:val="en-US" w:eastAsia="zh-CN"/>
                    </w:rPr>
                  </w:pPr>
                  <w:r>
                    <w:rPr>
                      <w:rFonts w:hint="eastAsia"/>
                      <w:u w:val="single" w:color="auto"/>
                      <w:lang w:val="en-US" w:eastAsia="zh-CN"/>
                    </w:rPr>
                    <w:t>40</w:t>
                  </w:r>
                  <w:r>
                    <w:rPr>
                      <w:rFonts w:hint="eastAsia"/>
                      <w:u w:val="single" w:color="auto"/>
                    </w:rPr>
                    <w:t>/</w:t>
                  </w:r>
                  <w:r>
                    <w:rPr>
                      <w:rFonts w:hint="eastAsia"/>
                      <w:u w:val="single" w:color="auto"/>
                      <w:lang w:val="en-US" w:eastAsia="zh-CN"/>
                    </w:rPr>
                    <w:t>55</w:t>
                  </w:r>
                  <w:r>
                    <w:rPr>
                      <w:rFonts w:hint="eastAsia"/>
                      <w:u w:val="single" w:color="auto"/>
                    </w:rPr>
                    <w:t>/0.2</w:t>
                  </w:r>
                </w:p>
              </w:tc>
              <w:tc>
                <w:tcPr>
                  <w:tcW w:w="1824" w:type="dxa"/>
                  <w:vAlign w:val="center"/>
                </w:tcPr>
                <w:p w14:paraId="62A39E2D">
                  <w:pPr>
                    <w:pStyle w:val="24"/>
                    <w:ind w:firstLine="0" w:firstLineChars="0"/>
                    <w:jc w:val="center"/>
                    <w:rPr>
                      <w:rFonts w:hint="eastAsia"/>
                      <w:u w:val="single" w:color="auto"/>
                    </w:rPr>
                  </w:pPr>
                  <w:r>
                    <w:rPr>
                      <w:rFonts w:hint="eastAsia"/>
                      <w:u w:val="single" w:color="auto"/>
                    </w:rPr>
                    <w:t>80</w:t>
                  </w:r>
                </w:p>
              </w:tc>
              <w:tc>
                <w:tcPr>
                  <w:tcW w:w="1477" w:type="dxa"/>
                  <w:vAlign w:val="center"/>
                </w:tcPr>
                <w:p w14:paraId="5B63E4B3">
                  <w:pPr>
                    <w:pStyle w:val="24"/>
                    <w:ind w:firstLine="0" w:firstLineChars="0"/>
                    <w:jc w:val="center"/>
                    <w:rPr>
                      <w:u w:val="single" w:color="auto"/>
                    </w:rPr>
                  </w:pPr>
                  <w:r>
                    <w:rPr>
                      <w:u w:val="single" w:color="auto"/>
                    </w:rPr>
                    <w:t>基础减振</w:t>
                  </w:r>
                </w:p>
              </w:tc>
              <w:tc>
                <w:tcPr>
                  <w:tcW w:w="1164" w:type="dxa"/>
                  <w:vAlign w:val="center"/>
                </w:tcPr>
                <w:p w14:paraId="28F7FBE7">
                  <w:pPr>
                    <w:pStyle w:val="24"/>
                    <w:ind w:firstLine="0" w:firstLineChars="0"/>
                    <w:jc w:val="center"/>
                    <w:rPr>
                      <w:rFonts w:hint="eastAsia"/>
                      <w:u w:val="single" w:color="auto"/>
                    </w:rPr>
                  </w:pPr>
                  <w:r>
                    <w:rPr>
                      <w:rFonts w:hint="eastAsia"/>
                      <w:u w:val="single" w:color="auto"/>
                    </w:rPr>
                    <w:t>昼间</w:t>
                  </w:r>
                </w:p>
              </w:tc>
            </w:tr>
          </w:tbl>
          <w:p w14:paraId="7749502C">
            <w:pPr>
              <w:pStyle w:val="23"/>
              <w:jc w:val="center"/>
              <w:rPr>
                <w:color w:val="auto"/>
              </w:rPr>
            </w:pPr>
          </w:p>
          <w:p w14:paraId="5FED4882">
            <w:pPr>
              <w:pStyle w:val="23"/>
              <w:jc w:val="center"/>
              <w:rPr>
                <w:color w:val="auto"/>
              </w:rPr>
            </w:pPr>
          </w:p>
          <w:p w14:paraId="181CB5E5">
            <w:pPr>
              <w:pStyle w:val="23"/>
              <w:jc w:val="center"/>
              <w:rPr>
                <w:color w:val="auto"/>
              </w:rPr>
            </w:pPr>
          </w:p>
          <w:p w14:paraId="087DF0BD">
            <w:pPr>
              <w:pStyle w:val="23"/>
              <w:jc w:val="center"/>
              <w:rPr>
                <w:color w:val="auto"/>
              </w:rPr>
            </w:pPr>
          </w:p>
          <w:p w14:paraId="6C12111E">
            <w:pPr>
              <w:pStyle w:val="23"/>
              <w:jc w:val="center"/>
              <w:rPr>
                <w:rFonts w:hint="default"/>
                <w:color w:val="auto"/>
                <w:lang w:val="en-US" w:eastAsia="zh-CN"/>
              </w:rPr>
            </w:pPr>
            <w:r>
              <w:rPr>
                <w:color w:val="auto"/>
              </w:rPr>
              <w:t>表4-</w:t>
            </w:r>
            <w:r>
              <w:rPr>
                <w:rFonts w:hint="eastAsia"/>
                <w:color w:val="auto"/>
                <w:lang w:val="en-US" w:eastAsia="zh-CN"/>
              </w:rPr>
              <w:t>8</w:t>
            </w:r>
            <w:r>
              <w:rPr>
                <w:rFonts w:hint="eastAsia"/>
                <w:color w:val="4874CB" w:themeColor="accent1"/>
                <w14:textFill>
                  <w14:solidFill>
                    <w14:schemeClr w14:val="accent1"/>
                  </w14:solidFill>
                </w14:textFill>
              </w:rPr>
              <w:t xml:space="preserve"> </w:t>
            </w:r>
            <w:r>
              <w:rPr>
                <w:rFonts w:hint="eastAsia"/>
                <w:color w:val="auto"/>
              </w:rPr>
              <w:t xml:space="preserve"> </w:t>
            </w:r>
            <w:r>
              <w:rPr>
                <w:color w:val="auto"/>
              </w:rPr>
              <w:t>工业企业噪声源强调查清单</w:t>
            </w:r>
            <w:r>
              <w:rPr>
                <w:rFonts w:hint="eastAsia"/>
                <w:color w:val="auto"/>
              </w:rPr>
              <w:t>（室内）</w:t>
            </w:r>
          </w:p>
          <w:tbl>
            <w:tblPr>
              <w:tblStyle w:val="1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421"/>
              <w:gridCol w:w="657"/>
              <w:gridCol w:w="480"/>
              <w:gridCol w:w="630"/>
              <w:gridCol w:w="600"/>
              <w:gridCol w:w="503"/>
              <w:gridCol w:w="422"/>
              <w:gridCol w:w="725"/>
              <w:gridCol w:w="795"/>
              <w:gridCol w:w="453"/>
              <w:gridCol w:w="572"/>
              <w:gridCol w:w="774"/>
              <w:gridCol w:w="436"/>
            </w:tblGrid>
            <w:tr w14:paraId="44A36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6" w:type="pct"/>
                  <w:vMerge w:val="restart"/>
                  <w:vAlign w:val="center"/>
                </w:tcPr>
                <w:p w14:paraId="51F444DA">
                  <w:pPr>
                    <w:pStyle w:val="24"/>
                    <w:bidi w:val="0"/>
                    <w:jc w:val="center"/>
                    <w:rPr>
                      <w:rFonts w:hint="default"/>
                      <w:color w:val="auto"/>
                      <w:lang w:val="en-US" w:eastAsia="zh-CN"/>
                    </w:rPr>
                  </w:pPr>
                  <w:r>
                    <w:rPr>
                      <w:rFonts w:hint="eastAsia"/>
                      <w:color w:val="auto"/>
                      <w:lang w:val="en-US" w:eastAsia="zh-CN"/>
                    </w:rPr>
                    <w:t>位置</w:t>
                  </w:r>
                </w:p>
              </w:tc>
              <w:tc>
                <w:tcPr>
                  <w:tcW w:w="266" w:type="pct"/>
                  <w:vMerge w:val="restart"/>
                  <w:vAlign w:val="center"/>
                </w:tcPr>
                <w:p w14:paraId="77F7340E">
                  <w:pPr>
                    <w:pStyle w:val="24"/>
                    <w:bidi w:val="0"/>
                    <w:jc w:val="center"/>
                    <w:rPr>
                      <w:rFonts w:hint="default"/>
                      <w:color w:val="auto"/>
                      <w:lang w:val="en-US" w:eastAsia="zh-CN"/>
                    </w:rPr>
                  </w:pPr>
                  <w:r>
                    <w:rPr>
                      <w:rFonts w:hint="eastAsia"/>
                      <w:color w:val="auto"/>
                      <w:lang w:val="en-US" w:eastAsia="zh-CN"/>
                    </w:rPr>
                    <w:t>设备</w:t>
                  </w:r>
                </w:p>
              </w:tc>
              <w:tc>
                <w:tcPr>
                  <w:tcW w:w="416" w:type="pct"/>
                  <w:vMerge w:val="restart"/>
                  <w:vAlign w:val="center"/>
                </w:tcPr>
                <w:p w14:paraId="6AD7AA50">
                  <w:pPr>
                    <w:pStyle w:val="24"/>
                    <w:bidi w:val="0"/>
                    <w:jc w:val="center"/>
                    <w:rPr>
                      <w:rFonts w:hint="default"/>
                      <w:color w:val="auto"/>
                      <w:lang w:val="en-US" w:eastAsia="zh-CN"/>
                    </w:rPr>
                  </w:pPr>
                  <w:r>
                    <w:rPr>
                      <w:rFonts w:hint="default"/>
                      <w:color w:val="auto"/>
                      <w:lang w:val="en-US" w:eastAsia="zh-CN"/>
                    </w:rPr>
                    <w:t>噪声声级/dB（A）</w:t>
                  </w:r>
                </w:p>
              </w:tc>
              <w:tc>
                <w:tcPr>
                  <w:tcW w:w="304" w:type="pct"/>
                  <w:vMerge w:val="restart"/>
                  <w:vAlign w:val="center"/>
                </w:tcPr>
                <w:p w14:paraId="093291BB">
                  <w:pPr>
                    <w:pStyle w:val="24"/>
                    <w:bidi w:val="0"/>
                    <w:jc w:val="center"/>
                    <w:rPr>
                      <w:rFonts w:hint="default"/>
                      <w:color w:val="auto"/>
                      <w:lang w:val="en-US" w:eastAsia="zh-CN"/>
                    </w:rPr>
                  </w:pPr>
                  <w:r>
                    <w:rPr>
                      <w:rFonts w:hint="default"/>
                      <w:color w:val="auto"/>
                      <w:lang w:val="en-US" w:eastAsia="zh-CN"/>
                    </w:rPr>
                    <w:t>声源控制措施</w:t>
                  </w:r>
                </w:p>
              </w:tc>
              <w:tc>
                <w:tcPr>
                  <w:tcW w:w="1098" w:type="pct"/>
                  <w:gridSpan w:val="3"/>
                  <w:vAlign w:val="center"/>
                </w:tcPr>
                <w:p w14:paraId="5EEB4C02">
                  <w:pPr>
                    <w:pStyle w:val="24"/>
                    <w:bidi w:val="0"/>
                    <w:jc w:val="center"/>
                    <w:rPr>
                      <w:rFonts w:hint="default"/>
                      <w:color w:val="auto"/>
                      <w:lang w:val="en-US" w:eastAsia="zh-CN"/>
                    </w:rPr>
                  </w:pPr>
                  <w:r>
                    <w:rPr>
                      <w:rFonts w:hint="default"/>
                      <w:color w:val="auto"/>
                      <w:lang w:val="en-US" w:eastAsia="zh-CN"/>
                    </w:rPr>
                    <w:t>空间相对位置/m</w:t>
                  </w:r>
                </w:p>
              </w:tc>
              <w:tc>
                <w:tcPr>
                  <w:tcW w:w="726" w:type="pct"/>
                  <w:gridSpan w:val="2"/>
                  <w:vMerge w:val="restart"/>
                  <w:vAlign w:val="center"/>
                </w:tcPr>
                <w:p w14:paraId="3E1BC9AF">
                  <w:pPr>
                    <w:pStyle w:val="24"/>
                    <w:bidi w:val="0"/>
                    <w:jc w:val="center"/>
                    <w:rPr>
                      <w:rFonts w:hint="default"/>
                      <w:color w:val="auto"/>
                      <w:lang w:val="en-US" w:eastAsia="zh-CN"/>
                    </w:rPr>
                  </w:pPr>
                  <w:r>
                    <w:rPr>
                      <w:rFonts w:hint="default"/>
                      <w:color w:val="auto"/>
                      <w:lang w:val="en-US" w:eastAsia="zh-CN"/>
                    </w:rPr>
                    <w:t>距室内边界距离/m</w:t>
                  </w:r>
                </w:p>
              </w:tc>
              <w:tc>
                <w:tcPr>
                  <w:tcW w:w="503" w:type="pct"/>
                  <w:vMerge w:val="restart"/>
                  <w:vAlign w:val="center"/>
                </w:tcPr>
                <w:p w14:paraId="62F62D13">
                  <w:pPr>
                    <w:pStyle w:val="24"/>
                    <w:bidi w:val="0"/>
                    <w:jc w:val="center"/>
                    <w:rPr>
                      <w:rFonts w:hint="default"/>
                      <w:color w:val="auto"/>
                      <w:lang w:val="en-US" w:eastAsia="zh-CN"/>
                    </w:rPr>
                  </w:pPr>
                  <w:r>
                    <w:rPr>
                      <w:rFonts w:hint="default"/>
                      <w:color w:val="auto"/>
                      <w:lang w:val="en-US" w:eastAsia="zh-CN"/>
                    </w:rPr>
                    <w:t>室内边界噪声/dB（A）</w:t>
                  </w:r>
                </w:p>
              </w:tc>
              <w:tc>
                <w:tcPr>
                  <w:tcW w:w="287" w:type="pct"/>
                  <w:vMerge w:val="restart"/>
                  <w:vAlign w:val="center"/>
                </w:tcPr>
                <w:p w14:paraId="624DB71D">
                  <w:pPr>
                    <w:pStyle w:val="24"/>
                    <w:bidi w:val="0"/>
                    <w:jc w:val="center"/>
                    <w:rPr>
                      <w:rFonts w:hint="default"/>
                      <w:color w:val="auto"/>
                      <w:lang w:val="en-US" w:eastAsia="zh-CN"/>
                    </w:rPr>
                  </w:pPr>
                  <w:r>
                    <w:rPr>
                      <w:rFonts w:hint="default"/>
                      <w:color w:val="auto"/>
                      <w:lang w:val="en-US" w:eastAsia="zh-CN"/>
                    </w:rPr>
                    <w:t>运行时段</w:t>
                  </w:r>
                </w:p>
              </w:tc>
              <w:tc>
                <w:tcPr>
                  <w:tcW w:w="362" w:type="pct"/>
                  <w:vMerge w:val="restart"/>
                  <w:vAlign w:val="center"/>
                </w:tcPr>
                <w:p w14:paraId="16427D38">
                  <w:pPr>
                    <w:pStyle w:val="24"/>
                    <w:bidi w:val="0"/>
                    <w:jc w:val="center"/>
                    <w:rPr>
                      <w:rFonts w:hint="default"/>
                      <w:color w:val="auto"/>
                      <w:lang w:val="en-US" w:eastAsia="zh-CN"/>
                    </w:rPr>
                  </w:pPr>
                  <w:r>
                    <w:rPr>
                      <w:rFonts w:hint="default"/>
                      <w:color w:val="auto"/>
                      <w:lang w:val="en-US" w:eastAsia="zh-CN"/>
                    </w:rPr>
                    <w:t>建筑物插入损失/dB（A）</w:t>
                  </w:r>
                </w:p>
              </w:tc>
              <w:tc>
                <w:tcPr>
                  <w:tcW w:w="766" w:type="pct"/>
                  <w:gridSpan w:val="2"/>
                  <w:vAlign w:val="center"/>
                </w:tcPr>
                <w:p w14:paraId="11F78778">
                  <w:pPr>
                    <w:pStyle w:val="24"/>
                    <w:bidi w:val="0"/>
                    <w:jc w:val="center"/>
                    <w:rPr>
                      <w:rFonts w:hint="default"/>
                      <w:color w:val="auto"/>
                      <w:lang w:val="en-US" w:eastAsia="zh-CN"/>
                    </w:rPr>
                  </w:pPr>
                  <w:r>
                    <w:rPr>
                      <w:rFonts w:hint="default"/>
                      <w:color w:val="auto"/>
                      <w:lang w:val="en-US" w:eastAsia="zh-CN"/>
                    </w:rPr>
                    <w:t>建筑物外噪声</w:t>
                  </w:r>
                </w:p>
              </w:tc>
            </w:tr>
            <w:tr w14:paraId="6BAB3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2118F2FE">
                  <w:pPr>
                    <w:pStyle w:val="24"/>
                    <w:bidi w:val="0"/>
                    <w:jc w:val="center"/>
                    <w:rPr>
                      <w:rFonts w:hint="default"/>
                      <w:color w:val="auto"/>
                      <w:lang w:val="en-US" w:eastAsia="zh-CN"/>
                    </w:rPr>
                  </w:pPr>
                </w:p>
              </w:tc>
              <w:tc>
                <w:tcPr>
                  <w:tcW w:w="266" w:type="pct"/>
                  <w:vMerge w:val="continue"/>
                  <w:vAlign w:val="center"/>
                </w:tcPr>
                <w:p w14:paraId="5A3B4F14">
                  <w:pPr>
                    <w:pStyle w:val="24"/>
                    <w:bidi w:val="0"/>
                    <w:jc w:val="center"/>
                    <w:rPr>
                      <w:rFonts w:hint="default"/>
                      <w:color w:val="auto"/>
                      <w:lang w:val="en-US" w:eastAsia="zh-CN"/>
                    </w:rPr>
                  </w:pPr>
                </w:p>
              </w:tc>
              <w:tc>
                <w:tcPr>
                  <w:tcW w:w="416" w:type="pct"/>
                  <w:vMerge w:val="continue"/>
                  <w:vAlign w:val="center"/>
                </w:tcPr>
                <w:p w14:paraId="02BE113B">
                  <w:pPr>
                    <w:pStyle w:val="24"/>
                    <w:bidi w:val="0"/>
                    <w:jc w:val="center"/>
                    <w:rPr>
                      <w:rFonts w:hint="default"/>
                      <w:color w:val="auto"/>
                      <w:lang w:val="en-US" w:eastAsia="zh-CN"/>
                    </w:rPr>
                  </w:pPr>
                </w:p>
              </w:tc>
              <w:tc>
                <w:tcPr>
                  <w:tcW w:w="304" w:type="pct"/>
                  <w:vMerge w:val="continue"/>
                  <w:vAlign w:val="center"/>
                </w:tcPr>
                <w:p w14:paraId="07F7F5E8">
                  <w:pPr>
                    <w:pStyle w:val="24"/>
                    <w:bidi w:val="0"/>
                    <w:jc w:val="center"/>
                    <w:rPr>
                      <w:rFonts w:hint="default"/>
                      <w:color w:val="auto"/>
                      <w:lang w:val="en-US" w:eastAsia="zh-CN"/>
                    </w:rPr>
                  </w:pPr>
                </w:p>
              </w:tc>
              <w:tc>
                <w:tcPr>
                  <w:tcW w:w="399" w:type="pct"/>
                  <w:vAlign w:val="center"/>
                </w:tcPr>
                <w:p w14:paraId="72FFDDE0">
                  <w:pPr>
                    <w:pStyle w:val="24"/>
                    <w:bidi w:val="0"/>
                    <w:jc w:val="center"/>
                    <w:rPr>
                      <w:rFonts w:hint="default"/>
                      <w:color w:val="auto"/>
                      <w:lang w:val="en-US" w:eastAsia="zh-CN"/>
                    </w:rPr>
                  </w:pPr>
                  <w:r>
                    <w:rPr>
                      <w:rFonts w:hint="eastAsia"/>
                      <w:color w:val="auto"/>
                      <w:lang w:val="en-US" w:eastAsia="zh-CN"/>
                    </w:rPr>
                    <w:t>X</w:t>
                  </w:r>
                </w:p>
              </w:tc>
              <w:tc>
                <w:tcPr>
                  <w:tcW w:w="380" w:type="pct"/>
                  <w:vAlign w:val="center"/>
                </w:tcPr>
                <w:p w14:paraId="059BF86B">
                  <w:pPr>
                    <w:pStyle w:val="24"/>
                    <w:bidi w:val="0"/>
                    <w:jc w:val="center"/>
                    <w:rPr>
                      <w:rFonts w:hint="default"/>
                      <w:color w:val="auto"/>
                      <w:lang w:val="en-US" w:eastAsia="zh-CN"/>
                    </w:rPr>
                  </w:pPr>
                  <w:r>
                    <w:rPr>
                      <w:rFonts w:hint="default"/>
                      <w:color w:val="auto"/>
                      <w:lang w:val="en-US" w:eastAsia="zh-CN"/>
                    </w:rPr>
                    <w:t>Y</w:t>
                  </w:r>
                </w:p>
              </w:tc>
              <w:tc>
                <w:tcPr>
                  <w:tcW w:w="318" w:type="pct"/>
                  <w:vAlign w:val="center"/>
                </w:tcPr>
                <w:p w14:paraId="46A17966">
                  <w:pPr>
                    <w:pStyle w:val="24"/>
                    <w:bidi w:val="0"/>
                    <w:jc w:val="center"/>
                    <w:rPr>
                      <w:rFonts w:hint="default"/>
                      <w:color w:val="auto"/>
                      <w:lang w:val="en-US" w:eastAsia="zh-CN"/>
                    </w:rPr>
                  </w:pPr>
                  <w:r>
                    <w:rPr>
                      <w:rFonts w:hint="default"/>
                      <w:color w:val="auto"/>
                      <w:lang w:val="en-US" w:eastAsia="zh-CN"/>
                    </w:rPr>
                    <w:t>Z</w:t>
                  </w:r>
                </w:p>
              </w:tc>
              <w:tc>
                <w:tcPr>
                  <w:tcW w:w="726" w:type="pct"/>
                  <w:gridSpan w:val="2"/>
                  <w:vMerge w:val="continue"/>
                  <w:vAlign w:val="center"/>
                </w:tcPr>
                <w:p w14:paraId="6C797309">
                  <w:pPr>
                    <w:pStyle w:val="24"/>
                    <w:bidi w:val="0"/>
                    <w:jc w:val="center"/>
                    <w:rPr>
                      <w:rFonts w:hint="default"/>
                      <w:color w:val="auto"/>
                      <w:lang w:val="en-US" w:eastAsia="zh-CN"/>
                    </w:rPr>
                  </w:pPr>
                </w:p>
              </w:tc>
              <w:tc>
                <w:tcPr>
                  <w:tcW w:w="503" w:type="pct"/>
                  <w:vMerge w:val="continue"/>
                  <w:vAlign w:val="center"/>
                </w:tcPr>
                <w:p w14:paraId="4A06F373">
                  <w:pPr>
                    <w:pStyle w:val="24"/>
                    <w:bidi w:val="0"/>
                    <w:jc w:val="center"/>
                    <w:rPr>
                      <w:rFonts w:hint="default"/>
                      <w:color w:val="auto"/>
                      <w:lang w:val="en-US" w:eastAsia="zh-CN"/>
                    </w:rPr>
                  </w:pPr>
                </w:p>
              </w:tc>
              <w:tc>
                <w:tcPr>
                  <w:tcW w:w="287" w:type="pct"/>
                  <w:vMerge w:val="continue"/>
                  <w:vAlign w:val="center"/>
                </w:tcPr>
                <w:p w14:paraId="613F46B3">
                  <w:pPr>
                    <w:pStyle w:val="24"/>
                    <w:bidi w:val="0"/>
                    <w:jc w:val="center"/>
                    <w:rPr>
                      <w:rFonts w:hint="default"/>
                      <w:color w:val="auto"/>
                      <w:lang w:val="en-US" w:eastAsia="zh-CN"/>
                    </w:rPr>
                  </w:pPr>
                </w:p>
              </w:tc>
              <w:tc>
                <w:tcPr>
                  <w:tcW w:w="362" w:type="pct"/>
                  <w:vMerge w:val="continue"/>
                  <w:vAlign w:val="center"/>
                </w:tcPr>
                <w:p w14:paraId="3CF64924">
                  <w:pPr>
                    <w:pStyle w:val="24"/>
                    <w:bidi w:val="0"/>
                    <w:jc w:val="center"/>
                    <w:rPr>
                      <w:rFonts w:hint="default"/>
                      <w:color w:val="auto"/>
                      <w:lang w:val="en-US" w:eastAsia="zh-CN"/>
                    </w:rPr>
                  </w:pPr>
                </w:p>
              </w:tc>
              <w:tc>
                <w:tcPr>
                  <w:tcW w:w="490" w:type="pct"/>
                  <w:vAlign w:val="center"/>
                </w:tcPr>
                <w:p w14:paraId="6220869C">
                  <w:pPr>
                    <w:pStyle w:val="24"/>
                    <w:bidi w:val="0"/>
                    <w:jc w:val="center"/>
                    <w:rPr>
                      <w:rFonts w:hint="default"/>
                      <w:color w:val="auto"/>
                      <w:lang w:val="en-US" w:eastAsia="zh-CN"/>
                    </w:rPr>
                  </w:pPr>
                  <w:r>
                    <w:rPr>
                      <w:rFonts w:hint="default"/>
                      <w:color w:val="auto"/>
                      <w:lang w:val="en-US" w:eastAsia="zh-CN"/>
                    </w:rPr>
                    <w:t>建筑物外噪声/dB（A）</w:t>
                  </w:r>
                </w:p>
              </w:tc>
              <w:tc>
                <w:tcPr>
                  <w:tcW w:w="276" w:type="pct"/>
                  <w:vAlign w:val="center"/>
                </w:tcPr>
                <w:p w14:paraId="57736E32">
                  <w:pPr>
                    <w:pStyle w:val="24"/>
                    <w:bidi w:val="0"/>
                    <w:jc w:val="center"/>
                    <w:rPr>
                      <w:rFonts w:hint="default"/>
                      <w:color w:val="auto"/>
                      <w:lang w:val="en-US" w:eastAsia="zh-CN"/>
                    </w:rPr>
                  </w:pPr>
                  <w:r>
                    <w:rPr>
                      <w:rFonts w:hint="default"/>
                      <w:color w:val="auto"/>
                      <w:lang w:val="en-US" w:eastAsia="zh-CN"/>
                    </w:rPr>
                    <w:t>建筑物外距离/m</w:t>
                  </w:r>
                </w:p>
              </w:tc>
            </w:tr>
            <w:tr w14:paraId="72380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6" w:type="pct"/>
                  <w:vMerge w:val="restart"/>
                  <w:vAlign w:val="center"/>
                </w:tcPr>
                <w:p w14:paraId="59F24223">
                  <w:pPr>
                    <w:pStyle w:val="24"/>
                    <w:bidi w:val="0"/>
                    <w:jc w:val="center"/>
                    <w:rPr>
                      <w:rFonts w:hint="default"/>
                      <w:color w:val="auto"/>
                      <w:lang w:val="en-US" w:eastAsia="zh-CN"/>
                    </w:rPr>
                  </w:pPr>
                  <w:r>
                    <w:rPr>
                      <w:rFonts w:hint="eastAsia"/>
                      <w:color w:val="auto"/>
                      <w:lang w:val="en-US" w:eastAsia="zh-CN"/>
                    </w:rPr>
                    <w:t>生产车间</w:t>
                  </w:r>
                </w:p>
              </w:tc>
              <w:tc>
                <w:tcPr>
                  <w:tcW w:w="266" w:type="pct"/>
                  <w:vMerge w:val="restart"/>
                  <w:vAlign w:val="center"/>
                </w:tcPr>
                <w:p w14:paraId="708E9461">
                  <w:pPr>
                    <w:pStyle w:val="24"/>
                    <w:bidi w:val="0"/>
                    <w:ind w:firstLine="0" w:firstLineChars="0"/>
                    <w:jc w:val="center"/>
                    <w:rPr>
                      <w:rFonts w:hint="default"/>
                      <w:color w:val="auto"/>
                      <w:lang w:val="en-US" w:eastAsia="zh-CN"/>
                    </w:rPr>
                  </w:pPr>
                  <w:r>
                    <w:rPr>
                      <w:rFonts w:hint="eastAsia"/>
                      <w:color w:val="auto"/>
                      <w:lang w:val="en-US" w:eastAsia="zh-CN"/>
                    </w:rPr>
                    <w:t>搅拌机</w:t>
                  </w:r>
                </w:p>
              </w:tc>
              <w:tc>
                <w:tcPr>
                  <w:tcW w:w="416" w:type="pct"/>
                  <w:vMerge w:val="restart"/>
                  <w:vAlign w:val="center"/>
                </w:tcPr>
                <w:p w14:paraId="7BFC6312">
                  <w:pPr>
                    <w:pStyle w:val="24"/>
                    <w:bidi w:val="0"/>
                    <w:jc w:val="center"/>
                    <w:rPr>
                      <w:rFonts w:hint="default"/>
                      <w:color w:val="auto"/>
                      <w:lang w:val="en-US" w:eastAsia="zh-CN"/>
                    </w:rPr>
                  </w:pPr>
                  <w:r>
                    <w:rPr>
                      <w:rFonts w:hint="eastAsia"/>
                      <w:color w:val="auto"/>
                      <w:lang w:val="en-US" w:eastAsia="zh-CN"/>
                    </w:rPr>
                    <w:t>90</w:t>
                  </w:r>
                </w:p>
              </w:tc>
              <w:tc>
                <w:tcPr>
                  <w:tcW w:w="304" w:type="pct"/>
                  <w:vMerge w:val="restart"/>
                  <w:vAlign w:val="center"/>
                </w:tcPr>
                <w:p w14:paraId="1A2E97B8">
                  <w:pPr>
                    <w:pStyle w:val="24"/>
                    <w:bidi w:val="0"/>
                    <w:jc w:val="center"/>
                    <w:rPr>
                      <w:rFonts w:hint="default"/>
                      <w:color w:val="auto"/>
                      <w:lang w:val="en-US" w:eastAsia="zh-CN"/>
                    </w:rPr>
                  </w:pPr>
                  <w:r>
                    <w:rPr>
                      <w:rFonts w:hint="eastAsia"/>
                      <w:color w:val="auto"/>
                      <w:lang w:val="en-US" w:eastAsia="zh-CN"/>
                    </w:rPr>
                    <w:t>加强管理，基础减振、隔声</w:t>
                  </w:r>
                </w:p>
              </w:tc>
              <w:tc>
                <w:tcPr>
                  <w:tcW w:w="399" w:type="pct"/>
                  <w:vMerge w:val="restart"/>
                  <w:vAlign w:val="center"/>
                </w:tcPr>
                <w:p w14:paraId="52F916CB">
                  <w:pPr>
                    <w:pStyle w:val="24"/>
                    <w:bidi w:val="0"/>
                    <w:jc w:val="center"/>
                    <w:rPr>
                      <w:rFonts w:hint="default"/>
                      <w:color w:val="auto"/>
                      <w:lang w:val="en-US" w:eastAsia="zh-CN"/>
                    </w:rPr>
                  </w:pPr>
                  <w:r>
                    <w:rPr>
                      <w:rFonts w:hint="eastAsia"/>
                      <w:color w:val="auto"/>
                      <w:lang w:val="en-US" w:eastAsia="zh-CN"/>
                    </w:rPr>
                    <w:t>19.8</w:t>
                  </w:r>
                </w:p>
              </w:tc>
              <w:tc>
                <w:tcPr>
                  <w:tcW w:w="380" w:type="pct"/>
                  <w:vMerge w:val="restart"/>
                  <w:vAlign w:val="center"/>
                </w:tcPr>
                <w:p w14:paraId="69878F8C">
                  <w:pPr>
                    <w:pStyle w:val="24"/>
                    <w:bidi w:val="0"/>
                    <w:jc w:val="center"/>
                    <w:rPr>
                      <w:rFonts w:hint="default"/>
                      <w:color w:val="auto"/>
                      <w:lang w:val="en-US" w:eastAsia="zh-CN"/>
                    </w:rPr>
                  </w:pPr>
                  <w:r>
                    <w:rPr>
                      <w:rFonts w:hint="eastAsia"/>
                      <w:color w:val="auto"/>
                      <w:lang w:val="en-US" w:eastAsia="zh-CN"/>
                    </w:rPr>
                    <w:t>35</w:t>
                  </w:r>
                </w:p>
              </w:tc>
              <w:tc>
                <w:tcPr>
                  <w:tcW w:w="318" w:type="pct"/>
                  <w:vMerge w:val="restart"/>
                  <w:vAlign w:val="center"/>
                </w:tcPr>
                <w:p w14:paraId="37A06826">
                  <w:pPr>
                    <w:pStyle w:val="24"/>
                    <w:bidi w:val="0"/>
                    <w:jc w:val="center"/>
                    <w:rPr>
                      <w:rFonts w:hint="default"/>
                      <w:color w:val="auto"/>
                      <w:lang w:val="en-US" w:eastAsia="zh-CN"/>
                    </w:rPr>
                  </w:pPr>
                  <w:r>
                    <w:rPr>
                      <w:rFonts w:hint="eastAsia"/>
                      <w:color w:val="auto"/>
                      <w:lang w:val="en-US" w:eastAsia="zh-CN"/>
                    </w:rPr>
                    <w:t>1.2</w:t>
                  </w:r>
                </w:p>
              </w:tc>
              <w:tc>
                <w:tcPr>
                  <w:tcW w:w="267" w:type="pct"/>
                  <w:vAlign w:val="center"/>
                </w:tcPr>
                <w:p w14:paraId="08A336E4">
                  <w:pPr>
                    <w:pStyle w:val="24"/>
                    <w:bidi w:val="0"/>
                    <w:jc w:val="center"/>
                    <w:rPr>
                      <w:rFonts w:hint="default"/>
                      <w:color w:val="auto"/>
                      <w:lang w:val="en-US" w:eastAsia="zh-CN"/>
                    </w:rPr>
                  </w:pPr>
                  <w:r>
                    <w:rPr>
                      <w:rFonts w:hint="eastAsia"/>
                      <w:color w:val="auto"/>
                      <w:lang w:val="en-US" w:eastAsia="zh-CN"/>
                    </w:rPr>
                    <w:t>东</w:t>
                  </w:r>
                </w:p>
              </w:tc>
              <w:tc>
                <w:tcPr>
                  <w:tcW w:w="459" w:type="pct"/>
                  <w:vAlign w:val="center"/>
                </w:tcPr>
                <w:p w14:paraId="4BE97696">
                  <w:pPr>
                    <w:pStyle w:val="24"/>
                    <w:bidi w:val="0"/>
                    <w:jc w:val="center"/>
                    <w:rPr>
                      <w:rFonts w:hint="default"/>
                      <w:color w:val="auto"/>
                      <w:lang w:val="en-US" w:eastAsia="zh-CN"/>
                    </w:rPr>
                  </w:pPr>
                  <w:r>
                    <w:rPr>
                      <w:rFonts w:hint="eastAsia"/>
                      <w:color w:val="auto"/>
                      <w:lang w:val="en-US" w:eastAsia="zh-CN"/>
                    </w:rPr>
                    <w:t>27.8</w:t>
                  </w:r>
                </w:p>
              </w:tc>
              <w:tc>
                <w:tcPr>
                  <w:tcW w:w="503" w:type="pct"/>
                  <w:vAlign w:val="center"/>
                </w:tcPr>
                <w:p w14:paraId="535FB203">
                  <w:pPr>
                    <w:pStyle w:val="24"/>
                    <w:bidi w:val="0"/>
                    <w:jc w:val="center"/>
                    <w:rPr>
                      <w:rFonts w:hint="default"/>
                      <w:color w:val="auto"/>
                      <w:lang w:val="en-US" w:eastAsia="zh-CN"/>
                    </w:rPr>
                  </w:pPr>
                  <w:r>
                    <w:rPr>
                      <w:rFonts w:hint="eastAsia"/>
                      <w:color w:val="auto"/>
                      <w:lang w:val="en-US" w:eastAsia="zh-CN"/>
                    </w:rPr>
                    <w:t>61.1</w:t>
                  </w:r>
                </w:p>
              </w:tc>
              <w:tc>
                <w:tcPr>
                  <w:tcW w:w="287" w:type="pct"/>
                  <w:vMerge w:val="restart"/>
                  <w:vAlign w:val="center"/>
                </w:tcPr>
                <w:p w14:paraId="31F940C5">
                  <w:pPr>
                    <w:pStyle w:val="24"/>
                    <w:bidi w:val="0"/>
                    <w:jc w:val="center"/>
                    <w:rPr>
                      <w:rFonts w:hint="default"/>
                      <w:color w:val="auto"/>
                      <w:lang w:val="en-US" w:eastAsia="zh-CN"/>
                    </w:rPr>
                  </w:pPr>
                  <w:r>
                    <w:rPr>
                      <w:rFonts w:hint="eastAsia"/>
                      <w:color w:val="auto"/>
                      <w:lang w:val="en-US" w:eastAsia="zh-CN"/>
                    </w:rPr>
                    <w:t>昼间</w:t>
                  </w:r>
                </w:p>
              </w:tc>
              <w:tc>
                <w:tcPr>
                  <w:tcW w:w="362" w:type="pct"/>
                  <w:vMerge w:val="restart"/>
                  <w:vAlign w:val="center"/>
                </w:tcPr>
                <w:p w14:paraId="25B0B322">
                  <w:pPr>
                    <w:pStyle w:val="24"/>
                    <w:bidi w:val="0"/>
                    <w:jc w:val="center"/>
                    <w:rPr>
                      <w:rFonts w:hint="default"/>
                      <w:color w:val="auto"/>
                      <w:lang w:val="en-US" w:eastAsia="zh-CN"/>
                    </w:rPr>
                  </w:pPr>
                  <w:r>
                    <w:rPr>
                      <w:rFonts w:hint="eastAsia"/>
                      <w:color w:val="auto"/>
                      <w:lang w:val="en-US" w:eastAsia="zh-CN"/>
                    </w:rPr>
                    <w:t>20</w:t>
                  </w:r>
                </w:p>
              </w:tc>
              <w:tc>
                <w:tcPr>
                  <w:tcW w:w="490" w:type="pct"/>
                  <w:vAlign w:val="center"/>
                </w:tcPr>
                <w:p w14:paraId="58606A42">
                  <w:pPr>
                    <w:pStyle w:val="24"/>
                    <w:bidi w:val="0"/>
                    <w:jc w:val="center"/>
                    <w:rPr>
                      <w:rFonts w:hint="default"/>
                      <w:color w:val="auto"/>
                      <w:lang w:val="en-US" w:eastAsia="zh-CN"/>
                    </w:rPr>
                  </w:pPr>
                  <w:r>
                    <w:rPr>
                      <w:rFonts w:hint="eastAsia"/>
                      <w:color w:val="auto"/>
                      <w:lang w:val="en-US" w:eastAsia="zh-CN"/>
                    </w:rPr>
                    <w:t>41.1</w:t>
                  </w:r>
                </w:p>
              </w:tc>
              <w:tc>
                <w:tcPr>
                  <w:tcW w:w="276" w:type="pct"/>
                  <w:vMerge w:val="restart"/>
                  <w:vAlign w:val="center"/>
                </w:tcPr>
                <w:p w14:paraId="2AAECA7C">
                  <w:pPr>
                    <w:pStyle w:val="24"/>
                    <w:bidi w:val="0"/>
                    <w:jc w:val="center"/>
                    <w:rPr>
                      <w:rFonts w:hint="default"/>
                      <w:color w:val="auto"/>
                      <w:lang w:val="en-US" w:eastAsia="zh-CN"/>
                    </w:rPr>
                  </w:pPr>
                  <w:r>
                    <w:rPr>
                      <w:rFonts w:hint="eastAsia"/>
                      <w:color w:val="auto"/>
                      <w:lang w:val="en-US" w:eastAsia="zh-CN"/>
                    </w:rPr>
                    <w:t>1</w:t>
                  </w:r>
                </w:p>
              </w:tc>
            </w:tr>
            <w:tr w14:paraId="60F8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20C8C1FB">
                  <w:pPr>
                    <w:pStyle w:val="24"/>
                    <w:bidi w:val="0"/>
                    <w:jc w:val="center"/>
                    <w:rPr>
                      <w:rFonts w:hint="eastAsia"/>
                      <w:color w:val="auto"/>
                      <w:lang w:val="en-US" w:eastAsia="zh-CN"/>
                    </w:rPr>
                  </w:pPr>
                </w:p>
              </w:tc>
              <w:tc>
                <w:tcPr>
                  <w:tcW w:w="266" w:type="pct"/>
                  <w:vMerge w:val="continue"/>
                  <w:vAlign w:val="center"/>
                </w:tcPr>
                <w:p w14:paraId="2A023663">
                  <w:pPr>
                    <w:pStyle w:val="24"/>
                    <w:bidi w:val="0"/>
                    <w:ind w:firstLine="0" w:firstLineChars="0"/>
                    <w:jc w:val="center"/>
                    <w:rPr>
                      <w:rFonts w:hint="eastAsia"/>
                      <w:color w:val="auto"/>
                      <w:vertAlign w:val="baseline"/>
                      <w:lang w:val="en-US" w:eastAsia="zh-CN"/>
                    </w:rPr>
                  </w:pPr>
                </w:p>
              </w:tc>
              <w:tc>
                <w:tcPr>
                  <w:tcW w:w="416" w:type="pct"/>
                  <w:vMerge w:val="continue"/>
                  <w:vAlign w:val="center"/>
                </w:tcPr>
                <w:p w14:paraId="36734835">
                  <w:pPr>
                    <w:pStyle w:val="24"/>
                    <w:bidi w:val="0"/>
                    <w:jc w:val="center"/>
                    <w:rPr>
                      <w:rFonts w:hint="eastAsia"/>
                      <w:color w:val="auto"/>
                      <w:lang w:val="en-US" w:eastAsia="zh-CN"/>
                    </w:rPr>
                  </w:pPr>
                </w:p>
              </w:tc>
              <w:tc>
                <w:tcPr>
                  <w:tcW w:w="304" w:type="pct"/>
                  <w:vMerge w:val="continue"/>
                  <w:vAlign w:val="center"/>
                </w:tcPr>
                <w:p w14:paraId="0E6CBF72">
                  <w:pPr>
                    <w:pStyle w:val="24"/>
                    <w:bidi w:val="0"/>
                    <w:jc w:val="center"/>
                    <w:rPr>
                      <w:rFonts w:hint="default"/>
                      <w:color w:val="auto"/>
                      <w:lang w:val="en-US" w:eastAsia="zh-CN"/>
                    </w:rPr>
                  </w:pPr>
                </w:p>
              </w:tc>
              <w:tc>
                <w:tcPr>
                  <w:tcW w:w="399" w:type="pct"/>
                  <w:vMerge w:val="continue"/>
                  <w:vAlign w:val="center"/>
                </w:tcPr>
                <w:p w14:paraId="42C714E6">
                  <w:pPr>
                    <w:pStyle w:val="24"/>
                    <w:bidi w:val="0"/>
                    <w:jc w:val="center"/>
                    <w:rPr>
                      <w:rFonts w:hint="eastAsia"/>
                      <w:color w:val="auto"/>
                      <w:lang w:val="en-US" w:eastAsia="zh-CN"/>
                    </w:rPr>
                  </w:pPr>
                </w:p>
              </w:tc>
              <w:tc>
                <w:tcPr>
                  <w:tcW w:w="380" w:type="pct"/>
                  <w:vMerge w:val="continue"/>
                  <w:vAlign w:val="center"/>
                </w:tcPr>
                <w:p w14:paraId="746EE82D">
                  <w:pPr>
                    <w:pStyle w:val="24"/>
                    <w:bidi w:val="0"/>
                    <w:jc w:val="center"/>
                    <w:rPr>
                      <w:rFonts w:hint="eastAsia"/>
                      <w:color w:val="auto"/>
                      <w:lang w:val="en-US" w:eastAsia="zh-CN"/>
                    </w:rPr>
                  </w:pPr>
                </w:p>
              </w:tc>
              <w:tc>
                <w:tcPr>
                  <w:tcW w:w="318" w:type="pct"/>
                  <w:vMerge w:val="continue"/>
                  <w:vAlign w:val="center"/>
                </w:tcPr>
                <w:p w14:paraId="3933B08D">
                  <w:pPr>
                    <w:pStyle w:val="24"/>
                    <w:bidi w:val="0"/>
                    <w:jc w:val="center"/>
                    <w:rPr>
                      <w:rFonts w:hint="eastAsia"/>
                      <w:color w:val="auto"/>
                      <w:lang w:val="en-US" w:eastAsia="zh-CN"/>
                    </w:rPr>
                  </w:pPr>
                </w:p>
              </w:tc>
              <w:tc>
                <w:tcPr>
                  <w:tcW w:w="267" w:type="pct"/>
                  <w:vAlign w:val="center"/>
                </w:tcPr>
                <w:p w14:paraId="21D72DFA">
                  <w:pPr>
                    <w:pStyle w:val="24"/>
                    <w:bidi w:val="0"/>
                    <w:jc w:val="center"/>
                    <w:rPr>
                      <w:rFonts w:hint="default"/>
                      <w:color w:val="auto"/>
                      <w:lang w:val="en-US" w:eastAsia="zh-CN"/>
                    </w:rPr>
                  </w:pPr>
                  <w:r>
                    <w:rPr>
                      <w:rFonts w:hint="eastAsia"/>
                      <w:color w:val="auto"/>
                      <w:lang w:val="en-US" w:eastAsia="zh-CN"/>
                    </w:rPr>
                    <w:t>南</w:t>
                  </w:r>
                </w:p>
              </w:tc>
              <w:tc>
                <w:tcPr>
                  <w:tcW w:w="459" w:type="pct"/>
                  <w:vAlign w:val="center"/>
                </w:tcPr>
                <w:p w14:paraId="5BC51717">
                  <w:pPr>
                    <w:pStyle w:val="24"/>
                    <w:bidi w:val="0"/>
                    <w:jc w:val="center"/>
                    <w:rPr>
                      <w:rFonts w:hint="default"/>
                      <w:color w:val="auto"/>
                      <w:lang w:val="en-US" w:eastAsia="zh-CN"/>
                    </w:rPr>
                  </w:pPr>
                  <w:r>
                    <w:rPr>
                      <w:rFonts w:hint="eastAsia"/>
                      <w:color w:val="auto"/>
                      <w:lang w:val="en-US" w:eastAsia="zh-CN"/>
                    </w:rPr>
                    <w:t>24</w:t>
                  </w:r>
                </w:p>
              </w:tc>
              <w:tc>
                <w:tcPr>
                  <w:tcW w:w="503" w:type="pct"/>
                  <w:vAlign w:val="center"/>
                </w:tcPr>
                <w:p w14:paraId="77FAAD8E">
                  <w:pPr>
                    <w:pStyle w:val="24"/>
                    <w:bidi w:val="0"/>
                    <w:jc w:val="center"/>
                    <w:rPr>
                      <w:rFonts w:hint="default"/>
                      <w:color w:val="auto"/>
                      <w:lang w:val="en-US" w:eastAsia="zh-CN"/>
                    </w:rPr>
                  </w:pPr>
                  <w:r>
                    <w:rPr>
                      <w:rFonts w:hint="eastAsia"/>
                      <w:color w:val="auto"/>
                      <w:lang w:val="en-US" w:eastAsia="zh-CN"/>
                    </w:rPr>
                    <w:t>62.4</w:t>
                  </w:r>
                </w:p>
              </w:tc>
              <w:tc>
                <w:tcPr>
                  <w:tcW w:w="287" w:type="pct"/>
                  <w:vMerge w:val="continue"/>
                  <w:vAlign w:val="center"/>
                </w:tcPr>
                <w:p w14:paraId="2DD13141">
                  <w:pPr>
                    <w:pStyle w:val="24"/>
                    <w:bidi w:val="0"/>
                    <w:jc w:val="center"/>
                    <w:rPr>
                      <w:rFonts w:hint="eastAsia"/>
                      <w:color w:val="auto"/>
                      <w:lang w:val="en-US" w:eastAsia="zh-CN"/>
                    </w:rPr>
                  </w:pPr>
                </w:p>
              </w:tc>
              <w:tc>
                <w:tcPr>
                  <w:tcW w:w="362" w:type="pct"/>
                  <w:vMerge w:val="continue"/>
                  <w:vAlign w:val="center"/>
                </w:tcPr>
                <w:p w14:paraId="5AFC0FB4">
                  <w:pPr>
                    <w:pStyle w:val="24"/>
                    <w:bidi w:val="0"/>
                    <w:jc w:val="center"/>
                    <w:rPr>
                      <w:rFonts w:hint="eastAsia"/>
                      <w:color w:val="auto"/>
                      <w:lang w:val="en-US" w:eastAsia="zh-CN"/>
                    </w:rPr>
                  </w:pPr>
                </w:p>
              </w:tc>
              <w:tc>
                <w:tcPr>
                  <w:tcW w:w="490" w:type="pct"/>
                  <w:vAlign w:val="center"/>
                </w:tcPr>
                <w:p w14:paraId="47AC81B1">
                  <w:pPr>
                    <w:pStyle w:val="24"/>
                    <w:bidi w:val="0"/>
                    <w:jc w:val="center"/>
                    <w:rPr>
                      <w:rFonts w:hint="default"/>
                      <w:color w:val="auto"/>
                      <w:lang w:val="en-US" w:eastAsia="zh-CN"/>
                    </w:rPr>
                  </w:pPr>
                  <w:r>
                    <w:rPr>
                      <w:rFonts w:hint="eastAsia"/>
                      <w:color w:val="auto"/>
                      <w:lang w:val="en-US" w:eastAsia="zh-CN"/>
                    </w:rPr>
                    <w:t>42.4</w:t>
                  </w:r>
                </w:p>
              </w:tc>
              <w:tc>
                <w:tcPr>
                  <w:tcW w:w="276" w:type="pct"/>
                  <w:vMerge w:val="continue"/>
                  <w:vAlign w:val="center"/>
                </w:tcPr>
                <w:p w14:paraId="57291140">
                  <w:pPr>
                    <w:pStyle w:val="24"/>
                    <w:bidi w:val="0"/>
                    <w:jc w:val="center"/>
                    <w:rPr>
                      <w:rFonts w:hint="eastAsia"/>
                      <w:color w:val="auto"/>
                      <w:lang w:val="en-US" w:eastAsia="zh-CN"/>
                    </w:rPr>
                  </w:pPr>
                </w:p>
              </w:tc>
            </w:tr>
            <w:tr w14:paraId="661A9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3163889C">
                  <w:pPr>
                    <w:pStyle w:val="24"/>
                    <w:bidi w:val="0"/>
                    <w:jc w:val="center"/>
                    <w:rPr>
                      <w:rFonts w:hint="eastAsia"/>
                      <w:color w:val="auto"/>
                      <w:lang w:val="en-US" w:eastAsia="zh-CN"/>
                    </w:rPr>
                  </w:pPr>
                </w:p>
              </w:tc>
              <w:tc>
                <w:tcPr>
                  <w:tcW w:w="266" w:type="pct"/>
                  <w:vMerge w:val="continue"/>
                  <w:vAlign w:val="center"/>
                </w:tcPr>
                <w:p w14:paraId="3EF3E18A">
                  <w:pPr>
                    <w:pStyle w:val="24"/>
                    <w:bidi w:val="0"/>
                    <w:ind w:firstLine="0" w:firstLineChars="0"/>
                    <w:jc w:val="center"/>
                    <w:rPr>
                      <w:rFonts w:hint="eastAsia"/>
                      <w:color w:val="auto"/>
                      <w:vertAlign w:val="baseline"/>
                      <w:lang w:val="en-US" w:eastAsia="zh-CN"/>
                    </w:rPr>
                  </w:pPr>
                </w:p>
              </w:tc>
              <w:tc>
                <w:tcPr>
                  <w:tcW w:w="416" w:type="pct"/>
                  <w:vMerge w:val="continue"/>
                  <w:vAlign w:val="center"/>
                </w:tcPr>
                <w:p w14:paraId="2EA22072">
                  <w:pPr>
                    <w:pStyle w:val="24"/>
                    <w:bidi w:val="0"/>
                    <w:jc w:val="center"/>
                    <w:rPr>
                      <w:rFonts w:hint="eastAsia"/>
                      <w:color w:val="auto"/>
                      <w:lang w:val="en-US" w:eastAsia="zh-CN"/>
                    </w:rPr>
                  </w:pPr>
                </w:p>
              </w:tc>
              <w:tc>
                <w:tcPr>
                  <w:tcW w:w="304" w:type="pct"/>
                  <w:vMerge w:val="continue"/>
                  <w:vAlign w:val="center"/>
                </w:tcPr>
                <w:p w14:paraId="56A9A121">
                  <w:pPr>
                    <w:pStyle w:val="24"/>
                    <w:bidi w:val="0"/>
                    <w:jc w:val="center"/>
                    <w:rPr>
                      <w:rFonts w:hint="default"/>
                      <w:color w:val="auto"/>
                      <w:lang w:val="en-US" w:eastAsia="zh-CN"/>
                    </w:rPr>
                  </w:pPr>
                </w:p>
              </w:tc>
              <w:tc>
                <w:tcPr>
                  <w:tcW w:w="399" w:type="pct"/>
                  <w:vMerge w:val="continue"/>
                  <w:vAlign w:val="center"/>
                </w:tcPr>
                <w:p w14:paraId="750398F7">
                  <w:pPr>
                    <w:pStyle w:val="24"/>
                    <w:bidi w:val="0"/>
                    <w:jc w:val="center"/>
                    <w:rPr>
                      <w:rFonts w:hint="eastAsia"/>
                      <w:color w:val="auto"/>
                      <w:lang w:val="en-US" w:eastAsia="zh-CN"/>
                    </w:rPr>
                  </w:pPr>
                </w:p>
              </w:tc>
              <w:tc>
                <w:tcPr>
                  <w:tcW w:w="380" w:type="pct"/>
                  <w:vMerge w:val="continue"/>
                  <w:vAlign w:val="center"/>
                </w:tcPr>
                <w:p w14:paraId="0ADB27A0">
                  <w:pPr>
                    <w:pStyle w:val="24"/>
                    <w:bidi w:val="0"/>
                    <w:jc w:val="center"/>
                    <w:rPr>
                      <w:rFonts w:hint="eastAsia"/>
                      <w:color w:val="auto"/>
                      <w:lang w:val="en-US" w:eastAsia="zh-CN"/>
                    </w:rPr>
                  </w:pPr>
                </w:p>
              </w:tc>
              <w:tc>
                <w:tcPr>
                  <w:tcW w:w="318" w:type="pct"/>
                  <w:vMerge w:val="continue"/>
                  <w:vAlign w:val="center"/>
                </w:tcPr>
                <w:p w14:paraId="53CBEE4A">
                  <w:pPr>
                    <w:pStyle w:val="24"/>
                    <w:bidi w:val="0"/>
                    <w:jc w:val="center"/>
                    <w:rPr>
                      <w:rFonts w:hint="eastAsia"/>
                      <w:color w:val="auto"/>
                      <w:lang w:val="en-US" w:eastAsia="zh-CN"/>
                    </w:rPr>
                  </w:pPr>
                </w:p>
              </w:tc>
              <w:tc>
                <w:tcPr>
                  <w:tcW w:w="267" w:type="pct"/>
                  <w:vAlign w:val="center"/>
                </w:tcPr>
                <w:p w14:paraId="6DE45B99">
                  <w:pPr>
                    <w:pStyle w:val="24"/>
                    <w:bidi w:val="0"/>
                    <w:jc w:val="center"/>
                    <w:rPr>
                      <w:rFonts w:hint="default"/>
                      <w:color w:val="auto"/>
                      <w:lang w:val="en-US" w:eastAsia="zh-CN"/>
                    </w:rPr>
                  </w:pPr>
                  <w:r>
                    <w:rPr>
                      <w:rFonts w:hint="eastAsia"/>
                      <w:color w:val="auto"/>
                      <w:lang w:val="en-US" w:eastAsia="zh-CN"/>
                    </w:rPr>
                    <w:t>西</w:t>
                  </w:r>
                </w:p>
              </w:tc>
              <w:tc>
                <w:tcPr>
                  <w:tcW w:w="459" w:type="pct"/>
                  <w:vAlign w:val="center"/>
                </w:tcPr>
                <w:p w14:paraId="469E49C0">
                  <w:pPr>
                    <w:pStyle w:val="24"/>
                    <w:bidi w:val="0"/>
                    <w:jc w:val="center"/>
                    <w:rPr>
                      <w:rFonts w:hint="default"/>
                      <w:color w:val="auto"/>
                      <w:lang w:val="en-US" w:eastAsia="zh-CN"/>
                    </w:rPr>
                  </w:pPr>
                  <w:r>
                    <w:rPr>
                      <w:rFonts w:hint="eastAsia"/>
                      <w:color w:val="auto"/>
                      <w:lang w:val="en-US" w:eastAsia="zh-CN"/>
                    </w:rPr>
                    <w:t>13.8</w:t>
                  </w:r>
                </w:p>
              </w:tc>
              <w:tc>
                <w:tcPr>
                  <w:tcW w:w="503" w:type="pct"/>
                  <w:vAlign w:val="center"/>
                </w:tcPr>
                <w:p w14:paraId="72BF38DE">
                  <w:pPr>
                    <w:pStyle w:val="24"/>
                    <w:bidi w:val="0"/>
                    <w:jc w:val="center"/>
                    <w:rPr>
                      <w:rFonts w:hint="default"/>
                      <w:color w:val="auto"/>
                      <w:lang w:val="en-US" w:eastAsia="zh-CN"/>
                    </w:rPr>
                  </w:pPr>
                  <w:r>
                    <w:rPr>
                      <w:rFonts w:hint="eastAsia"/>
                      <w:color w:val="auto"/>
                      <w:lang w:val="en-US" w:eastAsia="zh-CN"/>
                    </w:rPr>
                    <w:t>67.2</w:t>
                  </w:r>
                </w:p>
              </w:tc>
              <w:tc>
                <w:tcPr>
                  <w:tcW w:w="287" w:type="pct"/>
                  <w:vMerge w:val="continue"/>
                  <w:vAlign w:val="center"/>
                </w:tcPr>
                <w:p w14:paraId="6EF5BA40">
                  <w:pPr>
                    <w:pStyle w:val="24"/>
                    <w:bidi w:val="0"/>
                    <w:jc w:val="center"/>
                    <w:rPr>
                      <w:rFonts w:hint="eastAsia"/>
                      <w:color w:val="auto"/>
                      <w:lang w:val="en-US" w:eastAsia="zh-CN"/>
                    </w:rPr>
                  </w:pPr>
                </w:p>
              </w:tc>
              <w:tc>
                <w:tcPr>
                  <w:tcW w:w="362" w:type="pct"/>
                  <w:vMerge w:val="continue"/>
                  <w:vAlign w:val="center"/>
                </w:tcPr>
                <w:p w14:paraId="39D69A17">
                  <w:pPr>
                    <w:pStyle w:val="24"/>
                    <w:bidi w:val="0"/>
                    <w:jc w:val="center"/>
                    <w:rPr>
                      <w:rFonts w:hint="eastAsia"/>
                      <w:color w:val="auto"/>
                      <w:lang w:val="en-US" w:eastAsia="zh-CN"/>
                    </w:rPr>
                  </w:pPr>
                </w:p>
              </w:tc>
              <w:tc>
                <w:tcPr>
                  <w:tcW w:w="490" w:type="pct"/>
                  <w:vAlign w:val="center"/>
                </w:tcPr>
                <w:p w14:paraId="7F769CFE">
                  <w:pPr>
                    <w:pStyle w:val="24"/>
                    <w:bidi w:val="0"/>
                    <w:jc w:val="center"/>
                    <w:rPr>
                      <w:rFonts w:hint="default"/>
                      <w:color w:val="auto"/>
                      <w:lang w:val="en-US" w:eastAsia="zh-CN"/>
                    </w:rPr>
                  </w:pPr>
                  <w:r>
                    <w:rPr>
                      <w:rFonts w:hint="eastAsia"/>
                      <w:color w:val="auto"/>
                      <w:lang w:val="en-US" w:eastAsia="zh-CN"/>
                    </w:rPr>
                    <w:t>47.2</w:t>
                  </w:r>
                </w:p>
              </w:tc>
              <w:tc>
                <w:tcPr>
                  <w:tcW w:w="276" w:type="pct"/>
                  <w:vMerge w:val="continue"/>
                  <w:vAlign w:val="center"/>
                </w:tcPr>
                <w:p w14:paraId="1F881AFD">
                  <w:pPr>
                    <w:pStyle w:val="24"/>
                    <w:bidi w:val="0"/>
                    <w:jc w:val="center"/>
                    <w:rPr>
                      <w:rFonts w:hint="eastAsia"/>
                      <w:color w:val="auto"/>
                      <w:lang w:val="en-US" w:eastAsia="zh-CN"/>
                    </w:rPr>
                  </w:pPr>
                </w:p>
              </w:tc>
            </w:tr>
            <w:tr w14:paraId="4E7E6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5C01DEEA">
                  <w:pPr>
                    <w:pStyle w:val="24"/>
                    <w:bidi w:val="0"/>
                    <w:jc w:val="center"/>
                    <w:rPr>
                      <w:rFonts w:hint="eastAsia"/>
                      <w:color w:val="auto"/>
                      <w:lang w:val="en-US" w:eastAsia="zh-CN"/>
                    </w:rPr>
                  </w:pPr>
                </w:p>
              </w:tc>
              <w:tc>
                <w:tcPr>
                  <w:tcW w:w="266" w:type="pct"/>
                  <w:vMerge w:val="continue"/>
                  <w:vAlign w:val="center"/>
                </w:tcPr>
                <w:p w14:paraId="4585F117">
                  <w:pPr>
                    <w:pStyle w:val="24"/>
                    <w:bidi w:val="0"/>
                    <w:ind w:firstLine="0" w:firstLineChars="0"/>
                    <w:jc w:val="center"/>
                    <w:rPr>
                      <w:rFonts w:hint="eastAsia"/>
                      <w:color w:val="auto"/>
                      <w:vertAlign w:val="baseline"/>
                      <w:lang w:val="en-US" w:eastAsia="zh-CN"/>
                    </w:rPr>
                  </w:pPr>
                </w:p>
              </w:tc>
              <w:tc>
                <w:tcPr>
                  <w:tcW w:w="416" w:type="pct"/>
                  <w:vMerge w:val="continue"/>
                  <w:vAlign w:val="center"/>
                </w:tcPr>
                <w:p w14:paraId="6A37C1D8">
                  <w:pPr>
                    <w:pStyle w:val="24"/>
                    <w:bidi w:val="0"/>
                    <w:jc w:val="center"/>
                    <w:rPr>
                      <w:rFonts w:hint="eastAsia"/>
                      <w:color w:val="auto"/>
                      <w:lang w:val="en-US" w:eastAsia="zh-CN"/>
                    </w:rPr>
                  </w:pPr>
                </w:p>
              </w:tc>
              <w:tc>
                <w:tcPr>
                  <w:tcW w:w="304" w:type="pct"/>
                  <w:vMerge w:val="continue"/>
                  <w:vAlign w:val="center"/>
                </w:tcPr>
                <w:p w14:paraId="63A6EBD4">
                  <w:pPr>
                    <w:pStyle w:val="24"/>
                    <w:bidi w:val="0"/>
                    <w:jc w:val="center"/>
                    <w:rPr>
                      <w:rFonts w:hint="default"/>
                      <w:color w:val="auto"/>
                      <w:lang w:val="en-US" w:eastAsia="zh-CN"/>
                    </w:rPr>
                  </w:pPr>
                </w:p>
              </w:tc>
              <w:tc>
                <w:tcPr>
                  <w:tcW w:w="399" w:type="pct"/>
                  <w:vMerge w:val="continue"/>
                  <w:vAlign w:val="center"/>
                </w:tcPr>
                <w:p w14:paraId="67F163B4">
                  <w:pPr>
                    <w:pStyle w:val="24"/>
                    <w:bidi w:val="0"/>
                    <w:jc w:val="center"/>
                    <w:rPr>
                      <w:rFonts w:hint="eastAsia"/>
                      <w:color w:val="auto"/>
                      <w:lang w:val="en-US" w:eastAsia="zh-CN"/>
                    </w:rPr>
                  </w:pPr>
                </w:p>
              </w:tc>
              <w:tc>
                <w:tcPr>
                  <w:tcW w:w="380" w:type="pct"/>
                  <w:vMerge w:val="continue"/>
                  <w:vAlign w:val="center"/>
                </w:tcPr>
                <w:p w14:paraId="51CC43AB">
                  <w:pPr>
                    <w:pStyle w:val="24"/>
                    <w:bidi w:val="0"/>
                    <w:jc w:val="center"/>
                    <w:rPr>
                      <w:rFonts w:hint="eastAsia"/>
                      <w:color w:val="auto"/>
                      <w:lang w:val="en-US" w:eastAsia="zh-CN"/>
                    </w:rPr>
                  </w:pPr>
                </w:p>
              </w:tc>
              <w:tc>
                <w:tcPr>
                  <w:tcW w:w="318" w:type="pct"/>
                  <w:vMerge w:val="continue"/>
                  <w:vAlign w:val="center"/>
                </w:tcPr>
                <w:p w14:paraId="1C7A61F8">
                  <w:pPr>
                    <w:pStyle w:val="24"/>
                    <w:bidi w:val="0"/>
                    <w:jc w:val="center"/>
                    <w:rPr>
                      <w:rFonts w:hint="eastAsia"/>
                      <w:color w:val="auto"/>
                      <w:lang w:val="en-US" w:eastAsia="zh-CN"/>
                    </w:rPr>
                  </w:pPr>
                </w:p>
              </w:tc>
              <w:tc>
                <w:tcPr>
                  <w:tcW w:w="267" w:type="pct"/>
                  <w:vAlign w:val="center"/>
                </w:tcPr>
                <w:p w14:paraId="204E0FAB">
                  <w:pPr>
                    <w:pStyle w:val="24"/>
                    <w:bidi w:val="0"/>
                    <w:jc w:val="center"/>
                    <w:rPr>
                      <w:rFonts w:hint="default"/>
                      <w:color w:val="auto"/>
                      <w:lang w:val="en-US" w:eastAsia="zh-CN"/>
                    </w:rPr>
                  </w:pPr>
                  <w:r>
                    <w:rPr>
                      <w:rFonts w:hint="eastAsia"/>
                      <w:color w:val="auto"/>
                      <w:lang w:val="en-US" w:eastAsia="zh-CN"/>
                    </w:rPr>
                    <w:t>北</w:t>
                  </w:r>
                </w:p>
              </w:tc>
              <w:tc>
                <w:tcPr>
                  <w:tcW w:w="459" w:type="pct"/>
                  <w:vAlign w:val="center"/>
                </w:tcPr>
                <w:p w14:paraId="52C20D39">
                  <w:pPr>
                    <w:pStyle w:val="24"/>
                    <w:bidi w:val="0"/>
                    <w:jc w:val="center"/>
                    <w:rPr>
                      <w:rFonts w:hint="default"/>
                      <w:color w:val="auto"/>
                      <w:lang w:val="en-US" w:eastAsia="zh-CN"/>
                    </w:rPr>
                  </w:pPr>
                  <w:r>
                    <w:rPr>
                      <w:rFonts w:hint="eastAsia"/>
                      <w:color w:val="auto"/>
                      <w:lang w:val="en-US" w:eastAsia="zh-CN"/>
                    </w:rPr>
                    <w:t>77</w:t>
                  </w:r>
                </w:p>
              </w:tc>
              <w:tc>
                <w:tcPr>
                  <w:tcW w:w="503" w:type="pct"/>
                  <w:vAlign w:val="center"/>
                </w:tcPr>
                <w:p w14:paraId="16B03799">
                  <w:pPr>
                    <w:pStyle w:val="24"/>
                    <w:bidi w:val="0"/>
                    <w:jc w:val="center"/>
                    <w:rPr>
                      <w:rFonts w:hint="default"/>
                      <w:color w:val="auto"/>
                      <w:lang w:val="en-US" w:eastAsia="zh-CN"/>
                    </w:rPr>
                  </w:pPr>
                  <w:r>
                    <w:rPr>
                      <w:rFonts w:hint="eastAsia"/>
                      <w:color w:val="auto"/>
                      <w:lang w:val="en-US" w:eastAsia="zh-CN"/>
                    </w:rPr>
                    <w:t>52.3</w:t>
                  </w:r>
                </w:p>
              </w:tc>
              <w:tc>
                <w:tcPr>
                  <w:tcW w:w="287" w:type="pct"/>
                  <w:vMerge w:val="continue"/>
                  <w:vAlign w:val="center"/>
                </w:tcPr>
                <w:p w14:paraId="64CD5AA0">
                  <w:pPr>
                    <w:pStyle w:val="24"/>
                    <w:bidi w:val="0"/>
                    <w:jc w:val="center"/>
                    <w:rPr>
                      <w:rFonts w:hint="eastAsia"/>
                      <w:color w:val="auto"/>
                      <w:lang w:val="en-US" w:eastAsia="zh-CN"/>
                    </w:rPr>
                  </w:pPr>
                </w:p>
              </w:tc>
              <w:tc>
                <w:tcPr>
                  <w:tcW w:w="362" w:type="pct"/>
                  <w:vMerge w:val="continue"/>
                  <w:vAlign w:val="center"/>
                </w:tcPr>
                <w:p w14:paraId="29DCC4AE">
                  <w:pPr>
                    <w:pStyle w:val="24"/>
                    <w:bidi w:val="0"/>
                    <w:jc w:val="center"/>
                    <w:rPr>
                      <w:rFonts w:hint="eastAsia"/>
                      <w:color w:val="auto"/>
                      <w:lang w:val="en-US" w:eastAsia="zh-CN"/>
                    </w:rPr>
                  </w:pPr>
                </w:p>
              </w:tc>
              <w:tc>
                <w:tcPr>
                  <w:tcW w:w="490" w:type="pct"/>
                  <w:vAlign w:val="center"/>
                </w:tcPr>
                <w:p w14:paraId="492440CA">
                  <w:pPr>
                    <w:pStyle w:val="24"/>
                    <w:bidi w:val="0"/>
                    <w:jc w:val="center"/>
                    <w:rPr>
                      <w:rFonts w:hint="default"/>
                      <w:color w:val="auto"/>
                      <w:lang w:val="en-US" w:eastAsia="zh-CN"/>
                    </w:rPr>
                  </w:pPr>
                  <w:r>
                    <w:rPr>
                      <w:rFonts w:hint="eastAsia"/>
                      <w:color w:val="auto"/>
                      <w:lang w:val="en-US" w:eastAsia="zh-CN"/>
                    </w:rPr>
                    <w:t>32.3</w:t>
                  </w:r>
                </w:p>
              </w:tc>
              <w:tc>
                <w:tcPr>
                  <w:tcW w:w="276" w:type="pct"/>
                  <w:vMerge w:val="continue"/>
                  <w:vAlign w:val="center"/>
                </w:tcPr>
                <w:p w14:paraId="335F2E1D">
                  <w:pPr>
                    <w:pStyle w:val="24"/>
                    <w:bidi w:val="0"/>
                    <w:jc w:val="center"/>
                    <w:rPr>
                      <w:rFonts w:hint="eastAsia"/>
                      <w:color w:val="auto"/>
                      <w:lang w:val="en-US" w:eastAsia="zh-CN"/>
                    </w:rPr>
                  </w:pPr>
                </w:p>
              </w:tc>
            </w:tr>
            <w:tr w14:paraId="476D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40E6C143">
                  <w:pPr>
                    <w:pStyle w:val="24"/>
                    <w:bidi w:val="0"/>
                    <w:jc w:val="center"/>
                    <w:rPr>
                      <w:rFonts w:hint="default"/>
                      <w:color w:val="auto"/>
                      <w:lang w:val="en-US" w:eastAsia="zh-CN"/>
                    </w:rPr>
                  </w:pPr>
                </w:p>
              </w:tc>
              <w:tc>
                <w:tcPr>
                  <w:tcW w:w="266" w:type="pct"/>
                  <w:vMerge w:val="restart"/>
                  <w:vAlign w:val="center"/>
                </w:tcPr>
                <w:p w14:paraId="6C79F100">
                  <w:pPr>
                    <w:pStyle w:val="24"/>
                    <w:bidi w:val="0"/>
                    <w:jc w:val="center"/>
                    <w:rPr>
                      <w:rFonts w:hint="default" w:cs="Times New Roman"/>
                      <w:color w:val="auto"/>
                      <w:szCs w:val="21"/>
                      <w:u w:val="none" w:color="auto"/>
                      <w:lang w:val="en-US" w:eastAsia="zh-CN"/>
                    </w:rPr>
                  </w:pPr>
                  <w:r>
                    <w:rPr>
                      <w:rFonts w:hint="eastAsia"/>
                      <w:color w:val="auto"/>
                      <w:lang w:val="en-US" w:eastAsia="zh-CN"/>
                    </w:rPr>
                    <w:t>破碎机1</w:t>
                  </w:r>
                </w:p>
              </w:tc>
              <w:tc>
                <w:tcPr>
                  <w:tcW w:w="416" w:type="pct"/>
                  <w:vMerge w:val="restart"/>
                  <w:vAlign w:val="center"/>
                </w:tcPr>
                <w:p w14:paraId="625330F3">
                  <w:pPr>
                    <w:pStyle w:val="24"/>
                    <w:bidi w:val="0"/>
                    <w:jc w:val="center"/>
                    <w:rPr>
                      <w:rFonts w:hint="default"/>
                      <w:color w:val="auto"/>
                      <w:lang w:val="en-US" w:eastAsia="zh-CN"/>
                    </w:rPr>
                  </w:pPr>
                  <w:r>
                    <w:rPr>
                      <w:rFonts w:hint="eastAsia"/>
                      <w:color w:val="auto"/>
                      <w:lang w:val="en-US" w:eastAsia="zh-CN"/>
                    </w:rPr>
                    <w:t>90</w:t>
                  </w:r>
                </w:p>
              </w:tc>
              <w:tc>
                <w:tcPr>
                  <w:tcW w:w="304" w:type="pct"/>
                  <w:vMerge w:val="continue"/>
                  <w:vAlign w:val="center"/>
                </w:tcPr>
                <w:p w14:paraId="53551964">
                  <w:pPr>
                    <w:pStyle w:val="24"/>
                    <w:bidi w:val="0"/>
                    <w:jc w:val="center"/>
                    <w:rPr>
                      <w:rFonts w:hint="default"/>
                      <w:color w:val="auto"/>
                      <w:lang w:val="en-US" w:eastAsia="zh-CN"/>
                    </w:rPr>
                  </w:pPr>
                </w:p>
              </w:tc>
              <w:tc>
                <w:tcPr>
                  <w:tcW w:w="399" w:type="pct"/>
                  <w:vMerge w:val="restart"/>
                  <w:vAlign w:val="center"/>
                </w:tcPr>
                <w:p w14:paraId="6352B607">
                  <w:pPr>
                    <w:pStyle w:val="24"/>
                    <w:bidi w:val="0"/>
                    <w:ind w:firstLine="0" w:firstLineChars="0"/>
                    <w:jc w:val="center"/>
                    <w:rPr>
                      <w:rFonts w:hint="default"/>
                      <w:color w:val="auto"/>
                      <w:lang w:val="en-US" w:eastAsia="zh-CN"/>
                    </w:rPr>
                  </w:pPr>
                  <w:r>
                    <w:rPr>
                      <w:rFonts w:hint="eastAsia"/>
                      <w:color w:val="auto"/>
                      <w:lang w:val="en-US" w:eastAsia="zh-CN"/>
                    </w:rPr>
                    <w:t>19.8</w:t>
                  </w:r>
                </w:p>
              </w:tc>
              <w:tc>
                <w:tcPr>
                  <w:tcW w:w="380" w:type="pct"/>
                  <w:vMerge w:val="restart"/>
                  <w:vAlign w:val="center"/>
                </w:tcPr>
                <w:p w14:paraId="55BC5B3F">
                  <w:pPr>
                    <w:pStyle w:val="24"/>
                    <w:bidi w:val="0"/>
                    <w:ind w:firstLine="0" w:firstLineChars="0"/>
                    <w:jc w:val="center"/>
                    <w:rPr>
                      <w:rFonts w:hint="default"/>
                      <w:color w:val="auto"/>
                      <w:lang w:val="en-US" w:eastAsia="zh-CN"/>
                    </w:rPr>
                  </w:pPr>
                  <w:r>
                    <w:rPr>
                      <w:rFonts w:hint="eastAsia"/>
                      <w:color w:val="auto"/>
                      <w:lang w:val="en-US" w:eastAsia="zh-CN"/>
                    </w:rPr>
                    <w:t>43</w:t>
                  </w:r>
                </w:p>
              </w:tc>
              <w:tc>
                <w:tcPr>
                  <w:tcW w:w="318" w:type="pct"/>
                  <w:vMerge w:val="restart"/>
                  <w:vAlign w:val="center"/>
                </w:tcPr>
                <w:p w14:paraId="7F18BAF5">
                  <w:pPr>
                    <w:pStyle w:val="24"/>
                    <w:bidi w:val="0"/>
                    <w:ind w:firstLine="0" w:firstLineChars="0"/>
                    <w:jc w:val="center"/>
                    <w:rPr>
                      <w:rFonts w:hint="eastAsia"/>
                      <w:color w:val="auto"/>
                      <w:lang w:val="en-US" w:eastAsia="zh-CN"/>
                    </w:rPr>
                  </w:pPr>
                  <w:r>
                    <w:rPr>
                      <w:rFonts w:hint="eastAsia"/>
                      <w:color w:val="auto"/>
                      <w:lang w:val="en-US" w:eastAsia="zh-CN"/>
                    </w:rPr>
                    <w:t>1.2</w:t>
                  </w:r>
                </w:p>
              </w:tc>
              <w:tc>
                <w:tcPr>
                  <w:tcW w:w="267" w:type="pct"/>
                  <w:vAlign w:val="center"/>
                </w:tcPr>
                <w:p w14:paraId="2CAC2740">
                  <w:pPr>
                    <w:pStyle w:val="24"/>
                    <w:bidi w:val="0"/>
                    <w:ind w:firstLine="0" w:firstLineChars="0"/>
                    <w:jc w:val="center"/>
                    <w:rPr>
                      <w:rFonts w:hint="eastAsia"/>
                      <w:color w:val="auto"/>
                      <w:lang w:val="en-US" w:eastAsia="zh-CN"/>
                    </w:rPr>
                  </w:pPr>
                  <w:r>
                    <w:rPr>
                      <w:rFonts w:hint="eastAsia"/>
                      <w:color w:val="auto"/>
                      <w:lang w:val="en-US" w:eastAsia="zh-CN"/>
                    </w:rPr>
                    <w:t>东</w:t>
                  </w:r>
                </w:p>
              </w:tc>
              <w:tc>
                <w:tcPr>
                  <w:tcW w:w="459" w:type="pct"/>
                  <w:vAlign w:val="center"/>
                </w:tcPr>
                <w:p w14:paraId="4AF78557">
                  <w:pPr>
                    <w:pStyle w:val="24"/>
                    <w:bidi w:val="0"/>
                    <w:jc w:val="center"/>
                    <w:rPr>
                      <w:rFonts w:hint="default"/>
                      <w:color w:val="auto"/>
                      <w:lang w:val="en-US" w:eastAsia="zh-CN"/>
                    </w:rPr>
                  </w:pPr>
                  <w:r>
                    <w:rPr>
                      <w:rFonts w:hint="eastAsia"/>
                      <w:color w:val="auto"/>
                      <w:lang w:val="en-US" w:eastAsia="zh-CN"/>
                    </w:rPr>
                    <w:t>27.8</w:t>
                  </w:r>
                </w:p>
              </w:tc>
              <w:tc>
                <w:tcPr>
                  <w:tcW w:w="503" w:type="pct"/>
                  <w:vAlign w:val="center"/>
                </w:tcPr>
                <w:p w14:paraId="6C93889B">
                  <w:pPr>
                    <w:pStyle w:val="24"/>
                    <w:bidi w:val="0"/>
                    <w:jc w:val="center"/>
                    <w:rPr>
                      <w:rFonts w:hint="default"/>
                      <w:color w:val="auto"/>
                      <w:lang w:val="en-US" w:eastAsia="zh-CN"/>
                    </w:rPr>
                  </w:pPr>
                  <w:r>
                    <w:rPr>
                      <w:rFonts w:hint="eastAsia"/>
                      <w:color w:val="auto"/>
                      <w:lang w:val="en-US" w:eastAsia="zh-CN"/>
                    </w:rPr>
                    <w:t>61.1</w:t>
                  </w:r>
                </w:p>
              </w:tc>
              <w:tc>
                <w:tcPr>
                  <w:tcW w:w="287" w:type="pct"/>
                  <w:vMerge w:val="continue"/>
                  <w:vAlign w:val="center"/>
                </w:tcPr>
                <w:p w14:paraId="284B9F9B">
                  <w:pPr>
                    <w:pStyle w:val="24"/>
                    <w:bidi w:val="0"/>
                    <w:jc w:val="center"/>
                    <w:rPr>
                      <w:rFonts w:hint="default"/>
                      <w:color w:val="auto"/>
                      <w:lang w:val="en-US" w:eastAsia="zh-CN"/>
                    </w:rPr>
                  </w:pPr>
                </w:p>
              </w:tc>
              <w:tc>
                <w:tcPr>
                  <w:tcW w:w="362" w:type="pct"/>
                  <w:vMerge w:val="restart"/>
                  <w:vAlign w:val="center"/>
                </w:tcPr>
                <w:p w14:paraId="7361659C">
                  <w:pPr>
                    <w:pStyle w:val="24"/>
                    <w:bidi w:val="0"/>
                    <w:jc w:val="center"/>
                    <w:rPr>
                      <w:rFonts w:hint="default"/>
                      <w:color w:val="auto"/>
                      <w:lang w:val="en-US" w:eastAsia="zh-CN"/>
                    </w:rPr>
                  </w:pPr>
                  <w:r>
                    <w:rPr>
                      <w:rFonts w:hint="eastAsia"/>
                      <w:color w:val="auto"/>
                      <w:lang w:val="en-US" w:eastAsia="zh-CN"/>
                    </w:rPr>
                    <w:t>20</w:t>
                  </w:r>
                </w:p>
              </w:tc>
              <w:tc>
                <w:tcPr>
                  <w:tcW w:w="490" w:type="pct"/>
                  <w:vAlign w:val="center"/>
                </w:tcPr>
                <w:p w14:paraId="5B918103">
                  <w:pPr>
                    <w:pStyle w:val="24"/>
                    <w:bidi w:val="0"/>
                    <w:jc w:val="center"/>
                    <w:rPr>
                      <w:rFonts w:hint="default"/>
                      <w:color w:val="auto"/>
                      <w:lang w:val="en-US" w:eastAsia="zh-CN"/>
                    </w:rPr>
                  </w:pPr>
                  <w:r>
                    <w:rPr>
                      <w:rFonts w:hint="eastAsia"/>
                      <w:color w:val="auto"/>
                      <w:lang w:val="en-US" w:eastAsia="zh-CN"/>
                    </w:rPr>
                    <w:t>41.1</w:t>
                  </w:r>
                </w:p>
              </w:tc>
              <w:tc>
                <w:tcPr>
                  <w:tcW w:w="276" w:type="pct"/>
                  <w:vMerge w:val="restart"/>
                  <w:vAlign w:val="center"/>
                </w:tcPr>
                <w:p w14:paraId="1816391C">
                  <w:pPr>
                    <w:pStyle w:val="24"/>
                    <w:bidi w:val="0"/>
                    <w:jc w:val="center"/>
                    <w:rPr>
                      <w:rFonts w:hint="default"/>
                      <w:color w:val="auto"/>
                      <w:lang w:val="en-US" w:eastAsia="zh-CN"/>
                    </w:rPr>
                  </w:pPr>
                  <w:r>
                    <w:rPr>
                      <w:rFonts w:hint="eastAsia"/>
                      <w:color w:val="auto"/>
                      <w:lang w:val="en-US" w:eastAsia="zh-CN"/>
                    </w:rPr>
                    <w:t>1</w:t>
                  </w:r>
                </w:p>
              </w:tc>
            </w:tr>
            <w:tr w14:paraId="665F4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672C03AD">
                  <w:pPr>
                    <w:pStyle w:val="24"/>
                    <w:bidi w:val="0"/>
                    <w:jc w:val="center"/>
                    <w:rPr>
                      <w:rFonts w:hint="default"/>
                      <w:color w:val="auto"/>
                      <w:lang w:val="en-US" w:eastAsia="zh-CN"/>
                    </w:rPr>
                  </w:pPr>
                </w:p>
              </w:tc>
              <w:tc>
                <w:tcPr>
                  <w:tcW w:w="266" w:type="pct"/>
                  <w:vMerge w:val="continue"/>
                  <w:vAlign w:val="center"/>
                </w:tcPr>
                <w:p w14:paraId="434766BE">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56C4C161">
                  <w:pPr>
                    <w:pStyle w:val="24"/>
                    <w:bidi w:val="0"/>
                    <w:jc w:val="center"/>
                    <w:rPr>
                      <w:rFonts w:hint="eastAsia"/>
                      <w:color w:val="auto"/>
                      <w:lang w:val="en-US" w:eastAsia="zh-CN"/>
                    </w:rPr>
                  </w:pPr>
                </w:p>
              </w:tc>
              <w:tc>
                <w:tcPr>
                  <w:tcW w:w="304" w:type="pct"/>
                  <w:vMerge w:val="continue"/>
                  <w:vAlign w:val="center"/>
                </w:tcPr>
                <w:p w14:paraId="375EFE6E">
                  <w:pPr>
                    <w:pStyle w:val="24"/>
                    <w:bidi w:val="0"/>
                    <w:jc w:val="center"/>
                    <w:rPr>
                      <w:rFonts w:hint="default"/>
                      <w:color w:val="auto"/>
                      <w:lang w:val="en-US" w:eastAsia="zh-CN"/>
                    </w:rPr>
                  </w:pPr>
                </w:p>
              </w:tc>
              <w:tc>
                <w:tcPr>
                  <w:tcW w:w="399" w:type="pct"/>
                  <w:vMerge w:val="continue"/>
                  <w:vAlign w:val="center"/>
                </w:tcPr>
                <w:p w14:paraId="182554BB">
                  <w:pPr>
                    <w:pStyle w:val="24"/>
                    <w:bidi w:val="0"/>
                    <w:jc w:val="center"/>
                    <w:rPr>
                      <w:rFonts w:hint="eastAsia"/>
                      <w:color w:val="auto"/>
                      <w:lang w:val="en-US" w:eastAsia="zh-CN"/>
                    </w:rPr>
                  </w:pPr>
                </w:p>
              </w:tc>
              <w:tc>
                <w:tcPr>
                  <w:tcW w:w="380" w:type="pct"/>
                  <w:vMerge w:val="continue"/>
                  <w:vAlign w:val="center"/>
                </w:tcPr>
                <w:p w14:paraId="5AD090FD">
                  <w:pPr>
                    <w:pStyle w:val="24"/>
                    <w:bidi w:val="0"/>
                    <w:jc w:val="center"/>
                    <w:rPr>
                      <w:rFonts w:hint="eastAsia"/>
                      <w:color w:val="auto"/>
                      <w:lang w:val="en-US" w:eastAsia="zh-CN"/>
                    </w:rPr>
                  </w:pPr>
                </w:p>
              </w:tc>
              <w:tc>
                <w:tcPr>
                  <w:tcW w:w="318" w:type="pct"/>
                  <w:vMerge w:val="continue"/>
                  <w:vAlign w:val="center"/>
                </w:tcPr>
                <w:p w14:paraId="451F0D64">
                  <w:pPr>
                    <w:pStyle w:val="24"/>
                    <w:bidi w:val="0"/>
                    <w:jc w:val="center"/>
                    <w:rPr>
                      <w:rFonts w:hint="eastAsia"/>
                      <w:color w:val="auto"/>
                      <w:lang w:val="en-US" w:eastAsia="zh-CN"/>
                    </w:rPr>
                  </w:pPr>
                </w:p>
              </w:tc>
              <w:tc>
                <w:tcPr>
                  <w:tcW w:w="267" w:type="pct"/>
                  <w:vAlign w:val="center"/>
                </w:tcPr>
                <w:p w14:paraId="557C0DAE">
                  <w:pPr>
                    <w:pStyle w:val="24"/>
                    <w:bidi w:val="0"/>
                    <w:ind w:firstLine="0" w:firstLineChars="0"/>
                    <w:jc w:val="center"/>
                    <w:rPr>
                      <w:rFonts w:hint="eastAsia"/>
                      <w:color w:val="auto"/>
                      <w:lang w:val="en-US" w:eastAsia="zh-CN"/>
                    </w:rPr>
                  </w:pPr>
                  <w:r>
                    <w:rPr>
                      <w:rFonts w:hint="eastAsia"/>
                      <w:color w:val="auto"/>
                      <w:lang w:val="en-US" w:eastAsia="zh-CN"/>
                    </w:rPr>
                    <w:t>南</w:t>
                  </w:r>
                </w:p>
              </w:tc>
              <w:tc>
                <w:tcPr>
                  <w:tcW w:w="459" w:type="pct"/>
                  <w:vAlign w:val="center"/>
                </w:tcPr>
                <w:p w14:paraId="1BC428FF">
                  <w:pPr>
                    <w:pStyle w:val="24"/>
                    <w:bidi w:val="0"/>
                    <w:jc w:val="center"/>
                    <w:rPr>
                      <w:rFonts w:hint="default"/>
                      <w:color w:val="auto"/>
                      <w:lang w:val="en-US" w:eastAsia="zh-CN"/>
                    </w:rPr>
                  </w:pPr>
                  <w:r>
                    <w:rPr>
                      <w:rFonts w:hint="eastAsia"/>
                      <w:color w:val="auto"/>
                      <w:lang w:val="en-US" w:eastAsia="zh-CN"/>
                    </w:rPr>
                    <w:t>32</w:t>
                  </w:r>
                </w:p>
              </w:tc>
              <w:tc>
                <w:tcPr>
                  <w:tcW w:w="503" w:type="pct"/>
                  <w:vAlign w:val="center"/>
                </w:tcPr>
                <w:p w14:paraId="553CC687">
                  <w:pPr>
                    <w:pStyle w:val="24"/>
                    <w:bidi w:val="0"/>
                    <w:jc w:val="center"/>
                    <w:rPr>
                      <w:rFonts w:hint="default"/>
                      <w:color w:val="auto"/>
                      <w:lang w:val="en-US" w:eastAsia="zh-CN"/>
                    </w:rPr>
                  </w:pPr>
                  <w:r>
                    <w:rPr>
                      <w:rFonts w:hint="eastAsia"/>
                      <w:color w:val="auto"/>
                      <w:lang w:val="en-US" w:eastAsia="zh-CN"/>
                    </w:rPr>
                    <w:t>59.9</w:t>
                  </w:r>
                </w:p>
              </w:tc>
              <w:tc>
                <w:tcPr>
                  <w:tcW w:w="287" w:type="pct"/>
                  <w:vMerge w:val="continue"/>
                  <w:vAlign w:val="center"/>
                </w:tcPr>
                <w:p w14:paraId="692CD2F4">
                  <w:pPr>
                    <w:pStyle w:val="24"/>
                    <w:bidi w:val="0"/>
                    <w:jc w:val="center"/>
                    <w:rPr>
                      <w:rFonts w:hint="default"/>
                      <w:color w:val="auto"/>
                      <w:lang w:val="en-US" w:eastAsia="zh-CN"/>
                    </w:rPr>
                  </w:pPr>
                </w:p>
              </w:tc>
              <w:tc>
                <w:tcPr>
                  <w:tcW w:w="362" w:type="pct"/>
                  <w:vMerge w:val="continue"/>
                  <w:vAlign w:val="center"/>
                </w:tcPr>
                <w:p w14:paraId="162EEAEE">
                  <w:pPr>
                    <w:pStyle w:val="24"/>
                    <w:bidi w:val="0"/>
                    <w:jc w:val="center"/>
                    <w:rPr>
                      <w:rFonts w:hint="default"/>
                      <w:color w:val="auto"/>
                      <w:lang w:val="en-US" w:eastAsia="zh-CN"/>
                    </w:rPr>
                  </w:pPr>
                </w:p>
              </w:tc>
              <w:tc>
                <w:tcPr>
                  <w:tcW w:w="490" w:type="pct"/>
                  <w:vAlign w:val="center"/>
                </w:tcPr>
                <w:p w14:paraId="5AC5674D">
                  <w:pPr>
                    <w:pStyle w:val="24"/>
                    <w:bidi w:val="0"/>
                    <w:jc w:val="center"/>
                    <w:rPr>
                      <w:rFonts w:hint="default"/>
                      <w:color w:val="auto"/>
                      <w:lang w:val="en-US" w:eastAsia="zh-CN"/>
                    </w:rPr>
                  </w:pPr>
                  <w:r>
                    <w:rPr>
                      <w:rFonts w:hint="eastAsia"/>
                      <w:color w:val="auto"/>
                      <w:lang w:val="en-US" w:eastAsia="zh-CN"/>
                    </w:rPr>
                    <w:t>39.9</w:t>
                  </w:r>
                </w:p>
              </w:tc>
              <w:tc>
                <w:tcPr>
                  <w:tcW w:w="276" w:type="pct"/>
                  <w:vMerge w:val="continue"/>
                  <w:vAlign w:val="center"/>
                </w:tcPr>
                <w:p w14:paraId="00ABDFB7">
                  <w:pPr>
                    <w:pStyle w:val="24"/>
                    <w:bidi w:val="0"/>
                    <w:jc w:val="center"/>
                    <w:rPr>
                      <w:rFonts w:hint="eastAsia"/>
                      <w:color w:val="auto"/>
                      <w:lang w:val="en-US" w:eastAsia="zh-CN"/>
                    </w:rPr>
                  </w:pPr>
                </w:p>
              </w:tc>
            </w:tr>
            <w:tr w14:paraId="24FB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2EE0410E">
                  <w:pPr>
                    <w:pStyle w:val="24"/>
                    <w:bidi w:val="0"/>
                    <w:jc w:val="center"/>
                    <w:rPr>
                      <w:rFonts w:hint="default"/>
                      <w:color w:val="auto"/>
                      <w:lang w:val="en-US" w:eastAsia="zh-CN"/>
                    </w:rPr>
                  </w:pPr>
                </w:p>
              </w:tc>
              <w:tc>
                <w:tcPr>
                  <w:tcW w:w="266" w:type="pct"/>
                  <w:vMerge w:val="continue"/>
                  <w:vAlign w:val="center"/>
                </w:tcPr>
                <w:p w14:paraId="3707BEE0">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639925F4">
                  <w:pPr>
                    <w:pStyle w:val="24"/>
                    <w:bidi w:val="0"/>
                    <w:jc w:val="center"/>
                    <w:rPr>
                      <w:rFonts w:hint="eastAsia"/>
                      <w:color w:val="auto"/>
                      <w:lang w:val="en-US" w:eastAsia="zh-CN"/>
                    </w:rPr>
                  </w:pPr>
                </w:p>
              </w:tc>
              <w:tc>
                <w:tcPr>
                  <w:tcW w:w="304" w:type="pct"/>
                  <w:vMerge w:val="continue"/>
                  <w:vAlign w:val="center"/>
                </w:tcPr>
                <w:p w14:paraId="68B20F01">
                  <w:pPr>
                    <w:pStyle w:val="24"/>
                    <w:bidi w:val="0"/>
                    <w:jc w:val="center"/>
                    <w:rPr>
                      <w:rFonts w:hint="default"/>
                      <w:color w:val="auto"/>
                      <w:lang w:val="en-US" w:eastAsia="zh-CN"/>
                    </w:rPr>
                  </w:pPr>
                </w:p>
              </w:tc>
              <w:tc>
                <w:tcPr>
                  <w:tcW w:w="399" w:type="pct"/>
                  <w:vMerge w:val="continue"/>
                  <w:vAlign w:val="center"/>
                </w:tcPr>
                <w:p w14:paraId="39F92EC9">
                  <w:pPr>
                    <w:pStyle w:val="24"/>
                    <w:bidi w:val="0"/>
                    <w:jc w:val="center"/>
                    <w:rPr>
                      <w:rFonts w:hint="eastAsia"/>
                      <w:color w:val="auto"/>
                      <w:lang w:val="en-US" w:eastAsia="zh-CN"/>
                    </w:rPr>
                  </w:pPr>
                </w:p>
              </w:tc>
              <w:tc>
                <w:tcPr>
                  <w:tcW w:w="380" w:type="pct"/>
                  <w:vMerge w:val="continue"/>
                  <w:vAlign w:val="center"/>
                </w:tcPr>
                <w:p w14:paraId="61EC65CA">
                  <w:pPr>
                    <w:pStyle w:val="24"/>
                    <w:bidi w:val="0"/>
                    <w:jc w:val="center"/>
                    <w:rPr>
                      <w:rFonts w:hint="eastAsia"/>
                      <w:color w:val="auto"/>
                      <w:lang w:val="en-US" w:eastAsia="zh-CN"/>
                    </w:rPr>
                  </w:pPr>
                </w:p>
              </w:tc>
              <w:tc>
                <w:tcPr>
                  <w:tcW w:w="318" w:type="pct"/>
                  <w:vMerge w:val="continue"/>
                  <w:vAlign w:val="center"/>
                </w:tcPr>
                <w:p w14:paraId="0C7FF6F7">
                  <w:pPr>
                    <w:pStyle w:val="24"/>
                    <w:bidi w:val="0"/>
                    <w:jc w:val="center"/>
                    <w:rPr>
                      <w:rFonts w:hint="eastAsia"/>
                      <w:color w:val="auto"/>
                      <w:lang w:val="en-US" w:eastAsia="zh-CN"/>
                    </w:rPr>
                  </w:pPr>
                </w:p>
              </w:tc>
              <w:tc>
                <w:tcPr>
                  <w:tcW w:w="267" w:type="pct"/>
                  <w:vAlign w:val="center"/>
                </w:tcPr>
                <w:p w14:paraId="6EAF9FE3">
                  <w:pPr>
                    <w:pStyle w:val="24"/>
                    <w:bidi w:val="0"/>
                    <w:ind w:firstLine="0" w:firstLineChars="0"/>
                    <w:jc w:val="center"/>
                    <w:rPr>
                      <w:rFonts w:hint="eastAsia"/>
                      <w:color w:val="auto"/>
                      <w:lang w:val="en-US" w:eastAsia="zh-CN"/>
                    </w:rPr>
                  </w:pPr>
                  <w:r>
                    <w:rPr>
                      <w:rFonts w:hint="eastAsia"/>
                      <w:color w:val="auto"/>
                      <w:lang w:val="en-US" w:eastAsia="zh-CN"/>
                    </w:rPr>
                    <w:t>西</w:t>
                  </w:r>
                </w:p>
              </w:tc>
              <w:tc>
                <w:tcPr>
                  <w:tcW w:w="459" w:type="pct"/>
                  <w:vAlign w:val="center"/>
                </w:tcPr>
                <w:p w14:paraId="7F4739C8">
                  <w:pPr>
                    <w:pStyle w:val="24"/>
                    <w:bidi w:val="0"/>
                    <w:jc w:val="center"/>
                    <w:rPr>
                      <w:rFonts w:hint="default"/>
                      <w:color w:val="auto"/>
                      <w:lang w:val="en-US" w:eastAsia="zh-CN"/>
                    </w:rPr>
                  </w:pPr>
                  <w:r>
                    <w:rPr>
                      <w:rFonts w:hint="eastAsia"/>
                      <w:color w:val="auto"/>
                      <w:lang w:val="en-US" w:eastAsia="zh-CN"/>
                    </w:rPr>
                    <w:t>13.8</w:t>
                  </w:r>
                </w:p>
              </w:tc>
              <w:tc>
                <w:tcPr>
                  <w:tcW w:w="503" w:type="pct"/>
                  <w:vAlign w:val="center"/>
                </w:tcPr>
                <w:p w14:paraId="5B494E5C">
                  <w:pPr>
                    <w:pStyle w:val="24"/>
                    <w:bidi w:val="0"/>
                    <w:jc w:val="center"/>
                    <w:rPr>
                      <w:rFonts w:hint="default"/>
                      <w:color w:val="auto"/>
                      <w:lang w:val="en-US" w:eastAsia="zh-CN"/>
                    </w:rPr>
                  </w:pPr>
                  <w:r>
                    <w:rPr>
                      <w:rFonts w:hint="eastAsia"/>
                      <w:color w:val="auto"/>
                      <w:lang w:val="en-US" w:eastAsia="zh-CN"/>
                    </w:rPr>
                    <w:t>67.2</w:t>
                  </w:r>
                </w:p>
              </w:tc>
              <w:tc>
                <w:tcPr>
                  <w:tcW w:w="287" w:type="pct"/>
                  <w:vMerge w:val="continue"/>
                  <w:vAlign w:val="center"/>
                </w:tcPr>
                <w:p w14:paraId="3D0013A0">
                  <w:pPr>
                    <w:pStyle w:val="24"/>
                    <w:bidi w:val="0"/>
                    <w:jc w:val="center"/>
                    <w:rPr>
                      <w:rFonts w:hint="default"/>
                      <w:color w:val="auto"/>
                      <w:lang w:val="en-US" w:eastAsia="zh-CN"/>
                    </w:rPr>
                  </w:pPr>
                </w:p>
              </w:tc>
              <w:tc>
                <w:tcPr>
                  <w:tcW w:w="362" w:type="pct"/>
                  <w:vMerge w:val="continue"/>
                  <w:vAlign w:val="center"/>
                </w:tcPr>
                <w:p w14:paraId="1EBB632E">
                  <w:pPr>
                    <w:pStyle w:val="24"/>
                    <w:bidi w:val="0"/>
                    <w:jc w:val="center"/>
                    <w:rPr>
                      <w:rFonts w:hint="default"/>
                      <w:color w:val="auto"/>
                      <w:lang w:val="en-US" w:eastAsia="zh-CN"/>
                    </w:rPr>
                  </w:pPr>
                </w:p>
              </w:tc>
              <w:tc>
                <w:tcPr>
                  <w:tcW w:w="490" w:type="pct"/>
                  <w:vAlign w:val="center"/>
                </w:tcPr>
                <w:p w14:paraId="40869E84">
                  <w:pPr>
                    <w:pStyle w:val="24"/>
                    <w:bidi w:val="0"/>
                    <w:jc w:val="center"/>
                    <w:rPr>
                      <w:rFonts w:hint="default"/>
                      <w:color w:val="auto"/>
                      <w:lang w:val="en-US" w:eastAsia="zh-CN"/>
                    </w:rPr>
                  </w:pPr>
                  <w:r>
                    <w:rPr>
                      <w:rFonts w:hint="eastAsia"/>
                      <w:color w:val="auto"/>
                      <w:lang w:val="en-US" w:eastAsia="zh-CN"/>
                    </w:rPr>
                    <w:t>47.2</w:t>
                  </w:r>
                </w:p>
              </w:tc>
              <w:tc>
                <w:tcPr>
                  <w:tcW w:w="276" w:type="pct"/>
                  <w:vMerge w:val="continue"/>
                  <w:vAlign w:val="center"/>
                </w:tcPr>
                <w:p w14:paraId="03BD28F2">
                  <w:pPr>
                    <w:pStyle w:val="24"/>
                    <w:bidi w:val="0"/>
                    <w:jc w:val="center"/>
                    <w:rPr>
                      <w:rFonts w:hint="eastAsia"/>
                      <w:color w:val="auto"/>
                      <w:lang w:val="en-US" w:eastAsia="zh-CN"/>
                    </w:rPr>
                  </w:pPr>
                </w:p>
              </w:tc>
            </w:tr>
            <w:tr w14:paraId="3199C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32F07FEA">
                  <w:pPr>
                    <w:pStyle w:val="24"/>
                    <w:bidi w:val="0"/>
                    <w:jc w:val="center"/>
                    <w:rPr>
                      <w:rFonts w:hint="default"/>
                      <w:color w:val="auto"/>
                      <w:lang w:val="en-US" w:eastAsia="zh-CN"/>
                    </w:rPr>
                  </w:pPr>
                </w:p>
              </w:tc>
              <w:tc>
                <w:tcPr>
                  <w:tcW w:w="266" w:type="pct"/>
                  <w:vMerge w:val="continue"/>
                  <w:vAlign w:val="center"/>
                </w:tcPr>
                <w:p w14:paraId="3DCFF84B">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6298CC1A">
                  <w:pPr>
                    <w:pStyle w:val="24"/>
                    <w:bidi w:val="0"/>
                    <w:jc w:val="center"/>
                    <w:rPr>
                      <w:rFonts w:hint="eastAsia"/>
                      <w:color w:val="auto"/>
                      <w:lang w:val="en-US" w:eastAsia="zh-CN"/>
                    </w:rPr>
                  </w:pPr>
                </w:p>
              </w:tc>
              <w:tc>
                <w:tcPr>
                  <w:tcW w:w="304" w:type="pct"/>
                  <w:vMerge w:val="continue"/>
                  <w:vAlign w:val="center"/>
                </w:tcPr>
                <w:p w14:paraId="2E26226F">
                  <w:pPr>
                    <w:pStyle w:val="24"/>
                    <w:bidi w:val="0"/>
                    <w:jc w:val="center"/>
                    <w:rPr>
                      <w:rFonts w:hint="default"/>
                      <w:color w:val="auto"/>
                      <w:lang w:val="en-US" w:eastAsia="zh-CN"/>
                    </w:rPr>
                  </w:pPr>
                </w:p>
              </w:tc>
              <w:tc>
                <w:tcPr>
                  <w:tcW w:w="399" w:type="pct"/>
                  <w:vMerge w:val="continue"/>
                  <w:vAlign w:val="center"/>
                </w:tcPr>
                <w:p w14:paraId="4CB6696C">
                  <w:pPr>
                    <w:pStyle w:val="24"/>
                    <w:bidi w:val="0"/>
                    <w:jc w:val="center"/>
                    <w:rPr>
                      <w:rFonts w:hint="eastAsia"/>
                      <w:color w:val="auto"/>
                      <w:lang w:val="en-US" w:eastAsia="zh-CN"/>
                    </w:rPr>
                  </w:pPr>
                </w:p>
              </w:tc>
              <w:tc>
                <w:tcPr>
                  <w:tcW w:w="380" w:type="pct"/>
                  <w:vMerge w:val="continue"/>
                  <w:vAlign w:val="center"/>
                </w:tcPr>
                <w:p w14:paraId="098068C3">
                  <w:pPr>
                    <w:pStyle w:val="24"/>
                    <w:bidi w:val="0"/>
                    <w:jc w:val="center"/>
                    <w:rPr>
                      <w:rFonts w:hint="eastAsia"/>
                      <w:color w:val="auto"/>
                      <w:lang w:val="en-US" w:eastAsia="zh-CN"/>
                    </w:rPr>
                  </w:pPr>
                </w:p>
              </w:tc>
              <w:tc>
                <w:tcPr>
                  <w:tcW w:w="318" w:type="pct"/>
                  <w:vMerge w:val="continue"/>
                  <w:vAlign w:val="center"/>
                </w:tcPr>
                <w:p w14:paraId="17093EB2">
                  <w:pPr>
                    <w:pStyle w:val="24"/>
                    <w:bidi w:val="0"/>
                    <w:jc w:val="center"/>
                    <w:rPr>
                      <w:rFonts w:hint="eastAsia"/>
                      <w:color w:val="auto"/>
                      <w:lang w:val="en-US" w:eastAsia="zh-CN"/>
                    </w:rPr>
                  </w:pPr>
                </w:p>
              </w:tc>
              <w:tc>
                <w:tcPr>
                  <w:tcW w:w="267" w:type="pct"/>
                  <w:vAlign w:val="center"/>
                </w:tcPr>
                <w:p w14:paraId="364469FA">
                  <w:pPr>
                    <w:pStyle w:val="24"/>
                    <w:bidi w:val="0"/>
                    <w:ind w:firstLine="0" w:firstLineChars="0"/>
                    <w:jc w:val="center"/>
                    <w:rPr>
                      <w:rFonts w:hint="eastAsia"/>
                      <w:color w:val="auto"/>
                      <w:lang w:val="en-US" w:eastAsia="zh-CN"/>
                    </w:rPr>
                  </w:pPr>
                  <w:r>
                    <w:rPr>
                      <w:rFonts w:hint="eastAsia"/>
                      <w:color w:val="auto"/>
                      <w:lang w:val="en-US" w:eastAsia="zh-CN"/>
                    </w:rPr>
                    <w:t>北</w:t>
                  </w:r>
                </w:p>
              </w:tc>
              <w:tc>
                <w:tcPr>
                  <w:tcW w:w="459" w:type="pct"/>
                  <w:vAlign w:val="center"/>
                </w:tcPr>
                <w:p w14:paraId="0C567DA2">
                  <w:pPr>
                    <w:pStyle w:val="24"/>
                    <w:bidi w:val="0"/>
                    <w:jc w:val="center"/>
                    <w:rPr>
                      <w:rFonts w:hint="default"/>
                      <w:color w:val="auto"/>
                      <w:lang w:val="en-US" w:eastAsia="zh-CN"/>
                    </w:rPr>
                  </w:pPr>
                  <w:r>
                    <w:rPr>
                      <w:rFonts w:hint="eastAsia"/>
                      <w:color w:val="auto"/>
                      <w:lang w:val="en-US" w:eastAsia="zh-CN"/>
                    </w:rPr>
                    <w:t>69</w:t>
                  </w:r>
                </w:p>
              </w:tc>
              <w:tc>
                <w:tcPr>
                  <w:tcW w:w="503" w:type="pct"/>
                  <w:vAlign w:val="center"/>
                </w:tcPr>
                <w:p w14:paraId="1B52B80F">
                  <w:pPr>
                    <w:pStyle w:val="24"/>
                    <w:bidi w:val="0"/>
                    <w:jc w:val="center"/>
                    <w:rPr>
                      <w:rFonts w:hint="default"/>
                      <w:color w:val="auto"/>
                      <w:lang w:val="en-US" w:eastAsia="zh-CN"/>
                    </w:rPr>
                  </w:pPr>
                  <w:r>
                    <w:rPr>
                      <w:rFonts w:hint="eastAsia"/>
                      <w:color w:val="auto"/>
                      <w:lang w:val="en-US" w:eastAsia="zh-CN"/>
                    </w:rPr>
                    <w:t>53.2</w:t>
                  </w:r>
                </w:p>
              </w:tc>
              <w:tc>
                <w:tcPr>
                  <w:tcW w:w="287" w:type="pct"/>
                  <w:vMerge w:val="continue"/>
                  <w:vAlign w:val="center"/>
                </w:tcPr>
                <w:p w14:paraId="07ED6FFA">
                  <w:pPr>
                    <w:pStyle w:val="24"/>
                    <w:bidi w:val="0"/>
                    <w:jc w:val="center"/>
                    <w:rPr>
                      <w:rFonts w:hint="default"/>
                      <w:color w:val="auto"/>
                      <w:lang w:val="en-US" w:eastAsia="zh-CN"/>
                    </w:rPr>
                  </w:pPr>
                </w:p>
              </w:tc>
              <w:tc>
                <w:tcPr>
                  <w:tcW w:w="362" w:type="pct"/>
                  <w:vMerge w:val="continue"/>
                  <w:vAlign w:val="center"/>
                </w:tcPr>
                <w:p w14:paraId="56B8BFD8">
                  <w:pPr>
                    <w:pStyle w:val="24"/>
                    <w:bidi w:val="0"/>
                    <w:jc w:val="center"/>
                    <w:rPr>
                      <w:rFonts w:hint="default"/>
                      <w:color w:val="auto"/>
                      <w:lang w:val="en-US" w:eastAsia="zh-CN"/>
                    </w:rPr>
                  </w:pPr>
                </w:p>
              </w:tc>
              <w:tc>
                <w:tcPr>
                  <w:tcW w:w="490" w:type="pct"/>
                  <w:vAlign w:val="center"/>
                </w:tcPr>
                <w:p w14:paraId="0F8868A5">
                  <w:pPr>
                    <w:pStyle w:val="24"/>
                    <w:bidi w:val="0"/>
                    <w:jc w:val="center"/>
                    <w:rPr>
                      <w:rFonts w:hint="default"/>
                      <w:color w:val="auto"/>
                      <w:lang w:val="en-US" w:eastAsia="zh-CN"/>
                    </w:rPr>
                  </w:pPr>
                  <w:r>
                    <w:rPr>
                      <w:rFonts w:hint="eastAsia"/>
                      <w:color w:val="auto"/>
                      <w:lang w:val="en-US" w:eastAsia="zh-CN"/>
                    </w:rPr>
                    <w:t>33.2</w:t>
                  </w:r>
                </w:p>
              </w:tc>
              <w:tc>
                <w:tcPr>
                  <w:tcW w:w="276" w:type="pct"/>
                  <w:vMerge w:val="continue"/>
                  <w:vAlign w:val="center"/>
                </w:tcPr>
                <w:p w14:paraId="6B1853C5">
                  <w:pPr>
                    <w:pStyle w:val="24"/>
                    <w:bidi w:val="0"/>
                    <w:jc w:val="center"/>
                    <w:rPr>
                      <w:rFonts w:hint="eastAsia"/>
                      <w:color w:val="auto"/>
                      <w:lang w:val="en-US" w:eastAsia="zh-CN"/>
                    </w:rPr>
                  </w:pPr>
                </w:p>
              </w:tc>
            </w:tr>
            <w:tr w14:paraId="64AA2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4F98CB0E">
                  <w:pPr>
                    <w:pStyle w:val="24"/>
                    <w:bidi w:val="0"/>
                    <w:jc w:val="center"/>
                    <w:rPr>
                      <w:rFonts w:hint="default"/>
                      <w:color w:val="4874CB" w:themeColor="accent1"/>
                      <w:lang w:val="en-US" w:eastAsia="zh-CN"/>
                      <w14:textFill>
                        <w14:solidFill>
                          <w14:schemeClr w14:val="accent1"/>
                        </w14:solidFill>
                      </w14:textFill>
                    </w:rPr>
                  </w:pPr>
                </w:p>
              </w:tc>
              <w:tc>
                <w:tcPr>
                  <w:tcW w:w="266" w:type="pct"/>
                  <w:vMerge w:val="restart"/>
                  <w:vAlign w:val="center"/>
                </w:tcPr>
                <w:p w14:paraId="6F624752">
                  <w:pPr>
                    <w:pStyle w:val="24"/>
                    <w:bidi w:val="0"/>
                    <w:jc w:val="center"/>
                    <w:rPr>
                      <w:rFonts w:hint="default" w:cs="Times New Roman"/>
                      <w:color w:val="4874CB" w:themeColor="accent1"/>
                      <w:szCs w:val="21"/>
                      <w:u w:val="none" w:color="auto"/>
                      <w:lang w:val="en-US" w:eastAsia="zh-CN"/>
                      <w14:textFill>
                        <w14:solidFill>
                          <w14:schemeClr w14:val="accent1"/>
                        </w14:solidFill>
                      </w14:textFill>
                    </w:rPr>
                  </w:pPr>
                  <w:r>
                    <w:rPr>
                      <w:rFonts w:hint="eastAsia"/>
                      <w:color w:val="auto"/>
                      <w:lang w:val="en-US" w:eastAsia="zh-CN"/>
                    </w:rPr>
                    <w:t>破碎机2</w:t>
                  </w:r>
                </w:p>
              </w:tc>
              <w:tc>
                <w:tcPr>
                  <w:tcW w:w="416" w:type="pct"/>
                  <w:vMerge w:val="restart"/>
                  <w:vAlign w:val="center"/>
                </w:tcPr>
                <w:p w14:paraId="74EE2DC5">
                  <w:pPr>
                    <w:pStyle w:val="24"/>
                    <w:bidi w:val="0"/>
                    <w:jc w:val="center"/>
                    <w:rPr>
                      <w:rFonts w:hint="default"/>
                      <w:color w:val="auto"/>
                      <w:lang w:val="en-US" w:eastAsia="zh-CN"/>
                    </w:rPr>
                  </w:pPr>
                  <w:r>
                    <w:rPr>
                      <w:rFonts w:hint="eastAsia"/>
                      <w:color w:val="auto"/>
                      <w:lang w:val="en-US" w:eastAsia="zh-CN"/>
                    </w:rPr>
                    <w:t>90</w:t>
                  </w:r>
                </w:p>
              </w:tc>
              <w:tc>
                <w:tcPr>
                  <w:tcW w:w="304" w:type="pct"/>
                  <w:vMerge w:val="continue"/>
                  <w:vAlign w:val="center"/>
                </w:tcPr>
                <w:p w14:paraId="2423AF09">
                  <w:pPr>
                    <w:pStyle w:val="24"/>
                    <w:bidi w:val="0"/>
                    <w:jc w:val="center"/>
                    <w:rPr>
                      <w:rFonts w:hint="default"/>
                      <w:color w:val="auto"/>
                      <w:lang w:val="en-US" w:eastAsia="zh-CN"/>
                    </w:rPr>
                  </w:pPr>
                </w:p>
              </w:tc>
              <w:tc>
                <w:tcPr>
                  <w:tcW w:w="399" w:type="pct"/>
                  <w:vMerge w:val="restart"/>
                  <w:vAlign w:val="center"/>
                </w:tcPr>
                <w:p w14:paraId="244ABEDA">
                  <w:pPr>
                    <w:pStyle w:val="24"/>
                    <w:bidi w:val="0"/>
                    <w:jc w:val="center"/>
                    <w:rPr>
                      <w:rFonts w:hint="default"/>
                      <w:color w:val="auto"/>
                      <w:lang w:val="en-US" w:eastAsia="zh-CN"/>
                    </w:rPr>
                  </w:pPr>
                  <w:r>
                    <w:rPr>
                      <w:rFonts w:hint="eastAsia"/>
                      <w:color w:val="auto"/>
                      <w:lang w:val="en-US" w:eastAsia="zh-CN"/>
                    </w:rPr>
                    <w:t>19.8</w:t>
                  </w:r>
                </w:p>
              </w:tc>
              <w:tc>
                <w:tcPr>
                  <w:tcW w:w="380" w:type="pct"/>
                  <w:vMerge w:val="restart"/>
                  <w:vAlign w:val="center"/>
                </w:tcPr>
                <w:p w14:paraId="6D63E2EF">
                  <w:pPr>
                    <w:pStyle w:val="24"/>
                    <w:bidi w:val="0"/>
                    <w:jc w:val="center"/>
                    <w:rPr>
                      <w:rFonts w:hint="default"/>
                      <w:color w:val="auto"/>
                      <w:lang w:val="en-US" w:eastAsia="zh-CN"/>
                    </w:rPr>
                  </w:pPr>
                  <w:r>
                    <w:rPr>
                      <w:rFonts w:hint="eastAsia"/>
                      <w:color w:val="auto"/>
                      <w:lang w:val="en-US" w:eastAsia="zh-CN"/>
                    </w:rPr>
                    <w:t>51</w:t>
                  </w:r>
                </w:p>
              </w:tc>
              <w:tc>
                <w:tcPr>
                  <w:tcW w:w="318" w:type="pct"/>
                  <w:vMerge w:val="restart"/>
                  <w:vAlign w:val="center"/>
                </w:tcPr>
                <w:p w14:paraId="2A45495E">
                  <w:pPr>
                    <w:pStyle w:val="24"/>
                    <w:bidi w:val="0"/>
                    <w:jc w:val="center"/>
                    <w:rPr>
                      <w:rFonts w:hint="default"/>
                      <w:color w:val="auto"/>
                      <w:lang w:val="en-US" w:eastAsia="zh-CN"/>
                    </w:rPr>
                  </w:pPr>
                  <w:r>
                    <w:rPr>
                      <w:rFonts w:hint="eastAsia"/>
                      <w:color w:val="auto"/>
                      <w:lang w:val="en-US" w:eastAsia="zh-CN"/>
                    </w:rPr>
                    <w:t>1.2</w:t>
                  </w:r>
                </w:p>
              </w:tc>
              <w:tc>
                <w:tcPr>
                  <w:tcW w:w="267" w:type="pct"/>
                  <w:vAlign w:val="center"/>
                </w:tcPr>
                <w:p w14:paraId="5C97D4AF">
                  <w:pPr>
                    <w:pStyle w:val="24"/>
                    <w:bidi w:val="0"/>
                    <w:ind w:firstLine="0" w:firstLineChars="0"/>
                    <w:jc w:val="center"/>
                    <w:rPr>
                      <w:rFonts w:hint="eastAsia"/>
                      <w:color w:val="auto"/>
                      <w:lang w:val="en-US" w:eastAsia="zh-CN"/>
                    </w:rPr>
                  </w:pPr>
                  <w:r>
                    <w:rPr>
                      <w:rFonts w:hint="eastAsia"/>
                      <w:color w:val="auto"/>
                      <w:lang w:val="en-US" w:eastAsia="zh-CN"/>
                    </w:rPr>
                    <w:t>东</w:t>
                  </w:r>
                </w:p>
              </w:tc>
              <w:tc>
                <w:tcPr>
                  <w:tcW w:w="459" w:type="pct"/>
                  <w:vAlign w:val="center"/>
                </w:tcPr>
                <w:p w14:paraId="5DCCAA08">
                  <w:pPr>
                    <w:pStyle w:val="24"/>
                    <w:bidi w:val="0"/>
                    <w:jc w:val="center"/>
                    <w:rPr>
                      <w:rFonts w:hint="default"/>
                      <w:color w:val="auto"/>
                      <w:lang w:val="en-US" w:eastAsia="zh-CN"/>
                    </w:rPr>
                  </w:pPr>
                  <w:r>
                    <w:rPr>
                      <w:rFonts w:hint="eastAsia"/>
                      <w:color w:val="auto"/>
                      <w:lang w:val="en-US" w:eastAsia="zh-CN"/>
                    </w:rPr>
                    <w:t>27.8</w:t>
                  </w:r>
                </w:p>
              </w:tc>
              <w:tc>
                <w:tcPr>
                  <w:tcW w:w="503" w:type="pct"/>
                  <w:vAlign w:val="center"/>
                </w:tcPr>
                <w:p w14:paraId="63F43067">
                  <w:pPr>
                    <w:pStyle w:val="24"/>
                    <w:bidi w:val="0"/>
                    <w:jc w:val="center"/>
                    <w:rPr>
                      <w:rFonts w:hint="default"/>
                      <w:color w:val="auto"/>
                      <w:lang w:val="en-US" w:eastAsia="zh-CN"/>
                    </w:rPr>
                  </w:pPr>
                  <w:r>
                    <w:rPr>
                      <w:rFonts w:hint="eastAsia"/>
                      <w:color w:val="auto"/>
                      <w:lang w:val="en-US" w:eastAsia="zh-CN"/>
                    </w:rPr>
                    <w:t>61.1</w:t>
                  </w:r>
                </w:p>
              </w:tc>
              <w:tc>
                <w:tcPr>
                  <w:tcW w:w="287" w:type="pct"/>
                  <w:vMerge w:val="continue"/>
                  <w:vAlign w:val="center"/>
                </w:tcPr>
                <w:p w14:paraId="5E4335DB">
                  <w:pPr>
                    <w:pStyle w:val="24"/>
                    <w:bidi w:val="0"/>
                    <w:jc w:val="center"/>
                    <w:rPr>
                      <w:rFonts w:hint="default"/>
                      <w:color w:val="auto"/>
                      <w:lang w:val="en-US" w:eastAsia="zh-CN"/>
                    </w:rPr>
                  </w:pPr>
                </w:p>
              </w:tc>
              <w:tc>
                <w:tcPr>
                  <w:tcW w:w="362" w:type="pct"/>
                  <w:vMerge w:val="restart"/>
                  <w:vAlign w:val="center"/>
                </w:tcPr>
                <w:p w14:paraId="1CA3D005">
                  <w:pPr>
                    <w:pStyle w:val="24"/>
                    <w:bidi w:val="0"/>
                    <w:jc w:val="center"/>
                    <w:rPr>
                      <w:rFonts w:hint="default"/>
                      <w:color w:val="auto"/>
                      <w:lang w:val="en-US" w:eastAsia="zh-CN"/>
                    </w:rPr>
                  </w:pPr>
                  <w:r>
                    <w:rPr>
                      <w:rFonts w:hint="eastAsia"/>
                      <w:color w:val="auto"/>
                      <w:lang w:val="en-US" w:eastAsia="zh-CN"/>
                    </w:rPr>
                    <w:t>20</w:t>
                  </w:r>
                </w:p>
              </w:tc>
              <w:tc>
                <w:tcPr>
                  <w:tcW w:w="490" w:type="pct"/>
                  <w:vAlign w:val="center"/>
                </w:tcPr>
                <w:p w14:paraId="24F747E6">
                  <w:pPr>
                    <w:pStyle w:val="24"/>
                    <w:bidi w:val="0"/>
                    <w:jc w:val="center"/>
                    <w:rPr>
                      <w:rFonts w:hint="default"/>
                      <w:color w:val="auto"/>
                      <w:lang w:val="en-US" w:eastAsia="zh-CN"/>
                    </w:rPr>
                  </w:pPr>
                  <w:r>
                    <w:rPr>
                      <w:rFonts w:hint="eastAsia"/>
                      <w:color w:val="auto"/>
                      <w:lang w:val="en-US" w:eastAsia="zh-CN"/>
                    </w:rPr>
                    <w:t>41.1</w:t>
                  </w:r>
                </w:p>
              </w:tc>
              <w:tc>
                <w:tcPr>
                  <w:tcW w:w="276" w:type="pct"/>
                  <w:vMerge w:val="restart"/>
                  <w:vAlign w:val="center"/>
                </w:tcPr>
                <w:p w14:paraId="190AFAC5">
                  <w:pPr>
                    <w:pStyle w:val="24"/>
                    <w:bidi w:val="0"/>
                    <w:jc w:val="center"/>
                    <w:rPr>
                      <w:rFonts w:hint="default"/>
                      <w:color w:val="auto"/>
                      <w:lang w:val="en-US" w:eastAsia="zh-CN"/>
                    </w:rPr>
                  </w:pPr>
                  <w:r>
                    <w:rPr>
                      <w:rFonts w:hint="eastAsia"/>
                      <w:color w:val="auto"/>
                      <w:lang w:val="en-US" w:eastAsia="zh-CN"/>
                    </w:rPr>
                    <w:t>1</w:t>
                  </w:r>
                </w:p>
              </w:tc>
            </w:tr>
            <w:tr w14:paraId="069D9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30E42A91">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022AA9C2">
                  <w:pPr>
                    <w:pStyle w:val="24"/>
                    <w:bidi w:val="0"/>
                    <w:jc w:val="center"/>
                    <w:rPr>
                      <w:rFonts w:hint="eastAsia" w:cs="Times New Roman"/>
                      <w:color w:val="4874CB" w:themeColor="accent1"/>
                      <w:szCs w:val="21"/>
                      <w:u w:val="none" w:color="auto"/>
                      <w:lang w:val="en-US" w:eastAsia="zh-CN"/>
                      <w14:textFill>
                        <w14:solidFill>
                          <w14:schemeClr w14:val="accent1"/>
                        </w14:solidFill>
                      </w14:textFill>
                    </w:rPr>
                  </w:pPr>
                </w:p>
              </w:tc>
              <w:tc>
                <w:tcPr>
                  <w:tcW w:w="416" w:type="pct"/>
                  <w:vMerge w:val="continue"/>
                  <w:vAlign w:val="center"/>
                </w:tcPr>
                <w:p w14:paraId="6C3F5617">
                  <w:pPr>
                    <w:pStyle w:val="24"/>
                    <w:bidi w:val="0"/>
                    <w:jc w:val="center"/>
                    <w:rPr>
                      <w:rFonts w:hint="eastAsia"/>
                      <w:color w:val="auto"/>
                      <w:lang w:val="en-US" w:eastAsia="zh-CN"/>
                    </w:rPr>
                  </w:pPr>
                </w:p>
              </w:tc>
              <w:tc>
                <w:tcPr>
                  <w:tcW w:w="304" w:type="pct"/>
                  <w:vMerge w:val="continue"/>
                  <w:vAlign w:val="center"/>
                </w:tcPr>
                <w:p w14:paraId="62BFED27">
                  <w:pPr>
                    <w:pStyle w:val="24"/>
                    <w:bidi w:val="0"/>
                    <w:jc w:val="center"/>
                    <w:rPr>
                      <w:rFonts w:hint="default"/>
                      <w:color w:val="auto"/>
                      <w:lang w:val="en-US" w:eastAsia="zh-CN"/>
                    </w:rPr>
                  </w:pPr>
                </w:p>
              </w:tc>
              <w:tc>
                <w:tcPr>
                  <w:tcW w:w="399" w:type="pct"/>
                  <w:vMerge w:val="continue"/>
                  <w:vAlign w:val="center"/>
                </w:tcPr>
                <w:p w14:paraId="7DA7B976">
                  <w:pPr>
                    <w:pStyle w:val="24"/>
                    <w:bidi w:val="0"/>
                    <w:jc w:val="center"/>
                    <w:rPr>
                      <w:rFonts w:hint="eastAsia"/>
                      <w:color w:val="auto"/>
                      <w:lang w:val="en-US" w:eastAsia="zh-CN"/>
                    </w:rPr>
                  </w:pPr>
                </w:p>
              </w:tc>
              <w:tc>
                <w:tcPr>
                  <w:tcW w:w="380" w:type="pct"/>
                  <w:vMerge w:val="continue"/>
                  <w:vAlign w:val="center"/>
                </w:tcPr>
                <w:p w14:paraId="7EA09D3F">
                  <w:pPr>
                    <w:pStyle w:val="24"/>
                    <w:bidi w:val="0"/>
                    <w:jc w:val="center"/>
                    <w:rPr>
                      <w:rFonts w:hint="eastAsia"/>
                      <w:color w:val="auto"/>
                      <w:lang w:val="en-US" w:eastAsia="zh-CN"/>
                    </w:rPr>
                  </w:pPr>
                </w:p>
              </w:tc>
              <w:tc>
                <w:tcPr>
                  <w:tcW w:w="318" w:type="pct"/>
                  <w:vMerge w:val="continue"/>
                  <w:vAlign w:val="center"/>
                </w:tcPr>
                <w:p w14:paraId="7882EC91">
                  <w:pPr>
                    <w:pStyle w:val="24"/>
                    <w:bidi w:val="0"/>
                    <w:jc w:val="center"/>
                    <w:rPr>
                      <w:rFonts w:hint="eastAsia"/>
                      <w:color w:val="auto"/>
                      <w:lang w:val="en-US" w:eastAsia="zh-CN"/>
                    </w:rPr>
                  </w:pPr>
                </w:p>
              </w:tc>
              <w:tc>
                <w:tcPr>
                  <w:tcW w:w="267" w:type="pct"/>
                  <w:vAlign w:val="center"/>
                </w:tcPr>
                <w:p w14:paraId="0BEF8B07">
                  <w:pPr>
                    <w:pStyle w:val="24"/>
                    <w:bidi w:val="0"/>
                    <w:ind w:firstLine="0" w:firstLineChars="0"/>
                    <w:jc w:val="center"/>
                    <w:rPr>
                      <w:rFonts w:hint="eastAsia"/>
                      <w:color w:val="auto"/>
                      <w:lang w:val="en-US" w:eastAsia="zh-CN"/>
                    </w:rPr>
                  </w:pPr>
                  <w:r>
                    <w:rPr>
                      <w:rFonts w:hint="eastAsia"/>
                      <w:color w:val="auto"/>
                      <w:lang w:val="en-US" w:eastAsia="zh-CN"/>
                    </w:rPr>
                    <w:t>南</w:t>
                  </w:r>
                </w:p>
              </w:tc>
              <w:tc>
                <w:tcPr>
                  <w:tcW w:w="459" w:type="pct"/>
                  <w:vAlign w:val="center"/>
                </w:tcPr>
                <w:p w14:paraId="3658233C">
                  <w:pPr>
                    <w:pStyle w:val="24"/>
                    <w:bidi w:val="0"/>
                    <w:jc w:val="center"/>
                    <w:rPr>
                      <w:rFonts w:hint="default"/>
                      <w:color w:val="auto"/>
                      <w:lang w:val="en-US" w:eastAsia="zh-CN"/>
                    </w:rPr>
                  </w:pPr>
                  <w:r>
                    <w:rPr>
                      <w:rFonts w:hint="eastAsia"/>
                      <w:color w:val="auto"/>
                      <w:lang w:val="en-US" w:eastAsia="zh-CN"/>
                    </w:rPr>
                    <w:t>40</w:t>
                  </w:r>
                </w:p>
              </w:tc>
              <w:tc>
                <w:tcPr>
                  <w:tcW w:w="503" w:type="pct"/>
                  <w:vAlign w:val="center"/>
                </w:tcPr>
                <w:p w14:paraId="1C7BA7C7">
                  <w:pPr>
                    <w:pStyle w:val="24"/>
                    <w:bidi w:val="0"/>
                    <w:jc w:val="center"/>
                    <w:rPr>
                      <w:rFonts w:hint="default"/>
                      <w:color w:val="auto"/>
                      <w:lang w:val="en-US" w:eastAsia="zh-CN"/>
                    </w:rPr>
                  </w:pPr>
                  <w:r>
                    <w:rPr>
                      <w:rFonts w:hint="eastAsia"/>
                      <w:color w:val="auto"/>
                      <w:lang w:val="en-US" w:eastAsia="zh-CN"/>
                    </w:rPr>
                    <w:t>57.9</w:t>
                  </w:r>
                </w:p>
              </w:tc>
              <w:tc>
                <w:tcPr>
                  <w:tcW w:w="287" w:type="pct"/>
                  <w:vMerge w:val="continue"/>
                  <w:vAlign w:val="center"/>
                </w:tcPr>
                <w:p w14:paraId="06666DCB">
                  <w:pPr>
                    <w:pStyle w:val="24"/>
                    <w:bidi w:val="0"/>
                    <w:jc w:val="center"/>
                    <w:rPr>
                      <w:rFonts w:hint="default"/>
                      <w:color w:val="auto"/>
                      <w:lang w:val="en-US" w:eastAsia="zh-CN"/>
                    </w:rPr>
                  </w:pPr>
                </w:p>
              </w:tc>
              <w:tc>
                <w:tcPr>
                  <w:tcW w:w="362" w:type="pct"/>
                  <w:vMerge w:val="continue"/>
                  <w:vAlign w:val="center"/>
                </w:tcPr>
                <w:p w14:paraId="4AACF85E">
                  <w:pPr>
                    <w:pStyle w:val="24"/>
                    <w:bidi w:val="0"/>
                    <w:jc w:val="center"/>
                    <w:rPr>
                      <w:rFonts w:hint="default"/>
                      <w:color w:val="auto"/>
                      <w:lang w:val="en-US" w:eastAsia="zh-CN"/>
                    </w:rPr>
                  </w:pPr>
                </w:p>
              </w:tc>
              <w:tc>
                <w:tcPr>
                  <w:tcW w:w="490" w:type="pct"/>
                  <w:vAlign w:val="center"/>
                </w:tcPr>
                <w:p w14:paraId="523FA6FD">
                  <w:pPr>
                    <w:pStyle w:val="24"/>
                    <w:bidi w:val="0"/>
                    <w:jc w:val="center"/>
                    <w:rPr>
                      <w:rFonts w:hint="default"/>
                      <w:color w:val="auto"/>
                      <w:lang w:val="en-US" w:eastAsia="zh-CN"/>
                    </w:rPr>
                  </w:pPr>
                  <w:r>
                    <w:rPr>
                      <w:rFonts w:hint="eastAsia"/>
                      <w:color w:val="auto"/>
                      <w:lang w:val="en-US" w:eastAsia="zh-CN"/>
                    </w:rPr>
                    <w:t>37.9</w:t>
                  </w:r>
                </w:p>
              </w:tc>
              <w:tc>
                <w:tcPr>
                  <w:tcW w:w="276" w:type="pct"/>
                  <w:vMerge w:val="continue"/>
                  <w:vAlign w:val="center"/>
                </w:tcPr>
                <w:p w14:paraId="74AF914C">
                  <w:pPr>
                    <w:pStyle w:val="24"/>
                    <w:bidi w:val="0"/>
                    <w:jc w:val="center"/>
                    <w:rPr>
                      <w:rFonts w:hint="eastAsia"/>
                      <w:color w:val="auto"/>
                      <w:lang w:val="en-US" w:eastAsia="zh-CN"/>
                    </w:rPr>
                  </w:pPr>
                </w:p>
              </w:tc>
            </w:tr>
            <w:tr w14:paraId="7089E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1832B95C">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645D959A">
                  <w:pPr>
                    <w:pStyle w:val="24"/>
                    <w:bidi w:val="0"/>
                    <w:jc w:val="center"/>
                    <w:rPr>
                      <w:rFonts w:hint="eastAsia" w:cs="Times New Roman"/>
                      <w:color w:val="4874CB" w:themeColor="accent1"/>
                      <w:szCs w:val="21"/>
                      <w:u w:val="none" w:color="auto"/>
                      <w:lang w:val="en-US" w:eastAsia="zh-CN"/>
                      <w14:textFill>
                        <w14:solidFill>
                          <w14:schemeClr w14:val="accent1"/>
                        </w14:solidFill>
                      </w14:textFill>
                    </w:rPr>
                  </w:pPr>
                </w:p>
              </w:tc>
              <w:tc>
                <w:tcPr>
                  <w:tcW w:w="416" w:type="pct"/>
                  <w:vMerge w:val="continue"/>
                  <w:vAlign w:val="center"/>
                </w:tcPr>
                <w:p w14:paraId="418105D9">
                  <w:pPr>
                    <w:pStyle w:val="24"/>
                    <w:bidi w:val="0"/>
                    <w:jc w:val="center"/>
                    <w:rPr>
                      <w:rFonts w:hint="eastAsia"/>
                      <w:color w:val="auto"/>
                      <w:lang w:val="en-US" w:eastAsia="zh-CN"/>
                    </w:rPr>
                  </w:pPr>
                </w:p>
              </w:tc>
              <w:tc>
                <w:tcPr>
                  <w:tcW w:w="304" w:type="pct"/>
                  <w:vMerge w:val="continue"/>
                  <w:vAlign w:val="center"/>
                </w:tcPr>
                <w:p w14:paraId="2C46C621">
                  <w:pPr>
                    <w:pStyle w:val="24"/>
                    <w:bidi w:val="0"/>
                    <w:jc w:val="center"/>
                    <w:rPr>
                      <w:rFonts w:hint="default"/>
                      <w:color w:val="auto"/>
                      <w:lang w:val="en-US" w:eastAsia="zh-CN"/>
                    </w:rPr>
                  </w:pPr>
                </w:p>
              </w:tc>
              <w:tc>
                <w:tcPr>
                  <w:tcW w:w="399" w:type="pct"/>
                  <w:vMerge w:val="continue"/>
                  <w:vAlign w:val="center"/>
                </w:tcPr>
                <w:p w14:paraId="2EB913F6">
                  <w:pPr>
                    <w:pStyle w:val="24"/>
                    <w:bidi w:val="0"/>
                    <w:jc w:val="center"/>
                    <w:rPr>
                      <w:rFonts w:hint="eastAsia"/>
                      <w:color w:val="auto"/>
                      <w:lang w:val="en-US" w:eastAsia="zh-CN"/>
                    </w:rPr>
                  </w:pPr>
                </w:p>
              </w:tc>
              <w:tc>
                <w:tcPr>
                  <w:tcW w:w="380" w:type="pct"/>
                  <w:vMerge w:val="continue"/>
                  <w:vAlign w:val="center"/>
                </w:tcPr>
                <w:p w14:paraId="7E651291">
                  <w:pPr>
                    <w:pStyle w:val="24"/>
                    <w:bidi w:val="0"/>
                    <w:jc w:val="center"/>
                    <w:rPr>
                      <w:rFonts w:hint="eastAsia"/>
                      <w:color w:val="auto"/>
                      <w:lang w:val="en-US" w:eastAsia="zh-CN"/>
                    </w:rPr>
                  </w:pPr>
                </w:p>
              </w:tc>
              <w:tc>
                <w:tcPr>
                  <w:tcW w:w="318" w:type="pct"/>
                  <w:vMerge w:val="continue"/>
                  <w:vAlign w:val="center"/>
                </w:tcPr>
                <w:p w14:paraId="01D9E5C1">
                  <w:pPr>
                    <w:pStyle w:val="24"/>
                    <w:bidi w:val="0"/>
                    <w:jc w:val="center"/>
                    <w:rPr>
                      <w:rFonts w:hint="eastAsia"/>
                      <w:color w:val="auto"/>
                      <w:lang w:val="en-US" w:eastAsia="zh-CN"/>
                    </w:rPr>
                  </w:pPr>
                </w:p>
              </w:tc>
              <w:tc>
                <w:tcPr>
                  <w:tcW w:w="267" w:type="pct"/>
                  <w:vAlign w:val="center"/>
                </w:tcPr>
                <w:p w14:paraId="0DFBB754">
                  <w:pPr>
                    <w:pStyle w:val="24"/>
                    <w:bidi w:val="0"/>
                    <w:ind w:firstLine="0" w:firstLineChars="0"/>
                    <w:jc w:val="center"/>
                    <w:rPr>
                      <w:rFonts w:hint="eastAsia"/>
                      <w:color w:val="auto"/>
                      <w:lang w:val="en-US" w:eastAsia="zh-CN"/>
                    </w:rPr>
                  </w:pPr>
                  <w:r>
                    <w:rPr>
                      <w:rFonts w:hint="eastAsia"/>
                      <w:color w:val="auto"/>
                      <w:lang w:val="en-US" w:eastAsia="zh-CN"/>
                    </w:rPr>
                    <w:t>西</w:t>
                  </w:r>
                </w:p>
              </w:tc>
              <w:tc>
                <w:tcPr>
                  <w:tcW w:w="459" w:type="pct"/>
                  <w:vAlign w:val="center"/>
                </w:tcPr>
                <w:p w14:paraId="04DDC884">
                  <w:pPr>
                    <w:pStyle w:val="24"/>
                    <w:bidi w:val="0"/>
                    <w:jc w:val="center"/>
                    <w:rPr>
                      <w:rFonts w:hint="default"/>
                      <w:color w:val="auto"/>
                      <w:lang w:val="en-US" w:eastAsia="zh-CN"/>
                    </w:rPr>
                  </w:pPr>
                  <w:r>
                    <w:rPr>
                      <w:rFonts w:hint="eastAsia"/>
                      <w:color w:val="auto"/>
                      <w:lang w:val="en-US" w:eastAsia="zh-CN"/>
                    </w:rPr>
                    <w:t>13.8</w:t>
                  </w:r>
                </w:p>
              </w:tc>
              <w:tc>
                <w:tcPr>
                  <w:tcW w:w="503" w:type="pct"/>
                  <w:vAlign w:val="center"/>
                </w:tcPr>
                <w:p w14:paraId="3DD38133">
                  <w:pPr>
                    <w:pStyle w:val="24"/>
                    <w:bidi w:val="0"/>
                    <w:jc w:val="center"/>
                    <w:rPr>
                      <w:rFonts w:hint="default"/>
                      <w:color w:val="auto"/>
                      <w:lang w:val="en-US" w:eastAsia="zh-CN"/>
                    </w:rPr>
                  </w:pPr>
                  <w:r>
                    <w:rPr>
                      <w:rFonts w:hint="eastAsia"/>
                      <w:color w:val="auto"/>
                      <w:lang w:val="en-US" w:eastAsia="zh-CN"/>
                    </w:rPr>
                    <w:t>67.2</w:t>
                  </w:r>
                </w:p>
              </w:tc>
              <w:tc>
                <w:tcPr>
                  <w:tcW w:w="287" w:type="pct"/>
                  <w:vMerge w:val="continue"/>
                  <w:vAlign w:val="center"/>
                </w:tcPr>
                <w:p w14:paraId="7D86E2B7">
                  <w:pPr>
                    <w:pStyle w:val="24"/>
                    <w:bidi w:val="0"/>
                    <w:jc w:val="center"/>
                    <w:rPr>
                      <w:rFonts w:hint="default"/>
                      <w:color w:val="auto"/>
                      <w:lang w:val="en-US" w:eastAsia="zh-CN"/>
                    </w:rPr>
                  </w:pPr>
                </w:p>
              </w:tc>
              <w:tc>
                <w:tcPr>
                  <w:tcW w:w="362" w:type="pct"/>
                  <w:vMerge w:val="continue"/>
                  <w:vAlign w:val="center"/>
                </w:tcPr>
                <w:p w14:paraId="4DDDDF1F">
                  <w:pPr>
                    <w:pStyle w:val="24"/>
                    <w:bidi w:val="0"/>
                    <w:jc w:val="center"/>
                    <w:rPr>
                      <w:rFonts w:hint="default"/>
                      <w:color w:val="auto"/>
                      <w:lang w:val="en-US" w:eastAsia="zh-CN"/>
                    </w:rPr>
                  </w:pPr>
                </w:p>
              </w:tc>
              <w:tc>
                <w:tcPr>
                  <w:tcW w:w="490" w:type="pct"/>
                  <w:vAlign w:val="center"/>
                </w:tcPr>
                <w:p w14:paraId="1D345DAE">
                  <w:pPr>
                    <w:pStyle w:val="24"/>
                    <w:bidi w:val="0"/>
                    <w:jc w:val="center"/>
                    <w:rPr>
                      <w:rFonts w:hint="default"/>
                      <w:color w:val="auto"/>
                      <w:lang w:val="en-US" w:eastAsia="zh-CN"/>
                    </w:rPr>
                  </w:pPr>
                  <w:r>
                    <w:rPr>
                      <w:rFonts w:hint="eastAsia"/>
                      <w:color w:val="auto"/>
                      <w:lang w:val="en-US" w:eastAsia="zh-CN"/>
                    </w:rPr>
                    <w:t>47.2</w:t>
                  </w:r>
                </w:p>
              </w:tc>
              <w:tc>
                <w:tcPr>
                  <w:tcW w:w="276" w:type="pct"/>
                  <w:vMerge w:val="continue"/>
                  <w:vAlign w:val="center"/>
                </w:tcPr>
                <w:p w14:paraId="6DDF7D96">
                  <w:pPr>
                    <w:pStyle w:val="24"/>
                    <w:bidi w:val="0"/>
                    <w:jc w:val="center"/>
                    <w:rPr>
                      <w:rFonts w:hint="eastAsia"/>
                      <w:color w:val="auto"/>
                      <w:lang w:val="en-US" w:eastAsia="zh-CN"/>
                    </w:rPr>
                  </w:pPr>
                </w:p>
              </w:tc>
            </w:tr>
            <w:tr w14:paraId="6CC9D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702CD7DE">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564D4BE1">
                  <w:pPr>
                    <w:pStyle w:val="24"/>
                    <w:bidi w:val="0"/>
                    <w:jc w:val="center"/>
                    <w:rPr>
                      <w:rFonts w:hint="eastAsia" w:cs="Times New Roman"/>
                      <w:color w:val="4874CB" w:themeColor="accent1"/>
                      <w:szCs w:val="21"/>
                      <w:u w:val="none" w:color="auto"/>
                      <w:lang w:val="en-US" w:eastAsia="zh-CN"/>
                      <w14:textFill>
                        <w14:solidFill>
                          <w14:schemeClr w14:val="accent1"/>
                        </w14:solidFill>
                      </w14:textFill>
                    </w:rPr>
                  </w:pPr>
                </w:p>
              </w:tc>
              <w:tc>
                <w:tcPr>
                  <w:tcW w:w="416" w:type="pct"/>
                  <w:vMerge w:val="continue"/>
                  <w:vAlign w:val="center"/>
                </w:tcPr>
                <w:p w14:paraId="3D8DED59">
                  <w:pPr>
                    <w:pStyle w:val="24"/>
                    <w:bidi w:val="0"/>
                    <w:jc w:val="center"/>
                    <w:rPr>
                      <w:rFonts w:hint="eastAsia"/>
                      <w:color w:val="auto"/>
                      <w:lang w:val="en-US" w:eastAsia="zh-CN"/>
                    </w:rPr>
                  </w:pPr>
                </w:p>
              </w:tc>
              <w:tc>
                <w:tcPr>
                  <w:tcW w:w="304" w:type="pct"/>
                  <w:vMerge w:val="continue"/>
                  <w:vAlign w:val="center"/>
                </w:tcPr>
                <w:p w14:paraId="5AC2B6F8">
                  <w:pPr>
                    <w:pStyle w:val="24"/>
                    <w:bidi w:val="0"/>
                    <w:jc w:val="center"/>
                    <w:rPr>
                      <w:rFonts w:hint="default"/>
                      <w:color w:val="auto"/>
                      <w:lang w:val="en-US" w:eastAsia="zh-CN"/>
                    </w:rPr>
                  </w:pPr>
                </w:p>
              </w:tc>
              <w:tc>
                <w:tcPr>
                  <w:tcW w:w="399" w:type="pct"/>
                  <w:vMerge w:val="continue"/>
                  <w:vAlign w:val="center"/>
                </w:tcPr>
                <w:p w14:paraId="61B3AA46">
                  <w:pPr>
                    <w:pStyle w:val="24"/>
                    <w:bidi w:val="0"/>
                    <w:jc w:val="center"/>
                    <w:rPr>
                      <w:rFonts w:hint="eastAsia"/>
                      <w:color w:val="auto"/>
                      <w:lang w:val="en-US" w:eastAsia="zh-CN"/>
                    </w:rPr>
                  </w:pPr>
                </w:p>
              </w:tc>
              <w:tc>
                <w:tcPr>
                  <w:tcW w:w="380" w:type="pct"/>
                  <w:vMerge w:val="continue"/>
                  <w:vAlign w:val="center"/>
                </w:tcPr>
                <w:p w14:paraId="2C67B469">
                  <w:pPr>
                    <w:pStyle w:val="24"/>
                    <w:bidi w:val="0"/>
                    <w:jc w:val="center"/>
                    <w:rPr>
                      <w:rFonts w:hint="eastAsia"/>
                      <w:color w:val="auto"/>
                      <w:lang w:val="en-US" w:eastAsia="zh-CN"/>
                    </w:rPr>
                  </w:pPr>
                </w:p>
              </w:tc>
              <w:tc>
                <w:tcPr>
                  <w:tcW w:w="318" w:type="pct"/>
                  <w:vMerge w:val="continue"/>
                  <w:vAlign w:val="center"/>
                </w:tcPr>
                <w:p w14:paraId="434F91A8">
                  <w:pPr>
                    <w:pStyle w:val="24"/>
                    <w:bidi w:val="0"/>
                    <w:jc w:val="center"/>
                    <w:rPr>
                      <w:rFonts w:hint="eastAsia"/>
                      <w:color w:val="auto"/>
                      <w:lang w:val="en-US" w:eastAsia="zh-CN"/>
                    </w:rPr>
                  </w:pPr>
                </w:p>
              </w:tc>
              <w:tc>
                <w:tcPr>
                  <w:tcW w:w="267" w:type="pct"/>
                  <w:vAlign w:val="center"/>
                </w:tcPr>
                <w:p w14:paraId="7D994EF8">
                  <w:pPr>
                    <w:pStyle w:val="24"/>
                    <w:bidi w:val="0"/>
                    <w:ind w:firstLine="0" w:firstLineChars="0"/>
                    <w:jc w:val="center"/>
                    <w:rPr>
                      <w:rFonts w:hint="eastAsia"/>
                      <w:color w:val="auto"/>
                      <w:lang w:val="en-US" w:eastAsia="zh-CN"/>
                    </w:rPr>
                  </w:pPr>
                  <w:r>
                    <w:rPr>
                      <w:rFonts w:hint="eastAsia"/>
                      <w:color w:val="auto"/>
                      <w:lang w:val="en-US" w:eastAsia="zh-CN"/>
                    </w:rPr>
                    <w:t>北</w:t>
                  </w:r>
                </w:p>
              </w:tc>
              <w:tc>
                <w:tcPr>
                  <w:tcW w:w="459" w:type="pct"/>
                  <w:vAlign w:val="center"/>
                </w:tcPr>
                <w:p w14:paraId="494B9570">
                  <w:pPr>
                    <w:pStyle w:val="24"/>
                    <w:bidi w:val="0"/>
                    <w:jc w:val="center"/>
                    <w:rPr>
                      <w:rFonts w:hint="default"/>
                      <w:color w:val="auto"/>
                      <w:lang w:val="en-US" w:eastAsia="zh-CN"/>
                    </w:rPr>
                  </w:pPr>
                  <w:r>
                    <w:rPr>
                      <w:rFonts w:hint="eastAsia"/>
                      <w:color w:val="auto"/>
                      <w:lang w:val="en-US" w:eastAsia="zh-CN"/>
                    </w:rPr>
                    <w:t>61</w:t>
                  </w:r>
                </w:p>
              </w:tc>
              <w:tc>
                <w:tcPr>
                  <w:tcW w:w="503" w:type="pct"/>
                  <w:vAlign w:val="center"/>
                </w:tcPr>
                <w:p w14:paraId="674AFC80">
                  <w:pPr>
                    <w:pStyle w:val="24"/>
                    <w:bidi w:val="0"/>
                    <w:jc w:val="center"/>
                    <w:rPr>
                      <w:rFonts w:hint="default"/>
                      <w:color w:val="auto"/>
                      <w:lang w:val="en-US" w:eastAsia="zh-CN"/>
                    </w:rPr>
                  </w:pPr>
                  <w:r>
                    <w:rPr>
                      <w:rFonts w:hint="eastAsia"/>
                      <w:color w:val="auto"/>
                      <w:lang w:val="en-US" w:eastAsia="zh-CN"/>
                    </w:rPr>
                    <w:t>54.3</w:t>
                  </w:r>
                </w:p>
              </w:tc>
              <w:tc>
                <w:tcPr>
                  <w:tcW w:w="287" w:type="pct"/>
                  <w:vMerge w:val="continue"/>
                  <w:vAlign w:val="center"/>
                </w:tcPr>
                <w:p w14:paraId="5859C01A">
                  <w:pPr>
                    <w:pStyle w:val="24"/>
                    <w:bidi w:val="0"/>
                    <w:jc w:val="center"/>
                    <w:rPr>
                      <w:rFonts w:hint="default"/>
                      <w:color w:val="auto"/>
                      <w:lang w:val="en-US" w:eastAsia="zh-CN"/>
                    </w:rPr>
                  </w:pPr>
                </w:p>
              </w:tc>
              <w:tc>
                <w:tcPr>
                  <w:tcW w:w="362" w:type="pct"/>
                  <w:vMerge w:val="continue"/>
                  <w:vAlign w:val="center"/>
                </w:tcPr>
                <w:p w14:paraId="1C8A7F25">
                  <w:pPr>
                    <w:pStyle w:val="24"/>
                    <w:bidi w:val="0"/>
                    <w:jc w:val="center"/>
                    <w:rPr>
                      <w:rFonts w:hint="default"/>
                      <w:color w:val="auto"/>
                      <w:lang w:val="en-US" w:eastAsia="zh-CN"/>
                    </w:rPr>
                  </w:pPr>
                </w:p>
              </w:tc>
              <w:tc>
                <w:tcPr>
                  <w:tcW w:w="490" w:type="pct"/>
                  <w:vAlign w:val="center"/>
                </w:tcPr>
                <w:p w14:paraId="79ED5819">
                  <w:pPr>
                    <w:pStyle w:val="24"/>
                    <w:bidi w:val="0"/>
                    <w:jc w:val="center"/>
                    <w:rPr>
                      <w:rFonts w:hint="default"/>
                      <w:color w:val="auto"/>
                      <w:lang w:val="en-US" w:eastAsia="zh-CN"/>
                    </w:rPr>
                  </w:pPr>
                  <w:r>
                    <w:rPr>
                      <w:rFonts w:hint="eastAsia"/>
                      <w:color w:val="auto"/>
                      <w:lang w:val="en-US" w:eastAsia="zh-CN"/>
                    </w:rPr>
                    <w:t>34.3</w:t>
                  </w:r>
                </w:p>
              </w:tc>
              <w:tc>
                <w:tcPr>
                  <w:tcW w:w="276" w:type="pct"/>
                  <w:vMerge w:val="continue"/>
                  <w:vAlign w:val="center"/>
                </w:tcPr>
                <w:p w14:paraId="51773ECA">
                  <w:pPr>
                    <w:pStyle w:val="24"/>
                    <w:bidi w:val="0"/>
                    <w:jc w:val="center"/>
                    <w:rPr>
                      <w:rFonts w:hint="eastAsia"/>
                      <w:color w:val="auto"/>
                      <w:lang w:val="en-US" w:eastAsia="zh-CN"/>
                    </w:rPr>
                  </w:pPr>
                </w:p>
              </w:tc>
            </w:tr>
            <w:tr w14:paraId="1490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60117CE7">
                  <w:pPr>
                    <w:pStyle w:val="24"/>
                    <w:bidi w:val="0"/>
                    <w:jc w:val="center"/>
                    <w:rPr>
                      <w:rFonts w:hint="default"/>
                      <w:color w:val="4874CB" w:themeColor="accent1"/>
                      <w:lang w:val="en-US" w:eastAsia="zh-CN"/>
                      <w14:textFill>
                        <w14:solidFill>
                          <w14:schemeClr w14:val="accent1"/>
                        </w14:solidFill>
                      </w14:textFill>
                    </w:rPr>
                  </w:pPr>
                </w:p>
              </w:tc>
              <w:tc>
                <w:tcPr>
                  <w:tcW w:w="266" w:type="pct"/>
                  <w:vMerge w:val="restart"/>
                  <w:vAlign w:val="center"/>
                </w:tcPr>
                <w:p w14:paraId="39E6CCE8">
                  <w:pPr>
                    <w:pStyle w:val="24"/>
                    <w:bidi w:val="0"/>
                    <w:jc w:val="center"/>
                    <w:rPr>
                      <w:rFonts w:hint="default" w:cs="Times New Roman"/>
                      <w:color w:val="auto"/>
                      <w:szCs w:val="21"/>
                      <w:u w:val="single" w:color="auto"/>
                      <w:lang w:val="en-US" w:eastAsia="zh-CN"/>
                    </w:rPr>
                  </w:pPr>
                  <w:r>
                    <w:rPr>
                      <w:rFonts w:hint="eastAsia" w:cs="Times New Roman"/>
                      <w:color w:val="auto"/>
                      <w:szCs w:val="21"/>
                      <w:u w:val="single" w:color="auto"/>
                      <w:lang w:val="en-US" w:eastAsia="zh-CN"/>
                    </w:rPr>
                    <w:t>造粒机组</w:t>
                  </w:r>
                </w:p>
              </w:tc>
              <w:tc>
                <w:tcPr>
                  <w:tcW w:w="416" w:type="pct"/>
                  <w:vMerge w:val="restart"/>
                  <w:vAlign w:val="center"/>
                </w:tcPr>
                <w:p w14:paraId="52DE0D5C">
                  <w:pPr>
                    <w:pStyle w:val="24"/>
                    <w:bidi w:val="0"/>
                    <w:jc w:val="center"/>
                    <w:rPr>
                      <w:rFonts w:hint="default"/>
                      <w:color w:val="auto"/>
                      <w:u w:val="single"/>
                      <w:lang w:val="en-US" w:eastAsia="zh-CN"/>
                    </w:rPr>
                  </w:pPr>
                  <w:r>
                    <w:rPr>
                      <w:rFonts w:hint="eastAsia"/>
                      <w:color w:val="auto"/>
                      <w:u w:val="single"/>
                      <w:lang w:val="en-US" w:eastAsia="zh-CN"/>
                    </w:rPr>
                    <w:t>97</w:t>
                  </w:r>
                </w:p>
              </w:tc>
              <w:tc>
                <w:tcPr>
                  <w:tcW w:w="304" w:type="pct"/>
                  <w:vMerge w:val="continue"/>
                  <w:vAlign w:val="center"/>
                </w:tcPr>
                <w:p w14:paraId="59313C63">
                  <w:pPr>
                    <w:pStyle w:val="24"/>
                    <w:bidi w:val="0"/>
                    <w:jc w:val="center"/>
                    <w:rPr>
                      <w:rFonts w:hint="default"/>
                      <w:color w:val="auto"/>
                      <w:u w:val="single"/>
                      <w:lang w:val="en-US" w:eastAsia="zh-CN"/>
                    </w:rPr>
                  </w:pPr>
                </w:p>
              </w:tc>
              <w:tc>
                <w:tcPr>
                  <w:tcW w:w="399" w:type="pct"/>
                  <w:vMerge w:val="restart"/>
                  <w:vAlign w:val="center"/>
                </w:tcPr>
                <w:p w14:paraId="5DA50176">
                  <w:pPr>
                    <w:pStyle w:val="24"/>
                    <w:bidi w:val="0"/>
                    <w:jc w:val="center"/>
                    <w:rPr>
                      <w:rFonts w:hint="default"/>
                      <w:color w:val="auto"/>
                      <w:u w:val="single"/>
                      <w:lang w:val="en-US" w:eastAsia="zh-CN"/>
                    </w:rPr>
                  </w:pPr>
                  <w:r>
                    <w:rPr>
                      <w:rFonts w:hint="eastAsia"/>
                      <w:color w:val="auto"/>
                      <w:u w:val="single"/>
                      <w:lang w:val="en-US" w:eastAsia="zh-CN"/>
                    </w:rPr>
                    <w:t>33.8</w:t>
                  </w:r>
                </w:p>
              </w:tc>
              <w:tc>
                <w:tcPr>
                  <w:tcW w:w="380" w:type="pct"/>
                  <w:vMerge w:val="restart"/>
                  <w:vAlign w:val="center"/>
                </w:tcPr>
                <w:p w14:paraId="27DBB3FA">
                  <w:pPr>
                    <w:pStyle w:val="24"/>
                    <w:bidi w:val="0"/>
                    <w:jc w:val="center"/>
                    <w:rPr>
                      <w:rFonts w:hint="default"/>
                      <w:color w:val="auto"/>
                      <w:u w:val="single"/>
                      <w:lang w:val="en-US" w:eastAsia="zh-CN"/>
                    </w:rPr>
                  </w:pPr>
                  <w:r>
                    <w:rPr>
                      <w:rFonts w:hint="eastAsia"/>
                      <w:color w:val="auto"/>
                      <w:u w:val="single"/>
                      <w:lang w:val="en-US" w:eastAsia="zh-CN"/>
                    </w:rPr>
                    <w:t>35</w:t>
                  </w:r>
                </w:p>
              </w:tc>
              <w:tc>
                <w:tcPr>
                  <w:tcW w:w="318" w:type="pct"/>
                  <w:vMerge w:val="restart"/>
                  <w:vAlign w:val="center"/>
                </w:tcPr>
                <w:p w14:paraId="04367E0B">
                  <w:pPr>
                    <w:pStyle w:val="24"/>
                    <w:bidi w:val="0"/>
                    <w:jc w:val="center"/>
                    <w:rPr>
                      <w:rFonts w:hint="default"/>
                      <w:color w:val="auto"/>
                      <w:u w:val="single"/>
                      <w:lang w:val="en-US" w:eastAsia="zh-CN"/>
                    </w:rPr>
                  </w:pPr>
                  <w:r>
                    <w:rPr>
                      <w:rFonts w:hint="eastAsia"/>
                      <w:color w:val="auto"/>
                      <w:u w:val="single"/>
                      <w:lang w:val="en-US" w:eastAsia="zh-CN"/>
                    </w:rPr>
                    <w:t>1.2</w:t>
                  </w:r>
                </w:p>
              </w:tc>
              <w:tc>
                <w:tcPr>
                  <w:tcW w:w="267" w:type="pct"/>
                  <w:vAlign w:val="center"/>
                </w:tcPr>
                <w:p w14:paraId="26531AB8">
                  <w:pPr>
                    <w:pStyle w:val="24"/>
                    <w:bidi w:val="0"/>
                    <w:ind w:firstLine="0" w:firstLineChars="0"/>
                    <w:jc w:val="center"/>
                    <w:rPr>
                      <w:rFonts w:hint="eastAsia"/>
                      <w:color w:val="auto"/>
                      <w:u w:val="single"/>
                      <w:lang w:val="en-US" w:eastAsia="zh-CN"/>
                    </w:rPr>
                  </w:pPr>
                  <w:r>
                    <w:rPr>
                      <w:rFonts w:hint="eastAsia"/>
                      <w:color w:val="auto"/>
                      <w:u w:val="single"/>
                      <w:lang w:val="en-US" w:eastAsia="zh-CN"/>
                    </w:rPr>
                    <w:t>东</w:t>
                  </w:r>
                </w:p>
              </w:tc>
              <w:tc>
                <w:tcPr>
                  <w:tcW w:w="459" w:type="pct"/>
                  <w:vAlign w:val="center"/>
                </w:tcPr>
                <w:p w14:paraId="49CF1E1D">
                  <w:pPr>
                    <w:pStyle w:val="24"/>
                    <w:bidi w:val="0"/>
                    <w:jc w:val="center"/>
                    <w:rPr>
                      <w:rFonts w:hint="eastAsia"/>
                      <w:color w:val="auto"/>
                      <w:u w:val="single"/>
                      <w:lang w:val="en-US" w:eastAsia="zh-CN"/>
                    </w:rPr>
                  </w:pPr>
                  <w:r>
                    <w:rPr>
                      <w:rFonts w:hint="eastAsia"/>
                      <w:color w:val="auto"/>
                      <w:u w:val="single"/>
                      <w:lang w:val="en-US" w:eastAsia="zh-CN"/>
                    </w:rPr>
                    <w:t>13.8</w:t>
                  </w:r>
                </w:p>
              </w:tc>
              <w:tc>
                <w:tcPr>
                  <w:tcW w:w="503" w:type="pct"/>
                  <w:vAlign w:val="center"/>
                </w:tcPr>
                <w:p w14:paraId="39A19F80">
                  <w:pPr>
                    <w:pStyle w:val="24"/>
                    <w:bidi w:val="0"/>
                    <w:jc w:val="center"/>
                    <w:rPr>
                      <w:rFonts w:hint="default"/>
                      <w:color w:val="auto"/>
                      <w:u w:val="single"/>
                      <w:lang w:val="en-US" w:eastAsia="zh-CN"/>
                    </w:rPr>
                  </w:pPr>
                  <w:r>
                    <w:rPr>
                      <w:rFonts w:hint="eastAsia"/>
                      <w:color w:val="auto"/>
                      <w:u w:val="single"/>
                      <w:lang w:val="en-US" w:eastAsia="zh-CN"/>
                    </w:rPr>
                    <w:t>74.2</w:t>
                  </w:r>
                </w:p>
              </w:tc>
              <w:tc>
                <w:tcPr>
                  <w:tcW w:w="287" w:type="pct"/>
                  <w:vMerge w:val="continue"/>
                  <w:vAlign w:val="center"/>
                </w:tcPr>
                <w:p w14:paraId="3D0E0911">
                  <w:pPr>
                    <w:pStyle w:val="24"/>
                    <w:bidi w:val="0"/>
                    <w:jc w:val="center"/>
                    <w:rPr>
                      <w:rFonts w:hint="default"/>
                      <w:color w:val="4874CB" w:themeColor="accent1"/>
                      <w:u w:val="single"/>
                      <w:lang w:val="en-US" w:eastAsia="zh-CN"/>
                      <w14:textFill>
                        <w14:solidFill>
                          <w14:schemeClr w14:val="accent1"/>
                        </w14:solidFill>
                      </w14:textFill>
                    </w:rPr>
                  </w:pPr>
                </w:p>
              </w:tc>
              <w:tc>
                <w:tcPr>
                  <w:tcW w:w="362" w:type="pct"/>
                  <w:vMerge w:val="restart"/>
                  <w:vAlign w:val="center"/>
                </w:tcPr>
                <w:p w14:paraId="79286743">
                  <w:pPr>
                    <w:pStyle w:val="24"/>
                    <w:bidi w:val="0"/>
                    <w:jc w:val="center"/>
                    <w:rPr>
                      <w:rFonts w:hint="default"/>
                      <w:color w:val="auto"/>
                      <w:u w:val="single"/>
                      <w:lang w:val="en-US" w:eastAsia="zh-CN"/>
                    </w:rPr>
                  </w:pPr>
                  <w:r>
                    <w:rPr>
                      <w:rFonts w:hint="eastAsia"/>
                      <w:color w:val="auto"/>
                      <w:u w:val="single"/>
                      <w:lang w:val="en-US" w:eastAsia="zh-CN"/>
                    </w:rPr>
                    <w:t>20</w:t>
                  </w:r>
                </w:p>
              </w:tc>
              <w:tc>
                <w:tcPr>
                  <w:tcW w:w="490" w:type="pct"/>
                  <w:vAlign w:val="center"/>
                </w:tcPr>
                <w:p w14:paraId="62BD092D">
                  <w:pPr>
                    <w:pStyle w:val="24"/>
                    <w:bidi w:val="0"/>
                    <w:jc w:val="center"/>
                    <w:rPr>
                      <w:rFonts w:hint="default"/>
                      <w:color w:val="auto"/>
                      <w:u w:val="single"/>
                      <w:lang w:val="en-US" w:eastAsia="zh-CN"/>
                    </w:rPr>
                  </w:pPr>
                  <w:r>
                    <w:rPr>
                      <w:rFonts w:hint="eastAsia"/>
                      <w:color w:val="auto"/>
                      <w:u w:val="single"/>
                      <w:lang w:val="en-US" w:eastAsia="zh-CN"/>
                    </w:rPr>
                    <w:t>54.2</w:t>
                  </w:r>
                </w:p>
              </w:tc>
              <w:tc>
                <w:tcPr>
                  <w:tcW w:w="276" w:type="pct"/>
                  <w:vMerge w:val="restart"/>
                  <w:vAlign w:val="center"/>
                </w:tcPr>
                <w:p w14:paraId="7CCC3F2E">
                  <w:pPr>
                    <w:pStyle w:val="24"/>
                    <w:bidi w:val="0"/>
                    <w:jc w:val="center"/>
                    <w:rPr>
                      <w:rFonts w:hint="default"/>
                      <w:color w:val="auto"/>
                      <w:lang w:val="en-US" w:eastAsia="zh-CN"/>
                    </w:rPr>
                  </w:pPr>
                  <w:r>
                    <w:rPr>
                      <w:rFonts w:hint="eastAsia"/>
                      <w:color w:val="auto"/>
                      <w:lang w:val="en-US" w:eastAsia="zh-CN"/>
                    </w:rPr>
                    <w:t>1</w:t>
                  </w:r>
                </w:p>
              </w:tc>
            </w:tr>
            <w:tr w14:paraId="3F7B1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383F2F69">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7BC81FD8">
                  <w:pPr>
                    <w:pStyle w:val="24"/>
                    <w:bidi w:val="0"/>
                    <w:jc w:val="center"/>
                    <w:rPr>
                      <w:rFonts w:hint="eastAsia" w:cs="Times New Roman"/>
                      <w:color w:val="auto"/>
                      <w:szCs w:val="21"/>
                      <w:u w:val="single" w:color="auto"/>
                      <w:lang w:val="en-US" w:eastAsia="zh-CN"/>
                    </w:rPr>
                  </w:pPr>
                </w:p>
              </w:tc>
              <w:tc>
                <w:tcPr>
                  <w:tcW w:w="416" w:type="pct"/>
                  <w:vMerge w:val="continue"/>
                  <w:vAlign w:val="center"/>
                </w:tcPr>
                <w:p w14:paraId="286EF84E">
                  <w:pPr>
                    <w:pStyle w:val="24"/>
                    <w:bidi w:val="0"/>
                    <w:jc w:val="center"/>
                    <w:rPr>
                      <w:rFonts w:hint="eastAsia"/>
                      <w:color w:val="auto"/>
                      <w:u w:val="single"/>
                      <w:lang w:val="en-US" w:eastAsia="zh-CN"/>
                    </w:rPr>
                  </w:pPr>
                </w:p>
              </w:tc>
              <w:tc>
                <w:tcPr>
                  <w:tcW w:w="304" w:type="pct"/>
                  <w:vMerge w:val="continue"/>
                  <w:vAlign w:val="center"/>
                </w:tcPr>
                <w:p w14:paraId="21C38A12">
                  <w:pPr>
                    <w:pStyle w:val="24"/>
                    <w:bidi w:val="0"/>
                    <w:jc w:val="center"/>
                    <w:rPr>
                      <w:rFonts w:hint="default"/>
                      <w:color w:val="auto"/>
                      <w:u w:val="single"/>
                      <w:lang w:val="en-US" w:eastAsia="zh-CN"/>
                    </w:rPr>
                  </w:pPr>
                </w:p>
              </w:tc>
              <w:tc>
                <w:tcPr>
                  <w:tcW w:w="399" w:type="pct"/>
                  <w:vMerge w:val="continue"/>
                  <w:vAlign w:val="center"/>
                </w:tcPr>
                <w:p w14:paraId="2DF80388">
                  <w:pPr>
                    <w:pStyle w:val="24"/>
                    <w:bidi w:val="0"/>
                    <w:jc w:val="center"/>
                    <w:rPr>
                      <w:rFonts w:hint="eastAsia"/>
                      <w:color w:val="auto"/>
                      <w:u w:val="single"/>
                      <w:lang w:val="en-US" w:eastAsia="zh-CN"/>
                    </w:rPr>
                  </w:pPr>
                </w:p>
              </w:tc>
              <w:tc>
                <w:tcPr>
                  <w:tcW w:w="380" w:type="pct"/>
                  <w:vMerge w:val="continue"/>
                  <w:vAlign w:val="center"/>
                </w:tcPr>
                <w:p w14:paraId="15343FD3">
                  <w:pPr>
                    <w:pStyle w:val="24"/>
                    <w:bidi w:val="0"/>
                    <w:jc w:val="center"/>
                    <w:rPr>
                      <w:rFonts w:hint="eastAsia"/>
                      <w:color w:val="auto"/>
                      <w:u w:val="single"/>
                      <w:lang w:val="en-US" w:eastAsia="zh-CN"/>
                    </w:rPr>
                  </w:pPr>
                </w:p>
              </w:tc>
              <w:tc>
                <w:tcPr>
                  <w:tcW w:w="318" w:type="pct"/>
                  <w:vMerge w:val="continue"/>
                  <w:vAlign w:val="center"/>
                </w:tcPr>
                <w:p w14:paraId="47024930">
                  <w:pPr>
                    <w:pStyle w:val="24"/>
                    <w:bidi w:val="0"/>
                    <w:jc w:val="center"/>
                    <w:rPr>
                      <w:rFonts w:hint="eastAsia"/>
                      <w:color w:val="auto"/>
                      <w:u w:val="single"/>
                      <w:lang w:val="en-US" w:eastAsia="zh-CN"/>
                    </w:rPr>
                  </w:pPr>
                </w:p>
              </w:tc>
              <w:tc>
                <w:tcPr>
                  <w:tcW w:w="267" w:type="pct"/>
                  <w:vAlign w:val="center"/>
                </w:tcPr>
                <w:p w14:paraId="2563D2BE">
                  <w:pPr>
                    <w:pStyle w:val="24"/>
                    <w:bidi w:val="0"/>
                    <w:ind w:firstLine="0" w:firstLineChars="0"/>
                    <w:jc w:val="center"/>
                    <w:rPr>
                      <w:rFonts w:hint="eastAsia"/>
                      <w:color w:val="auto"/>
                      <w:u w:val="single"/>
                      <w:lang w:val="en-US" w:eastAsia="zh-CN"/>
                    </w:rPr>
                  </w:pPr>
                  <w:r>
                    <w:rPr>
                      <w:rFonts w:hint="eastAsia"/>
                      <w:color w:val="auto"/>
                      <w:u w:val="single"/>
                      <w:lang w:val="en-US" w:eastAsia="zh-CN"/>
                    </w:rPr>
                    <w:t>南</w:t>
                  </w:r>
                </w:p>
              </w:tc>
              <w:tc>
                <w:tcPr>
                  <w:tcW w:w="459" w:type="pct"/>
                  <w:vAlign w:val="center"/>
                </w:tcPr>
                <w:p w14:paraId="1008FA25">
                  <w:pPr>
                    <w:pStyle w:val="24"/>
                    <w:bidi w:val="0"/>
                    <w:jc w:val="center"/>
                    <w:rPr>
                      <w:rFonts w:hint="default"/>
                      <w:color w:val="auto"/>
                      <w:u w:val="single"/>
                      <w:lang w:val="en-US" w:eastAsia="zh-CN"/>
                    </w:rPr>
                  </w:pPr>
                  <w:r>
                    <w:rPr>
                      <w:rFonts w:hint="eastAsia"/>
                      <w:color w:val="auto"/>
                      <w:u w:val="single"/>
                      <w:lang w:val="en-US" w:eastAsia="zh-CN"/>
                    </w:rPr>
                    <w:t>24</w:t>
                  </w:r>
                </w:p>
              </w:tc>
              <w:tc>
                <w:tcPr>
                  <w:tcW w:w="503" w:type="pct"/>
                  <w:vAlign w:val="center"/>
                </w:tcPr>
                <w:p w14:paraId="065392D1">
                  <w:pPr>
                    <w:pStyle w:val="24"/>
                    <w:bidi w:val="0"/>
                    <w:jc w:val="center"/>
                    <w:rPr>
                      <w:rFonts w:hint="default"/>
                      <w:color w:val="auto"/>
                      <w:u w:val="single"/>
                      <w:lang w:val="en-US" w:eastAsia="zh-CN"/>
                    </w:rPr>
                  </w:pPr>
                  <w:r>
                    <w:rPr>
                      <w:rFonts w:hint="eastAsia"/>
                      <w:color w:val="auto"/>
                      <w:u w:val="single"/>
                      <w:lang w:val="en-US" w:eastAsia="zh-CN"/>
                    </w:rPr>
                    <w:t>69.4</w:t>
                  </w:r>
                </w:p>
              </w:tc>
              <w:tc>
                <w:tcPr>
                  <w:tcW w:w="287" w:type="pct"/>
                  <w:vMerge w:val="continue"/>
                  <w:vAlign w:val="center"/>
                </w:tcPr>
                <w:p w14:paraId="07E6873E">
                  <w:pPr>
                    <w:pStyle w:val="24"/>
                    <w:bidi w:val="0"/>
                    <w:jc w:val="center"/>
                    <w:rPr>
                      <w:rFonts w:hint="default"/>
                      <w:color w:val="4874CB" w:themeColor="accent1"/>
                      <w:u w:val="single"/>
                      <w:lang w:val="en-US" w:eastAsia="zh-CN"/>
                      <w14:textFill>
                        <w14:solidFill>
                          <w14:schemeClr w14:val="accent1"/>
                        </w14:solidFill>
                      </w14:textFill>
                    </w:rPr>
                  </w:pPr>
                </w:p>
              </w:tc>
              <w:tc>
                <w:tcPr>
                  <w:tcW w:w="362" w:type="pct"/>
                  <w:vMerge w:val="continue"/>
                  <w:vAlign w:val="center"/>
                </w:tcPr>
                <w:p w14:paraId="57FF19DE">
                  <w:pPr>
                    <w:pStyle w:val="24"/>
                    <w:bidi w:val="0"/>
                    <w:jc w:val="center"/>
                    <w:rPr>
                      <w:rFonts w:hint="default"/>
                      <w:color w:val="auto"/>
                      <w:u w:val="single"/>
                      <w:lang w:val="en-US" w:eastAsia="zh-CN"/>
                    </w:rPr>
                  </w:pPr>
                </w:p>
              </w:tc>
              <w:tc>
                <w:tcPr>
                  <w:tcW w:w="490" w:type="pct"/>
                  <w:vAlign w:val="center"/>
                </w:tcPr>
                <w:p w14:paraId="133F202E">
                  <w:pPr>
                    <w:pStyle w:val="24"/>
                    <w:bidi w:val="0"/>
                    <w:jc w:val="center"/>
                    <w:rPr>
                      <w:rFonts w:hint="default"/>
                      <w:color w:val="auto"/>
                      <w:u w:val="single"/>
                      <w:lang w:val="en-US" w:eastAsia="zh-CN"/>
                    </w:rPr>
                  </w:pPr>
                  <w:r>
                    <w:rPr>
                      <w:rFonts w:hint="eastAsia"/>
                      <w:color w:val="auto"/>
                      <w:u w:val="single"/>
                      <w:lang w:val="en-US" w:eastAsia="zh-CN"/>
                    </w:rPr>
                    <w:t>49.4</w:t>
                  </w:r>
                </w:p>
              </w:tc>
              <w:tc>
                <w:tcPr>
                  <w:tcW w:w="276" w:type="pct"/>
                  <w:vMerge w:val="continue"/>
                  <w:vAlign w:val="center"/>
                </w:tcPr>
                <w:p w14:paraId="1D06A9E9">
                  <w:pPr>
                    <w:pStyle w:val="24"/>
                    <w:bidi w:val="0"/>
                    <w:jc w:val="center"/>
                    <w:rPr>
                      <w:rFonts w:hint="eastAsia"/>
                      <w:color w:val="auto"/>
                      <w:lang w:val="en-US" w:eastAsia="zh-CN"/>
                    </w:rPr>
                  </w:pPr>
                </w:p>
              </w:tc>
            </w:tr>
            <w:tr w14:paraId="5AD6A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7F608F16">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06A4B246">
                  <w:pPr>
                    <w:pStyle w:val="24"/>
                    <w:bidi w:val="0"/>
                    <w:jc w:val="center"/>
                    <w:rPr>
                      <w:rFonts w:hint="eastAsia" w:cs="Times New Roman"/>
                      <w:color w:val="auto"/>
                      <w:szCs w:val="21"/>
                      <w:u w:val="single" w:color="auto"/>
                      <w:lang w:val="en-US" w:eastAsia="zh-CN"/>
                    </w:rPr>
                  </w:pPr>
                </w:p>
              </w:tc>
              <w:tc>
                <w:tcPr>
                  <w:tcW w:w="416" w:type="pct"/>
                  <w:vMerge w:val="continue"/>
                  <w:vAlign w:val="center"/>
                </w:tcPr>
                <w:p w14:paraId="1597C061">
                  <w:pPr>
                    <w:pStyle w:val="24"/>
                    <w:bidi w:val="0"/>
                    <w:jc w:val="center"/>
                    <w:rPr>
                      <w:rFonts w:hint="eastAsia"/>
                      <w:color w:val="auto"/>
                      <w:u w:val="single"/>
                      <w:lang w:val="en-US" w:eastAsia="zh-CN"/>
                    </w:rPr>
                  </w:pPr>
                </w:p>
              </w:tc>
              <w:tc>
                <w:tcPr>
                  <w:tcW w:w="304" w:type="pct"/>
                  <w:vMerge w:val="continue"/>
                  <w:vAlign w:val="center"/>
                </w:tcPr>
                <w:p w14:paraId="38EE7E8B">
                  <w:pPr>
                    <w:pStyle w:val="24"/>
                    <w:bidi w:val="0"/>
                    <w:jc w:val="center"/>
                    <w:rPr>
                      <w:rFonts w:hint="default"/>
                      <w:color w:val="auto"/>
                      <w:u w:val="single"/>
                      <w:lang w:val="en-US" w:eastAsia="zh-CN"/>
                    </w:rPr>
                  </w:pPr>
                </w:p>
              </w:tc>
              <w:tc>
                <w:tcPr>
                  <w:tcW w:w="399" w:type="pct"/>
                  <w:vMerge w:val="continue"/>
                  <w:vAlign w:val="center"/>
                </w:tcPr>
                <w:p w14:paraId="3A803BF3">
                  <w:pPr>
                    <w:pStyle w:val="24"/>
                    <w:bidi w:val="0"/>
                    <w:jc w:val="center"/>
                    <w:rPr>
                      <w:rFonts w:hint="eastAsia"/>
                      <w:color w:val="auto"/>
                      <w:u w:val="single"/>
                      <w:lang w:val="en-US" w:eastAsia="zh-CN"/>
                    </w:rPr>
                  </w:pPr>
                </w:p>
              </w:tc>
              <w:tc>
                <w:tcPr>
                  <w:tcW w:w="380" w:type="pct"/>
                  <w:vMerge w:val="continue"/>
                  <w:vAlign w:val="center"/>
                </w:tcPr>
                <w:p w14:paraId="1CDBD0CA">
                  <w:pPr>
                    <w:pStyle w:val="24"/>
                    <w:bidi w:val="0"/>
                    <w:jc w:val="center"/>
                    <w:rPr>
                      <w:rFonts w:hint="eastAsia"/>
                      <w:color w:val="auto"/>
                      <w:u w:val="single"/>
                      <w:lang w:val="en-US" w:eastAsia="zh-CN"/>
                    </w:rPr>
                  </w:pPr>
                </w:p>
              </w:tc>
              <w:tc>
                <w:tcPr>
                  <w:tcW w:w="318" w:type="pct"/>
                  <w:vMerge w:val="continue"/>
                  <w:vAlign w:val="center"/>
                </w:tcPr>
                <w:p w14:paraId="20383BDD">
                  <w:pPr>
                    <w:pStyle w:val="24"/>
                    <w:bidi w:val="0"/>
                    <w:jc w:val="center"/>
                    <w:rPr>
                      <w:rFonts w:hint="eastAsia"/>
                      <w:color w:val="auto"/>
                      <w:u w:val="single"/>
                      <w:lang w:val="en-US" w:eastAsia="zh-CN"/>
                    </w:rPr>
                  </w:pPr>
                </w:p>
              </w:tc>
              <w:tc>
                <w:tcPr>
                  <w:tcW w:w="267" w:type="pct"/>
                  <w:vAlign w:val="center"/>
                </w:tcPr>
                <w:p w14:paraId="47F53A3E">
                  <w:pPr>
                    <w:pStyle w:val="24"/>
                    <w:bidi w:val="0"/>
                    <w:ind w:firstLine="0" w:firstLineChars="0"/>
                    <w:jc w:val="center"/>
                    <w:rPr>
                      <w:rFonts w:hint="eastAsia"/>
                      <w:color w:val="auto"/>
                      <w:u w:val="single"/>
                      <w:lang w:val="en-US" w:eastAsia="zh-CN"/>
                    </w:rPr>
                  </w:pPr>
                  <w:r>
                    <w:rPr>
                      <w:rFonts w:hint="eastAsia"/>
                      <w:color w:val="auto"/>
                      <w:u w:val="single"/>
                      <w:lang w:val="en-US" w:eastAsia="zh-CN"/>
                    </w:rPr>
                    <w:t>西</w:t>
                  </w:r>
                </w:p>
              </w:tc>
              <w:tc>
                <w:tcPr>
                  <w:tcW w:w="459" w:type="pct"/>
                  <w:vAlign w:val="center"/>
                </w:tcPr>
                <w:p w14:paraId="69CF5FD9">
                  <w:pPr>
                    <w:pStyle w:val="24"/>
                    <w:bidi w:val="0"/>
                    <w:jc w:val="center"/>
                    <w:rPr>
                      <w:rFonts w:hint="eastAsia"/>
                      <w:color w:val="auto"/>
                      <w:u w:val="single"/>
                      <w:lang w:val="en-US" w:eastAsia="zh-CN"/>
                    </w:rPr>
                  </w:pPr>
                  <w:r>
                    <w:rPr>
                      <w:rFonts w:hint="eastAsia"/>
                      <w:color w:val="auto"/>
                      <w:u w:val="single"/>
                      <w:lang w:val="en-US" w:eastAsia="zh-CN"/>
                    </w:rPr>
                    <w:t>27.8</w:t>
                  </w:r>
                </w:p>
              </w:tc>
              <w:tc>
                <w:tcPr>
                  <w:tcW w:w="503" w:type="pct"/>
                  <w:vAlign w:val="center"/>
                </w:tcPr>
                <w:p w14:paraId="107C8924">
                  <w:pPr>
                    <w:pStyle w:val="24"/>
                    <w:bidi w:val="0"/>
                    <w:jc w:val="center"/>
                    <w:rPr>
                      <w:rFonts w:hint="default"/>
                      <w:color w:val="auto"/>
                      <w:u w:val="single"/>
                      <w:lang w:val="en-US" w:eastAsia="zh-CN"/>
                    </w:rPr>
                  </w:pPr>
                  <w:r>
                    <w:rPr>
                      <w:rFonts w:hint="eastAsia"/>
                      <w:color w:val="auto"/>
                      <w:u w:val="single"/>
                      <w:lang w:val="en-US" w:eastAsia="zh-CN"/>
                    </w:rPr>
                    <w:t>68.1</w:t>
                  </w:r>
                </w:p>
              </w:tc>
              <w:tc>
                <w:tcPr>
                  <w:tcW w:w="287" w:type="pct"/>
                  <w:vMerge w:val="continue"/>
                  <w:vAlign w:val="center"/>
                </w:tcPr>
                <w:p w14:paraId="7D461CDB">
                  <w:pPr>
                    <w:pStyle w:val="24"/>
                    <w:bidi w:val="0"/>
                    <w:jc w:val="center"/>
                    <w:rPr>
                      <w:rFonts w:hint="default"/>
                      <w:color w:val="4874CB" w:themeColor="accent1"/>
                      <w:u w:val="single"/>
                      <w:lang w:val="en-US" w:eastAsia="zh-CN"/>
                      <w14:textFill>
                        <w14:solidFill>
                          <w14:schemeClr w14:val="accent1"/>
                        </w14:solidFill>
                      </w14:textFill>
                    </w:rPr>
                  </w:pPr>
                </w:p>
              </w:tc>
              <w:tc>
                <w:tcPr>
                  <w:tcW w:w="362" w:type="pct"/>
                  <w:vMerge w:val="continue"/>
                  <w:vAlign w:val="center"/>
                </w:tcPr>
                <w:p w14:paraId="50FB8C7A">
                  <w:pPr>
                    <w:pStyle w:val="24"/>
                    <w:bidi w:val="0"/>
                    <w:jc w:val="center"/>
                    <w:rPr>
                      <w:rFonts w:hint="default"/>
                      <w:color w:val="auto"/>
                      <w:u w:val="single"/>
                      <w:lang w:val="en-US" w:eastAsia="zh-CN"/>
                    </w:rPr>
                  </w:pPr>
                </w:p>
              </w:tc>
              <w:tc>
                <w:tcPr>
                  <w:tcW w:w="490" w:type="pct"/>
                  <w:vAlign w:val="center"/>
                </w:tcPr>
                <w:p w14:paraId="3912D099">
                  <w:pPr>
                    <w:pStyle w:val="24"/>
                    <w:bidi w:val="0"/>
                    <w:jc w:val="center"/>
                    <w:rPr>
                      <w:rFonts w:hint="default"/>
                      <w:color w:val="auto"/>
                      <w:u w:val="single"/>
                      <w:lang w:val="en-US" w:eastAsia="zh-CN"/>
                    </w:rPr>
                  </w:pPr>
                  <w:r>
                    <w:rPr>
                      <w:rFonts w:hint="eastAsia"/>
                      <w:color w:val="auto"/>
                      <w:u w:val="single"/>
                      <w:lang w:val="en-US" w:eastAsia="zh-CN"/>
                    </w:rPr>
                    <w:t>48.1</w:t>
                  </w:r>
                </w:p>
              </w:tc>
              <w:tc>
                <w:tcPr>
                  <w:tcW w:w="276" w:type="pct"/>
                  <w:vMerge w:val="continue"/>
                  <w:vAlign w:val="center"/>
                </w:tcPr>
                <w:p w14:paraId="0891B1F7">
                  <w:pPr>
                    <w:pStyle w:val="24"/>
                    <w:bidi w:val="0"/>
                    <w:jc w:val="center"/>
                    <w:rPr>
                      <w:rFonts w:hint="eastAsia"/>
                      <w:color w:val="auto"/>
                      <w:lang w:val="en-US" w:eastAsia="zh-CN"/>
                    </w:rPr>
                  </w:pPr>
                </w:p>
              </w:tc>
            </w:tr>
            <w:tr w14:paraId="59F4E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36ABBE08">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6E063ACB">
                  <w:pPr>
                    <w:pStyle w:val="24"/>
                    <w:bidi w:val="0"/>
                    <w:jc w:val="center"/>
                    <w:rPr>
                      <w:rFonts w:hint="eastAsia" w:cs="Times New Roman"/>
                      <w:color w:val="auto"/>
                      <w:szCs w:val="21"/>
                      <w:u w:val="single" w:color="auto"/>
                      <w:lang w:val="en-US" w:eastAsia="zh-CN"/>
                    </w:rPr>
                  </w:pPr>
                </w:p>
              </w:tc>
              <w:tc>
                <w:tcPr>
                  <w:tcW w:w="416" w:type="pct"/>
                  <w:vMerge w:val="continue"/>
                  <w:vAlign w:val="center"/>
                </w:tcPr>
                <w:p w14:paraId="29F5AE43">
                  <w:pPr>
                    <w:pStyle w:val="24"/>
                    <w:bidi w:val="0"/>
                    <w:jc w:val="center"/>
                    <w:rPr>
                      <w:rFonts w:hint="eastAsia"/>
                      <w:color w:val="auto"/>
                      <w:u w:val="single"/>
                      <w:lang w:val="en-US" w:eastAsia="zh-CN"/>
                    </w:rPr>
                  </w:pPr>
                </w:p>
              </w:tc>
              <w:tc>
                <w:tcPr>
                  <w:tcW w:w="304" w:type="pct"/>
                  <w:vMerge w:val="continue"/>
                  <w:vAlign w:val="center"/>
                </w:tcPr>
                <w:p w14:paraId="013A2B4A">
                  <w:pPr>
                    <w:pStyle w:val="24"/>
                    <w:bidi w:val="0"/>
                    <w:jc w:val="center"/>
                    <w:rPr>
                      <w:rFonts w:hint="default"/>
                      <w:color w:val="auto"/>
                      <w:u w:val="single"/>
                      <w:lang w:val="en-US" w:eastAsia="zh-CN"/>
                    </w:rPr>
                  </w:pPr>
                </w:p>
              </w:tc>
              <w:tc>
                <w:tcPr>
                  <w:tcW w:w="399" w:type="pct"/>
                  <w:vMerge w:val="continue"/>
                  <w:vAlign w:val="center"/>
                </w:tcPr>
                <w:p w14:paraId="6131B96F">
                  <w:pPr>
                    <w:pStyle w:val="24"/>
                    <w:bidi w:val="0"/>
                    <w:jc w:val="center"/>
                    <w:rPr>
                      <w:rFonts w:hint="eastAsia"/>
                      <w:color w:val="auto"/>
                      <w:u w:val="single"/>
                      <w:lang w:val="en-US" w:eastAsia="zh-CN"/>
                    </w:rPr>
                  </w:pPr>
                </w:p>
              </w:tc>
              <w:tc>
                <w:tcPr>
                  <w:tcW w:w="380" w:type="pct"/>
                  <w:vMerge w:val="continue"/>
                  <w:vAlign w:val="center"/>
                </w:tcPr>
                <w:p w14:paraId="2A6C54EB">
                  <w:pPr>
                    <w:pStyle w:val="24"/>
                    <w:bidi w:val="0"/>
                    <w:jc w:val="center"/>
                    <w:rPr>
                      <w:rFonts w:hint="eastAsia"/>
                      <w:color w:val="auto"/>
                      <w:u w:val="single"/>
                      <w:lang w:val="en-US" w:eastAsia="zh-CN"/>
                    </w:rPr>
                  </w:pPr>
                </w:p>
              </w:tc>
              <w:tc>
                <w:tcPr>
                  <w:tcW w:w="318" w:type="pct"/>
                  <w:vMerge w:val="continue"/>
                  <w:vAlign w:val="center"/>
                </w:tcPr>
                <w:p w14:paraId="44716627">
                  <w:pPr>
                    <w:pStyle w:val="24"/>
                    <w:bidi w:val="0"/>
                    <w:jc w:val="center"/>
                    <w:rPr>
                      <w:rFonts w:hint="eastAsia"/>
                      <w:color w:val="auto"/>
                      <w:u w:val="single"/>
                      <w:lang w:val="en-US" w:eastAsia="zh-CN"/>
                    </w:rPr>
                  </w:pPr>
                </w:p>
              </w:tc>
              <w:tc>
                <w:tcPr>
                  <w:tcW w:w="267" w:type="pct"/>
                  <w:vAlign w:val="center"/>
                </w:tcPr>
                <w:p w14:paraId="580282BA">
                  <w:pPr>
                    <w:pStyle w:val="24"/>
                    <w:bidi w:val="0"/>
                    <w:ind w:firstLine="0" w:firstLineChars="0"/>
                    <w:jc w:val="center"/>
                    <w:rPr>
                      <w:rFonts w:hint="eastAsia"/>
                      <w:color w:val="auto"/>
                      <w:u w:val="single"/>
                      <w:lang w:val="en-US" w:eastAsia="zh-CN"/>
                    </w:rPr>
                  </w:pPr>
                  <w:r>
                    <w:rPr>
                      <w:rFonts w:hint="eastAsia"/>
                      <w:color w:val="auto"/>
                      <w:u w:val="single"/>
                      <w:lang w:val="en-US" w:eastAsia="zh-CN"/>
                    </w:rPr>
                    <w:t>北</w:t>
                  </w:r>
                </w:p>
              </w:tc>
              <w:tc>
                <w:tcPr>
                  <w:tcW w:w="459" w:type="pct"/>
                  <w:vAlign w:val="center"/>
                </w:tcPr>
                <w:p w14:paraId="33A72F8A">
                  <w:pPr>
                    <w:pStyle w:val="24"/>
                    <w:bidi w:val="0"/>
                    <w:jc w:val="center"/>
                    <w:rPr>
                      <w:rFonts w:hint="default"/>
                      <w:color w:val="auto"/>
                      <w:u w:val="single"/>
                      <w:lang w:val="en-US" w:eastAsia="zh-CN"/>
                    </w:rPr>
                  </w:pPr>
                  <w:r>
                    <w:rPr>
                      <w:rFonts w:hint="eastAsia"/>
                      <w:color w:val="auto"/>
                      <w:u w:val="single"/>
                      <w:lang w:val="en-US" w:eastAsia="zh-CN"/>
                    </w:rPr>
                    <w:t>77</w:t>
                  </w:r>
                </w:p>
              </w:tc>
              <w:tc>
                <w:tcPr>
                  <w:tcW w:w="503" w:type="pct"/>
                  <w:vAlign w:val="center"/>
                </w:tcPr>
                <w:p w14:paraId="7FDA7FE9">
                  <w:pPr>
                    <w:pStyle w:val="24"/>
                    <w:bidi w:val="0"/>
                    <w:jc w:val="center"/>
                    <w:rPr>
                      <w:rFonts w:hint="default"/>
                      <w:color w:val="auto"/>
                      <w:u w:val="single"/>
                      <w:lang w:val="en-US" w:eastAsia="zh-CN"/>
                    </w:rPr>
                  </w:pPr>
                  <w:r>
                    <w:rPr>
                      <w:rFonts w:hint="eastAsia"/>
                      <w:color w:val="auto"/>
                      <w:u w:val="single"/>
                      <w:lang w:val="en-US" w:eastAsia="zh-CN"/>
                    </w:rPr>
                    <w:t>63.5</w:t>
                  </w:r>
                </w:p>
              </w:tc>
              <w:tc>
                <w:tcPr>
                  <w:tcW w:w="287" w:type="pct"/>
                  <w:vMerge w:val="continue"/>
                  <w:vAlign w:val="center"/>
                </w:tcPr>
                <w:p w14:paraId="2B7D1652">
                  <w:pPr>
                    <w:pStyle w:val="24"/>
                    <w:bidi w:val="0"/>
                    <w:jc w:val="center"/>
                    <w:rPr>
                      <w:rFonts w:hint="default"/>
                      <w:color w:val="4874CB" w:themeColor="accent1"/>
                      <w:u w:val="single"/>
                      <w:lang w:val="en-US" w:eastAsia="zh-CN"/>
                      <w14:textFill>
                        <w14:solidFill>
                          <w14:schemeClr w14:val="accent1"/>
                        </w14:solidFill>
                      </w14:textFill>
                    </w:rPr>
                  </w:pPr>
                </w:p>
              </w:tc>
              <w:tc>
                <w:tcPr>
                  <w:tcW w:w="362" w:type="pct"/>
                  <w:vMerge w:val="continue"/>
                  <w:vAlign w:val="center"/>
                </w:tcPr>
                <w:p w14:paraId="29EDD012">
                  <w:pPr>
                    <w:pStyle w:val="24"/>
                    <w:bidi w:val="0"/>
                    <w:jc w:val="center"/>
                    <w:rPr>
                      <w:rFonts w:hint="default"/>
                      <w:color w:val="auto"/>
                      <w:u w:val="single"/>
                      <w:lang w:val="en-US" w:eastAsia="zh-CN"/>
                    </w:rPr>
                  </w:pPr>
                </w:p>
              </w:tc>
              <w:tc>
                <w:tcPr>
                  <w:tcW w:w="490" w:type="pct"/>
                  <w:vAlign w:val="center"/>
                </w:tcPr>
                <w:p w14:paraId="323A2EF1">
                  <w:pPr>
                    <w:pStyle w:val="24"/>
                    <w:bidi w:val="0"/>
                    <w:jc w:val="center"/>
                    <w:rPr>
                      <w:rFonts w:hint="default"/>
                      <w:color w:val="auto"/>
                      <w:u w:val="single"/>
                      <w:lang w:val="en-US" w:eastAsia="zh-CN"/>
                    </w:rPr>
                  </w:pPr>
                  <w:r>
                    <w:rPr>
                      <w:rFonts w:hint="eastAsia"/>
                      <w:color w:val="auto"/>
                      <w:u w:val="single"/>
                      <w:lang w:val="en-US" w:eastAsia="zh-CN"/>
                    </w:rPr>
                    <w:t>43.5</w:t>
                  </w:r>
                </w:p>
              </w:tc>
              <w:tc>
                <w:tcPr>
                  <w:tcW w:w="276" w:type="pct"/>
                  <w:vMerge w:val="continue"/>
                  <w:vAlign w:val="center"/>
                </w:tcPr>
                <w:p w14:paraId="5BC0E140">
                  <w:pPr>
                    <w:pStyle w:val="24"/>
                    <w:bidi w:val="0"/>
                    <w:jc w:val="center"/>
                    <w:rPr>
                      <w:rFonts w:hint="eastAsia"/>
                      <w:color w:val="auto"/>
                      <w:lang w:val="en-US" w:eastAsia="zh-CN"/>
                    </w:rPr>
                  </w:pPr>
                </w:p>
              </w:tc>
            </w:tr>
            <w:tr w14:paraId="4C31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5F5DD381">
                  <w:pPr>
                    <w:pStyle w:val="24"/>
                    <w:bidi w:val="0"/>
                    <w:jc w:val="center"/>
                    <w:rPr>
                      <w:rFonts w:hint="default"/>
                      <w:color w:val="4874CB" w:themeColor="accent1"/>
                      <w:lang w:val="en-US" w:eastAsia="zh-CN"/>
                      <w14:textFill>
                        <w14:solidFill>
                          <w14:schemeClr w14:val="accent1"/>
                        </w14:solidFill>
                      </w14:textFill>
                    </w:rPr>
                  </w:pPr>
                </w:p>
              </w:tc>
              <w:tc>
                <w:tcPr>
                  <w:tcW w:w="266" w:type="pct"/>
                  <w:vMerge w:val="restart"/>
                  <w:vAlign w:val="center"/>
                </w:tcPr>
                <w:p w14:paraId="0CB3414C">
                  <w:pPr>
                    <w:pStyle w:val="24"/>
                    <w:bidi w:val="0"/>
                    <w:jc w:val="center"/>
                    <w:rPr>
                      <w:rFonts w:hint="default" w:cs="Times New Roman"/>
                      <w:color w:val="auto"/>
                      <w:szCs w:val="21"/>
                      <w:u w:val="none" w:color="auto"/>
                      <w:lang w:val="en-US" w:eastAsia="zh-CN"/>
                    </w:rPr>
                  </w:pPr>
                  <w:r>
                    <w:rPr>
                      <w:rFonts w:hint="eastAsia" w:cs="Times New Roman"/>
                      <w:color w:val="auto"/>
                      <w:szCs w:val="21"/>
                      <w:u w:val="none" w:color="auto"/>
                      <w:lang w:val="en-US" w:eastAsia="zh-CN"/>
                    </w:rPr>
                    <w:t>筛分机1</w:t>
                  </w:r>
                </w:p>
              </w:tc>
              <w:tc>
                <w:tcPr>
                  <w:tcW w:w="416" w:type="pct"/>
                  <w:vMerge w:val="restart"/>
                  <w:vAlign w:val="center"/>
                </w:tcPr>
                <w:p w14:paraId="74BA9787">
                  <w:pPr>
                    <w:pStyle w:val="24"/>
                    <w:bidi w:val="0"/>
                    <w:jc w:val="center"/>
                    <w:rPr>
                      <w:rFonts w:hint="default"/>
                      <w:color w:val="auto"/>
                      <w:lang w:val="en-US" w:eastAsia="zh-CN"/>
                    </w:rPr>
                  </w:pPr>
                  <w:r>
                    <w:rPr>
                      <w:rFonts w:hint="eastAsia"/>
                      <w:color w:val="auto"/>
                      <w:lang w:val="en-US" w:eastAsia="zh-CN"/>
                    </w:rPr>
                    <w:t>85</w:t>
                  </w:r>
                </w:p>
              </w:tc>
              <w:tc>
                <w:tcPr>
                  <w:tcW w:w="304" w:type="pct"/>
                  <w:vMerge w:val="continue"/>
                  <w:vAlign w:val="center"/>
                </w:tcPr>
                <w:p w14:paraId="596331C0">
                  <w:pPr>
                    <w:pStyle w:val="24"/>
                    <w:bidi w:val="0"/>
                    <w:jc w:val="center"/>
                    <w:rPr>
                      <w:rFonts w:hint="default"/>
                      <w:color w:val="auto"/>
                      <w:lang w:val="en-US" w:eastAsia="zh-CN"/>
                    </w:rPr>
                  </w:pPr>
                </w:p>
              </w:tc>
              <w:tc>
                <w:tcPr>
                  <w:tcW w:w="399" w:type="pct"/>
                  <w:vMerge w:val="restart"/>
                  <w:vAlign w:val="center"/>
                </w:tcPr>
                <w:p w14:paraId="02407814">
                  <w:pPr>
                    <w:pStyle w:val="24"/>
                    <w:bidi w:val="0"/>
                    <w:jc w:val="center"/>
                    <w:rPr>
                      <w:rFonts w:hint="eastAsia"/>
                      <w:color w:val="auto"/>
                      <w:lang w:val="en-US" w:eastAsia="zh-CN"/>
                    </w:rPr>
                  </w:pPr>
                  <w:r>
                    <w:rPr>
                      <w:rFonts w:hint="eastAsia"/>
                      <w:color w:val="auto"/>
                      <w:lang w:val="en-US" w:eastAsia="zh-CN"/>
                    </w:rPr>
                    <w:t>33.8</w:t>
                  </w:r>
                </w:p>
              </w:tc>
              <w:tc>
                <w:tcPr>
                  <w:tcW w:w="380" w:type="pct"/>
                  <w:vMerge w:val="restart"/>
                  <w:vAlign w:val="center"/>
                </w:tcPr>
                <w:p w14:paraId="64AF7A87">
                  <w:pPr>
                    <w:pStyle w:val="24"/>
                    <w:bidi w:val="0"/>
                    <w:jc w:val="center"/>
                    <w:rPr>
                      <w:rFonts w:hint="default"/>
                      <w:color w:val="auto"/>
                      <w:lang w:val="en-US" w:eastAsia="zh-CN"/>
                    </w:rPr>
                  </w:pPr>
                  <w:r>
                    <w:rPr>
                      <w:rFonts w:hint="eastAsia"/>
                      <w:color w:val="auto"/>
                      <w:lang w:val="en-US" w:eastAsia="zh-CN"/>
                    </w:rPr>
                    <w:t>51</w:t>
                  </w:r>
                </w:p>
              </w:tc>
              <w:tc>
                <w:tcPr>
                  <w:tcW w:w="318" w:type="pct"/>
                  <w:vMerge w:val="restart"/>
                  <w:vAlign w:val="center"/>
                </w:tcPr>
                <w:p w14:paraId="232AAA1F">
                  <w:pPr>
                    <w:pStyle w:val="24"/>
                    <w:bidi w:val="0"/>
                    <w:jc w:val="center"/>
                    <w:rPr>
                      <w:rFonts w:hint="eastAsia"/>
                      <w:color w:val="auto"/>
                      <w:lang w:val="en-US" w:eastAsia="zh-CN"/>
                    </w:rPr>
                  </w:pPr>
                  <w:r>
                    <w:rPr>
                      <w:rFonts w:hint="eastAsia"/>
                      <w:color w:val="auto"/>
                      <w:lang w:val="en-US" w:eastAsia="zh-CN"/>
                    </w:rPr>
                    <w:t>1.2</w:t>
                  </w:r>
                </w:p>
              </w:tc>
              <w:tc>
                <w:tcPr>
                  <w:tcW w:w="267" w:type="pct"/>
                  <w:vAlign w:val="center"/>
                </w:tcPr>
                <w:p w14:paraId="24BD5D63">
                  <w:pPr>
                    <w:pStyle w:val="24"/>
                    <w:bidi w:val="0"/>
                    <w:ind w:firstLine="0" w:firstLineChars="0"/>
                    <w:jc w:val="center"/>
                    <w:rPr>
                      <w:rFonts w:hint="eastAsia"/>
                      <w:color w:val="auto"/>
                      <w:lang w:val="en-US" w:eastAsia="zh-CN"/>
                    </w:rPr>
                  </w:pPr>
                  <w:r>
                    <w:rPr>
                      <w:rFonts w:hint="eastAsia"/>
                      <w:color w:val="auto"/>
                      <w:lang w:val="en-US" w:eastAsia="zh-CN"/>
                    </w:rPr>
                    <w:t>东</w:t>
                  </w:r>
                </w:p>
              </w:tc>
              <w:tc>
                <w:tcPr>
                  <w:tcW w:w="459" w:type="pct"/>
                  <w:vAlign w:val="center"/>
                </w:tcPr>
                <w:p w14:paraId="118C8162">
                  <w:pPr>
                    <w:pStyle w:val="24"/>
                    <w:bidi w:val="0"/>
                    <w:jc w:val="center"/>
                    <w:rPr>
                      <w:rFonts w:hint="eastAsia"/>
                      <w:color w:val="auto"/>
                      <w:lang w:val="en-US" w:eastAsia="zh-CN"/>
                    </w:rPr>
                  </w:pPr>
                  <w:r>
                    <w:rPr>
                      <w:rFonts w:hint="eastAsia"/>
                      <w:color w:val="auto"/>
                      <w:lang w:val="en-US" w:eastAsia="zh-CN"/>
                    </w:rPr>
                    <w:t>13.8</w:t>
                  </w:r>
                </w:p>
              </w:tc>
              <w:tc>
                <w:tcPr>
                  <w:tcW w:w="503" w:type="pct"/>
                  <w:vAlign w:val="center"/>
                </w:tcPr>
                <w:p w14:paraId="3F707923">
                  <w:pPr>
                    <w:pStyle w:val="24"/>
                    <w:bidi w:val="0"/>
                    <w:jc w:val="center"/>
                    <w:rPr>
                      <w:rFonts w:hint="eastAsia"/>
                      <w:color w:val="auto"/>
                      <w:lang w:val="en-US" w:eastAsia="zh-CN"/>
                    </w:rPr>
                  </w:pPr>
                  <w:r>
                    <w:rPr>
                      <w:rFonts w:hint="eastAsia"/>
                      <w:color w:val="auto"/>
                      <w:lang w:val="en-US" w:eastAsia="zh-CN"/>
                    </w:rPr>
                    <w:t>62.2</w:t>
                  </w:r>
                </w:p>
              </w:tc>
              <w:tc>
                <w:tcPr>
                  <w:tcW w:w="287" w:type="pct"/>
                  <w:vMerge w:val="continue"/>
                  <w:vAlign w:val="center"/>
                </w:tcPr>
                <w:p w14:paraId="43DE759F">
                  <w:pPr>
                    <w:pStyle w:val="24"/>
                    <w:bidi w:val="0"/>
                    <w:jc w:val="center"/>
                    <w:rPr>
                      <w:rFonts w:hint="default"/>
                      <w:color w:val="4874CB" w:themeColor="accent1"/>
                      <w:lang w:val="en-US" w:eastAsia="zh-CN"/>
                      <w14:textFill>
                        <w14:solidFill>
                          <w14:schemeClr w14:val="accent1"/>
                        </w14:solidFill>
                      </w14:textFill>
                    </w:rPr>
                  </w:pPr>
                </w:p>
              </w:tc>
              <w:tc>
                <w:tcPr>
                  <w:tcW w:w="362" w:type="pct"/>
                  <w:vMerge w:val="restart"/>
                  <w:vAlign w:val="center"/>
                </w:tcPr>
                <w:p w14:paraId="510F17FF">
                  <w:pPr>
                    <w:pStyle w:val="24"/>
                    <w:bidi w:val="0"/>
                    <w:jc w:val="center"/>
                    <w:rPr>
                      <w:rFonts w:hint="default"/>
                      <w:color w:val="auto"/>
                      <w:lang w:val="en-US" w:eastAsia="zh-CN"/>
                    </w:rPr>
                  </w:pPr>
                  <w:r>
                    <w:rPr>
                      <w:rFonts w:hint="eastAsia"/>
                      <w:color w:val="auto"/>
                      <w:lang w:val="en-US" w:eastAsia="zh-CN"/>
                    </w:rPr>
                    <w:t>20</w:t>
                  </w:r>
                </w:p>
              </w:tc>
              <w:tc>
                <w:tcPr>
                  <w:tcW w:w="490" w:type="pct"/>
                  <w:vAlign w:val="center"/>
                </w:tcPr>
                <w:p w14:paraId="3F2CCD5B">
                  <w:pPr>
                    <w:pStyle w:val="24"/>
                    <w:bidi w:val="0"/>
                    <w:jc w:val="center"/>
                    <w:rPr>
                      <w:rFonts w:hint="eastAsia"/>
                      <w:color w:val="auto"/>
                      <w:lang w:val="en-US" w:eastAsia="zh-CN"/>
                    </w:rPr>
                  </w:pPr>
                  <w:r>
                    <w:rPr>
                      <w:rFonts w:hint="eastAsia"/>
                      <w:color w:val="auto"/>
                      <w:lang w:val="en-US" w:eastAsia="zh-CN"/>
                    </w:rPr>
                    <w:t>42.2</w:t>
                  </w:r>
                </w:p>
              </w:tc>
              <w:tc>
                <w:tcPr>
                  <w:tcW w:w="276" w:type="pct"/>
                  <w:vMerge w:val="restart"/>
                  <w:vAlign w:val="center"/>
                </w:tcPr>
                <w:p w14:paraId="4CC51014">
                  <w:pPr>
                    <w:pStyle w:val="24"/>
                    <w:bidi w:val="0"/>
                    <w:jc w:val="center"/>
                    <w:rPr>
                      <w:rFonts w:hint="default"/>
                      <w:color w:val="auto"/>
                      <w:lang w:val="en-US" w:eastAsia="zh-CN"/>
                    </w:rPr>
                  </w:pPr>
                  <w:r>
                    <w:rPr>
                      <w:rFonts w:hint="eastAsia"/>
                      <w:color w:val="auto"/>
                      <w:lang w:val="en-US" w:eastAsia="zh-CN"/>
                    </w:rPr>
                    <w:t>1</w:t>
                  </w:r>
                </w:p>
              </w:tc>
            </w:tr>
            <w:tr w14:paraId="5E18C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66" w:type="pct"/>
                  <w:vMerge w:val="continue"/>
                  <w:vAlign w:val="center"/>
                </w:tcPr>
                <w:p w14:paraId="04E41B57">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5745D8AE">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56D67A3F">
                  <w:pPr>
                    <w:pStyle w:val="24"/>
                    <w:bidi w:val="0"/>
                    <w:jc w:val="center"/>
                    <w:rPr>
                      <w:rFonts w:hint="eastAsia"/>
                      <w:color w:val="auto"/>
                      <w:lang w:val="en-US" w:eastAsia="zh-CN"/>
                    </w:rPr>
                  </w:pPr>
                </w:p>
              </w:tc>
              <w:tc>
                <w:tcPr>
                  <w:tcW w:w="304" w:type="pct"/>
                  <w:vMerge w:val="continue"/>
                  <w:vAlign w:val="center"/>
                </w:tcPr>
                <w:p w14:paraId="0D0278D4">
                  <w:pPr>
                    <w:pStyle w:val="24"/>
                    <w:bidi w:val="0"/>
                    <w:jc w:val="center"/>
                    <w:rPr>
                      <w:rFonts w:hint="default"/>
                      <w:color w:val="auto"/>
                      <w:lang w:val="en-US" w:eastAsia="zh-CN"/>
                    </w:rPr>
                  </w:pPr>
                </w:p>
              </w:tc>
              <w:tc>
                <w:tcPr>
                  <w:tcW w:w="399" w:type="pct"/>
                  <w:vMerge w:val="continue"/>
                  <w:vAlign w:val="center"/>
                </w:tcPr>
                <w:p w14:paraId="3C9F9203">
                  <w:pPr>
                    <w:pStyle w:val="24"/>
                    <w:bidi w:val="0"/>
                    <w:jc w:val="center"/>
                    <w:rPr>
                      <w:rFonts w:hint="eastAsia"/>
                      <w:color w:val="auto"/>
                      <w:lang w:val="en-US" w:eastAsia="zh-CN"/>
                    </w:rPr>
                  </w:pPr>
                </w:p>
              </w:tc>
              <w:tc>
                <w:tcPr>
                  <w:tcW w:w="380" w:type="pct"/>
                  <w:vMerge w:val="continue"/>
                  <w:vAlign w:val="center"/>
                </w:tcPr>
                <w:p w14:paraId="7E693E8A">
                  <w:pPr>
                    <w:pStyle w:val="24"/>
                    <w:bidi w:val="0"/>
                    <w:jc w:val="center"/>
                    <w:rPr>
                      <w:rFonts w:hint="eastAsia"/>
                      <w:color w:val="auto"/>
                      <w:lang w:val="en-US" w:eastAsia="zh-CN"/>
                    </w:rPr>
                  </w:pPr>
                </w:p>
              </w:tc>
              <w:tc>
                <w:tcPr>
                  <w:tcW w:w="318" w:type="pct"/>
                  <w:vMerge w:val="continue"/>
                  <w:vAlign w:val="center"/>
                </w:tcPr>
                <w:p w14:paraId="359EDABD">
                  <w:pPr>
                    <w:pStyle w:val="24"/>
                    <w:bidi w:val="0"/>
                    <w:jc w:val="center"/>
                    <w:rPr>
                      <w:rFonts w:hint="eastAsia"/>
                      <w:color w:val="auto"/>
                      <w:lang w:val="en-US" w:eastAsia="zh-CN"/>
                    </w:rPr>
                  </w:pPr>
                </w:p>
              </w:tc>
              <w:tc>
                <w:tcPr>
                  <w:tcW w:w="267" w:type="pct"/>
                  <w:vAlign w:val="center"/>
                </w:tcPr>
                <w:p w14:paraId="17074167">
                  <w:pPr>
                    <w:pStyle w:val="24"/>
                    <w:bidi w:val="0"/>
                    <w:ind w:firstLine="0" w:firstLineChars="0"/>
                    <w:jc w:val="center"/>
                    <w:rPr>
                      <w:rFonts w:hint="eastAsia"/>
                      <w:color w:val="auto"/>
                      <w:lang w:val="en-US" w:eastAsia="zh-CN"/>
                    </w:rPr>
                  </w:pPr>
                  <w:r>
                    <w:rPr>
                      <w:rFonts w:hint="eastAsia"/>
                      <w:color w:val="auto"/>
                      <w:lang w:val="en-US" w:eastAsia="zh-CN"/>
                    </w:rPr>
                    <w:t>南</w:t>
                  </w:r>
                </w:p>
              </w:tc>
              <w:tc>
                <w:tcPr>
                  <w:tcW w:w="459" w:type="pct"/>
                  <w:vAlign w:val="center"/>
                </w:tcPr>
                <w:p w14:paraId="108507A9">
                  <w:pPr>
                    <w:pStyle w:val="24"/>
                    <w:bidi w:val="0"/>
                    <w:jc w:val="center"/>
                    <w:rPr>
                      <w:rFonts w:hint="default"/>
                      <w:color w:val="auto"/>
                      <w:lang w:val="en-US" w:eastAsia="zh-CN"/>
                    </w:rPr>
                  </w:pPr>
                  <w:r>
                    <w:rPr>
                      <w:rFonts w:hint="eastAsia"/>
                      <w:color w:val="auto"/>
                      <w:lang w:val="en-US" w:eastAsia="zh-CN"/>
                    </w:rPr>
                    <w:t>40</w:t>
                  </w:r>
                </w:p>
              </w:tc>
              <w:tc>
                <w:tcPr>
                  <w:tcW w:w="503" w:type="pct"/>
                  <w:vAlign w:val="center"/>
                </w:tcPr>
                <w:p w14:paraId="49D27197">
                  <w:pPr>
                    <w:pStyle w:val="24"/>
                    <w:bidi w:val="0"/>
                    <w:jc w:val="center"/>
                    <w:rPr>
                      <w:rFonts w:hint="default"/>
                      <w:color w:val="auto"/>
                      <w:lang w:val="en-US" w:eastAsia="zh-CN"/>
                    </w:rPr>
                  </w:pPr>
                  <w:r>
                    <w:rPr>
                      <w:rFonts w:hint="eastAsia"/>
                      <w:color w:val="auto"/>
                      <w:lang w:val="en-US" w:eastAsia="zh-CN"/>
                    </w:rPr>
                    <w:t>52.9</w:t>
                  </w:r>
                </w:p>
              </w:tc>
              <w:tc>
                <w:tcPr>
                  <w:tcW w:w="287" w:type="pct"/>
                  <w:vMerge w:val="continue"/>
                  <w:vAlign w:val="center"/>
                </w:tcPr>
                <w:p w14:paraId="741A4A3C">
                  <w:pPr>
                    <w:pStyle w:val="24"/>
                    <w:bidi w:val="0"/>
                    <w:jc w:val="center"/>
                    <w:rPr>
                      <w:rFonts w:hint="default"/>
                      <w:color w:val="4874CB" w:themeColor="accent1"/>
                      <w:lang w:val="en-US" w:eastAsia="zh-CN"/>
                      <w14:textFill>
                        <w14:solidFill>
                          <w14:schemeClr w14:val="accent1"/>
                        </w14:solidFill>
                      </w14:textFill>
                    </w:rPr>
                  </w:pPr>
                </w:p>
              </w:tc>
              <w:tc>
                <w:tcPr>
                  <w:tcW w:w="362" w:type="pct"/>
                  <w:vMerge w:val="continue"/>
                  <w:vAlign w:val="center"/>
                </w:tcPr>
                <w:p w14:paraId="32158553">
                  <w:pPr>
                    <w:pStyle w:val="24"/>
                    <w:bidi w:val="0"/>
                    <w:jc w:val="center"/>
                    <w:rPr>
                      <w:rFonts w:hint="default"/>
                      <w:color w:val="auto"/>
                      <w:lang w:val="en-US" w:eastAsia="zh-CN"/>
                    </w:rPr>
                  </w:pPr>
                </w:p>
              </w:tc>
              <w:tc>
                <w:tcPr>
                  <w:tcW w:w="490" w:type="pct"/>
                  <w:vAlign w:val="center"/>
                </w:tcPr>
                <w:p w14:paraId="30994C27">
                  <w:pPr>
                    <w:pStyle w:val="24"/>
                    <w:bidi w:val="0"/>
                    <w:jc w:val="center"/>
                    <w:rPr>
                      <w:rFonts w:hint="default"/>
                      <w:color w:val="auto"/>
                      <w:lang w:val="en-US" w:eastAsia="zh-CN"/>
                    </w:rPr>
                  </w:pPr>
                  <w:r>
                    <w:rPr>
                      <w:rFonts w:hint="eastAsia"/>
                      <w:color w:val="auto"/>
                      <w:lang w:val="en-US" w:eastAsia="zh-CN"/>
                    </w:rPr>
                    <w:t>32.9</w:t>
                  </w:r>
                </w:p>
              </w:tc>
              <w:tc>
                <w:tcPr>
                  <w:tcW w:w="276" w:type="pct"/>
                  <w:vMerge w:val="continue"/>
                  <w:vAlign w:val="center"/>
                </w:tcPr>
                <w:p w14:paraId="39E40D87">
                  <w:pPr>
                    <w:pStyle w:val="24"/>
                    <w:bidi w:val="0"/>
                    <w:jc w:val="center"/>
                    <w:rPr>
                      <w:rFonts w:hint="eastAsia"/>
                      <w:color w:val="auto"/>
                      <w:lang w:val="en-US" w:eastAsia="zh-CN"/>
                    </w:rPr>
                  </w:pPr>
                </w:p>
              </w:tc>
            </w:tr>
            <w:tr w14:paraId="1BA18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2F7480CA">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56FB5CAC">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4356186B">
                  <w:pPr>
                    <w:pStyle w:val="24"/>
                    <w:bidi w:val="0"/>
                    <w:jc w:val="center"/>
                    <w:rPr>
                      <w:rFonts w:hint="eastAsia"/>
                      <w:color w:val="auto"/>
                      <w:lang w:val="en-US" w:eastAsia="zh-CN"/>
                    </w:rPr>
                  </w:pPr>
                </w:p>
              </w:tc>
              <w:tc>
                <w:tcPr>
                  <w:tcW w:w="304" w:type="pct"/>
                  <w:vMerge w:val="continue"/>
                  <w:vAlign w:val="center"/>
                </w:tcPr>
                <w:p w14:paraId="151D4CA5">
                  <w:pPr>
                    <w:pStyle w:val="24"/>
                    <w:bidi w:val="0"/>
                    <w:jc w:val="center"/>
                    <w:rPr>
                      <w:rFonts w:hint="default"/>
                      <w:color w:val="auto"/>
                      <w:lang w:val="en-US" w:eastAsia="zh-CN"/>
                    </w:rPr>
                  </w:pPr>
                </w:p>
              </w:tc>
              <w:tc>
                <w:tcPr>
                  <w:tcW w:w="399" w:type="pct"/>
                  <w:vMerge w:val="continue"/>
                  <w:vAlign w:val="center"/>
                </w:tcPr>
                <w:p w14:paraId="1A814E82">
                  <w:pPr>
                    <w:pStyle w:val="24"/>
                    <w:bidi w:val="0"/>
                    <w:jc w:val="center"/>
                    <w:rPr>
                      <w:rFonts w:hint="eastAsia"/>
                      <w:color w:val="auto"/>
                      <w:lang w:val="en-US" w:eastAsia="zh-CN"/>
                    </w:rPr>
                  </w:pPr>
                </w:p>
              </w:tc>
              <w:tc>
                <w:tcPr>
                  <w:tcW w:w="380" w:type="pct"/>
                  <w:vMerge w:val="continue"/>
                  <w:vAlign w:val="center"/>
                </w:tcPr>
                <w:p w14:paraId="1F4672E7">
                  <w:pPr>
                    <w:pStyle w:val="24"/>
                    <w:bidi w:val="0"/>
                    <w:jc w:val="center"/>
                    <w:rPr>
                      <w:rFonts w:hint="eastAsia"/>
                      <w:color w:val="auto"/>
                      <w:lang w:val="en-US" w:eastAsia="zh-CN"/>
                    </w:rPr>
                  </w:pPr>
                </w:p>
              </w:tc>
              <w:tc>
                <w:tcPr>
                  <w:tcW w:w="318" w:type="pct"/>
                  <w:vMerge w:val="continue"/>
                  <w:vAlign w:val="center"/>
                </w:tcPr>
                <w:p w14:paraId="05D4BFC5">
                  <w:pPr>
                    <w:pStyle w:val="24"/>
                    <w:bidi w:val="0"/>
                    <w:jc w:val="center"/>
                    <w:rPr>
                      <w:rFonts w:hint="eastAsia"/>
                      <w:color w:val="auto"/>
                      <w:lang w:val="en-US" w:eastAsia="zh-CN"/>
                    </w:rPr>
                  </w:pPr>
                </w:p>
              </w:tc>
              <w:tc>
                <w:tcPr>
                  <w:tcW w:w="267" w:type="pct"/>
                  <w:vAlign w:val="center"/>
                </w:tcPr>
                <w:p w14:paraId="5AA1D7EB">
                  <w:pPr>
                    <w:pStyle w:val="24"/>
                    <w:bidi w:val="0"/>
                    <w:ind w:firstLine="0" w:firstLineChars="0"/>
                    <w:jc w:val="center"/>
                    <w:rPr>
                      <w:rFonts w:hint="eastAsia"/>
                      <w:color w:val="auto"/>
                      <w:lang w:val="en-US" w:eastAsia="zh-CN"/>
                    </w:rPr>
                  </w:pPr>
                  <w:r>
                    <w:rPr>
                      <w:rFonts w:hint="eastAsia"/>
                      <w:color w:val="auto"/>
                      <w:lang w:val="en-US" w:eastAsia="zh-CN"/>
                    </w:rPr>
                    <w:t>西</w:t>
                  </w:r>
                </w:p>
              </w:tc>
              <w:tc>
                <w:tcPr>
                  <w:tcW w:w="459" w:type="pct"/>
                  <w:vAlign w:val="center"/>
                </w:tcPr>
                <w:p w14:paraId="78FD6CCE">
                  <w:pPr>
                    <w:pStyle w:val="24"/>
                    <w:bidi w:val="0"/>
                    <w:jc w:val="center"/>
                    <w:rPr>
                      <w:rFonts w:hint="eastAsia"/>
                      <w:color w:val="auto"/>
                      <w:lang w:val="en-US" w:eastAsia="zh-CN"/>
                    </w:rPr>
                  </w:pPr>
                  <w:r>
                    <w:rPr>
                      <w:rFonts w:hint="eastAsia"/>
                      <w:color w:val="auto"/>
                      <w:lang w:val="en-US" w:eastAsia="zh-CN"/>
                    </w:rPr>
                    <w:t>27.8</w:t>
                  </w:r>
                </w:p>
              </w:tc>
              <w:tc>
                <w:tcPr>
                  <w:tcW w:w="503" w:type="pct"/>
                  <w:vAlign w:val="center"/>
                </w:tcPr>
                <w:p w14:paraId="1722F693">
                  <w:pPr>
                    <w:pStyle w:val="24"/>
                    <w:bidi w:val="0"/>
                    <w:jc w:val="center"/>
                    <w:rPr>
                      <w:rFonts w:hint="eastAsia"/>
                      <w:color w:val="auto"/>
                      <w:lang w:val="en-US" w:eastAsia="zh-CN"/>
                    </w:rPr>
                  </w:pPr>
                  <w:r>
                    <w:rPr>
                      <w:rFonts w:hint="eastAsia"/>
                      <w:color w:val="auto"/>
                      <w:lang w:val="en-US" w:eastAsia="zh-CN"/>
                    </w:rPr>
                    <w:t>56.1</w:t>
                  </w:r>
                </w:p>
              </w:tc>
              <w:tc>
                <w:tcPr>
                  <w:tcW w:w="287" w:type="pct"/>
                  <w:vMerge w:val="continue"/>
                  <w:vAlign w:val="center"/>
                </w:tcPr>
                <w:p w14:paraId="3184EFC6">
                  <w:pPr>
                    <w:pStyle w:val="24"/>
                    <w:bidi w:val="0"/>
                    <w:jc w:val="center"/>
                    <w:rPr>
                      <w:rFonts w:hint="default"/>
                      <w:color w:val="4874CB" w:themeColor="accent1"/>
                      <w:lang w:val="en-US" w:eastAsia="zh-CN"/>
                      <w14:textFill>
                        <w14:solidFill>
                          <w14:schemeClr w14:val="accent1"/>
                        </w14:solidFill>
                      </w14:textFill>
                    </w:rPr>
                  </w:pPr>
                </w:p>
              </w:tc>
              <w:tc>
                <w:tcPr>
                  <w:tcW w:w="362" w:type="pct"/>
                  <w:vMerge w:val="continue"/>
                  <w:vAlign w:val="center"/>
                </w:tcPr>
                <w:p w14:paraId="38944701">
                  <w:pPr>
                    <w:pStyle w:val="24"/>
                    <w:bidi w:val="0"/>
                    <w:jc w:val="center"/>
                    <w:rPr>
                      <w:rFonts w:hint="default"/>
                      <w:color w:val="auto"/>
                      <w:lang w:val="en-US" w:eastAsia="zh-CN"/>
                    </w:rPr>
                  </w:pPr>
                </w:p>
              </w:tc>
              <w:tc>
                <w:tcPr>
                  <w:tcW w:w="490" w:type="pct"/>
                  <w:vAlign w:val="center"/>
                </w:tcPr>
                <w:p w14:paraId="5E2A926D">
                  <w:pPr>
                    <w:pStyle w:val="24"/>
                    <w:bidi w:val="0"/>
                    <w:jc w:val="center"/>
                    <w:rPr>
                      <w:rFonts w:hint="eastAsia"/>
                      <w:color w:val="auto"/>
                      <w:lang w:val="en-US" w:eastAsia="zh-CN"/>
                    </w:rPr>
                  </w:pPr>
                  <w:r>
                    <w:rPr>
                      <w:rFonts w:hint="eastAsia"/>
                      <w:color w:val="auto"/>
                      <w:lang w:val="en-US" w:eastAsia="zh-CN"/>
                    </w:rPr>
                    <w:t>36.1</w:t>
                  </w:r>
                </w:p>
              </w:tc>
              <w:tc>
                <w:tcPr>
                  <w:tcW w:w="276" w:type="pct"/>
                  <w:vMerge w:val="continue"/>
                  <w:vAlign w:val="center"/>
                </w:tcPr>
                <w:p w14:paraId="2222FA8C">
                  <w:pPr>
                    <w:pStyle w:val="24"/>
                    <w:bidi w:val="0"/>
                    <w:jc w:val="center"/>
                    <w:rPr>
                      <w:rFonts w:hint="eastAsia"/>
                      <w:color w:val="auto"/>
                      <w:lang w:val="en-US" w:eastAsia="zh-CN"/>
                    </w:rPr>
                  </w:pPr>
                </w:p>
              </w:tc>
            </w:tr>
            <w:tr w14:paraId="119F5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0E067695">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56BCA0D9">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5DCE57E9">
                  <w:pPr>
                    <w:pStyle w:val="24"/>
                    <w:bidi w:val="0"/>
                    <w:jc w:val="center"/>
                    <w:rPr>
                      <w:rFonts w:hint="eastAsia"/>
                      <w:color w:val="auto"/>
                      <w:lang w:val="en-US" w:eastAsia="zh-CN"/>
                    </w:rPr>
                  </w:pPr>
                </w:p>
              </w:tc>
              <w:tc>
                <w:tcPr>
                  <w:tcW w:w="304" w:type="pct"/>
                  <w:vMerge w:val="continue"/>
                  <w:vAlign w:val="center"/>
                </w:tcPr>
                <w:p w14:paraId="28449E5B">
                  <w:pPr>
                    <w:pStyle w:val="24"/>
                    <w:bidi w:val="0"/>
                    <w:jc w:val="center"/>
                    <w:rPr>
                      <w:rFonts w:hint="default"/>
                      <w:color w:val="auto"/>
                      <w:lang w:val="en-US" w:eastAsia="zh-CN"/>
                    </w:rPr>
                  </w:pPr>
                </w:p>
              </w:tc>
              <w:tc>
                <w:tcPr>
                  <w:tcW w:w="399" w:type="pct"/>
                  <w:vMerge w:val="continue"/>
                  <w:vAlign w:val="center"/>
                </w:tcPr>
                <w:p w14:paraId="67B14FF5">
                  <w:pPr>
                    <w:pStyle w:val="24"/>
                    <w:bidi w:val="0"/>
                    <w:jc w:val="center"/>
                    <w:rPr>
                      <w:rFonts w:hint="eastAsia"/>
                      <w:color w:val="auto"/>
                      <w:lang w:val="en-US" w:eastAsia="zh-CN"/>
                    </w:rPr>
                  </w:pPr>
                </w:p>
              </w:tc>
              <w:tc>
                <w:tcPr>
                  <w:tcW w:w="380" w:type="pct"/>
                  <w:vMerge w:val="continue"/>
                  <w:vAlign w:val="center"/>
                </w:tcPr>
                <w:p w14:paraId="0B1057F4">
                  <w:pPr>
                    <w:pStyle w:val="24"/>
                    <w:bidi w:val="0"/>
                    <w:jc w:val="center"/>
                    <w:rPr>
                      <w:rFonts w:hint="eastAsia"/>
                      <w:color w:val="auto"/>
                      <w:lang w:val="en-US" w:eastAsia="zh-CN"/>
                    </w:rPr>
                  </w:pPr>
                </w:p>
              </w:tc>
              <w:tc>
                <w:tcPr>
                  <w:tcW w:w="318" w:type="pct"/>
                  <w:vMerge w:val="continue"/>
                  <w:vAlign w:val="center"/>
                </w:tcPr>
                <w:p w14:paraId="40AA68BC">
                  <w:pPr>
                    <w:pStyle w:val="24"/>
                    <w:bidi w:val="0"/>
                    <w:jc w:val="center"/>
                    <w:rPr>
                      <w:rFonts w:hint="eastAsia"/>
                      <w:color w:val="auto"/>
                      <w:lang w:val="en-US" w:eastAsia="zh-CN"/>
                    </w:rPr>
                  </w:pPr>
                </w:p>
              </w:tc>
              <w:tc>
                <w:tcPr>
                  <w:tcW w:w="267" w:type="pct"/>
                  <w:vAlign w:val="center"/>
                </w:tcPr>
                <w:p w14:paraId="7390C1FB">
                  <w:pPr>
                    <w:pStyle w:val="24"/>
                    <w:bidi w:val="0"/>
                    <w:ind w:firstLine="0" w:firstLineChars="0"/>
                    <w:jc w:val="center"/>
                    <w:rPr>
                      <w:rFonts w:hint="eastAsia"/>
                      <w:color w:val="auto"/>
                      <w:lang w:val="en-US" w:eastAsia="zh-CN"/>
                    </w:rPr>
                  </w:pPr>
                  <w:r>
                    <w:rPr>
                      <w:rFonts w:hint="eastAsia"/>
                      <w:color w:val="auto"/>
                      <w:lang w:val="en-US" w:eastAsia="zh-CN"/>
                    </w:rPr>
                    <w:t>北</w:t>
                  </w:r>
                </w:p>
              </w:tc>
              <w:tc>
                <w:tcPr>
                  <w:tcW w:w="459" w:type="pct"/>
                  <w:vAlign w:val="center"/>
                </w:tcPr>
                <w:p w14:paraId="7ECDB2DA">
                  <w:pPr>
                    <w:pStyle w:val="24"/>
                    <w:bidi w:val="0"/>
                    <w:jc w:val="center"/>
                    <w:rPr>
                      <w:rFonts w:hint="default"/>
                      <w:color w:val="auto"/>
                      <w:lang w:val="en-US" w:eastAsia="zh-CN"/>
                    </w:rPr>
                  </w:pPr>
                  <w:r>
                    <w:rPr>
                      <w:rFonts w:hint="eastAsia"/>
                      <w:color w:val="auto"/>
                      <w:lang w:val="en-US" w:eastAsia="zh-CN"/>
                    </w:rPr>
                    <w:t>61</w:t>
                  </w:r>
                </w:p>
              </w:tc>
              <w:tc>
                <w:tcPr>
                  <w:tcW w:w="503" w:type="pct"/>
                  <w:vAlign w:val="center"/>
                </w:tcPr>
                <w:p w14:paraId="3C48C2DA">
                  <w:pPr>
                    <w:pStyle w:val="24"/>
                    <w:bidi w:val="0"/>
                    <w:jc w:val="center"/>
                    <w:rPr>
                      <w:rFonts w:hint="default"/>
                      <w:color w:val="auto"/>
                      <w:lang w:val="en-US" w:eastAsia="zh-CN"/>
                    </w:rPr>
                  </w:pPr>
                  <w:r>
                    <w:rPr>
                      <w:rFonts w:hint="eastAsia"/>
                      <w:color w:val="auto"/>
                      <w:lang w:val="en-US" w:eastAsia="zh-CN"/>
                    </w:rPr>
                    <w:t>49.3</w:t>
                  </w:r>
                </w:p>
              </w:tc>
              <w:tc>
                <w:tcPr>
                  <w:tcW w:w="287" w:type="pct"/>
                  <w:vMerge w:val="continue"/>
                  <w:vAlign w:val="center"/>
                </w:tcPr>
                <w:p w14:paraId="280DD310">
                  <w:pPr>
                    <w:pStyle w:val="24"/>
                    <w:bidi w:val="0"/>
                    <w:jc w:val="center"/>
                    <w:rPr>
                      <w:rFonts w:hint="default"/>
                      <w:color w:val="4874CB" w:themeColor="accent1"/>
                      <w:lang w:val="en-US" w:eastAsia="zh-CN"/>
                      <w14:textFill>
                        <w14:solidFill>
                          <w14:schemeClr w14:val="accent1"/>
                        </w14:solidFill>
                      </w14:textFill>
                    </w:rPr>
                  </w:pPr>
                </w:p>
              </w:tc>
              <w:tc>
                <w:tcPr>
                  <w:tcW w:w="362" w:type="pct"/>
                  <w:vMerge w:val="continue"/>
                  <w:vAlign w:val="center"/>
                </w:tcPr>
                <w:p w14:paraId="0676AC86">
                  <w:pPr>
                    <w:pStyle w:val="24"/>
                    <w:bidi w:val="0"/>
                    <w:jc w:val="center"/>
                    <w:rPr>
                      <w:rFonts w:hint="default"/>
                      <w:color w:val="auto"/>
                      <w:lang w:val="en-US" w:eastAsia="zh-CN"/>
                    </w:rPr>
                  </w:pPr>
                </w:p>
              </w:tc>
              <w:tc>
                <w:tcPr>
                  <w:tcW w:w="490" w:type="pct"/>
                  <w:vAlign w:val="center"/>
                </w:tcPr>
                <w:p w14:paraId="3D907184">
                  <w:pPr>
                    <w:pStyle w:val="24"/>
                    <w:bidi w:val="0"/>
                    <w:jc w:val="center"/>
                    <w:rPr>
                      <w:rFonts w:hint="default"/>
                      <w:color w:val="auto"/>
                      <w:lang w:val="en-US" w:eastAsia="zh-CN"/>
                    </w:rPr>
                  </w:pPr>
                  <w:r>
                    <w:rPr>
                      <w:rFonts w:hint="eastAsia"/>
                      <w:color w:val="auto"/>
                      <w:lang w:val="en-US" w:eastAsia="zh-CN"/>
                    </w:rPr>
                    <w:t>29.3</w:t>
                  </w:r>
                </w:p>
              </w:tc>
              <w:tc>
                <w:tcPr>
                  <w:tcW w:w="276" w:type="pct"/>
                  <w:vMerge w:val="continue"/>
                  <w:vAlign w:val="center"/>
                </w:tcPr>
                <w:p w14:paraId="59B82D8E">
                  <w:pPr>
                    <w:pStyle w:val="24"/>
                    <w:bidi w:val="0"/>
                    <w:jc w:val="center"/>
                    <w:rPr>
                      <w:rFonts w:hint="eastAsia"/>
                      <w:color w:val="auto"/>
                      <w:lang w:val="en-US" w:eastAsia="zh-CN"/>
                    </w:rPr>
                  </w:pPr>
                </w:p>
              </w:tc>
            </w:tr>
            <w:tr w14:paraId="06829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336A4734">
                  <w:pPr>
                    <w:pStyle w:val="24"/>
                    <w:bidi w:val="0"/>
                    <w:jc w:val="center"/>
                    <w:rPr>
                      <w:rFonts w:hint="default"/>
                      <w:color w:val="4874CB" w:themeColor="accent1"/>
                      <w:lang w:val="en-US" w:eastAsia="zh-CN"/>
                      <w14:textFill>
                        <w14:solidFill>
                          <w14:schemeClr w14:val="accent1"/>
                        </w14:solidFill>
                      </w14:textFill>
                    </w:rPr>
                  </w:pPr>
                </w:p>
              </w:tc>
              <w:tc>
                <w:tcPr>
                  <w:tcW w:w="266" w:type="pct"/>
                  <w:vMerge w:val="restart"/>
                  <w:vAlign w:val="center"/>
                </w:tcPr>
                <w:p w14:paraId="7F69EF90">
                  <w:pPr>
                    <w:pStyle w:val="24"/>
                    <w:bidi w:val="0"/>
                    <w:jc w:val="center"/>
                    <w:rPr>
                      <w:rFonts w:hint="default" w:cs="Times New Roman"/>
                      <w:color w:val="auto"/>
                      <w:szCs w:val="21"/>
                      <w:u w:val="none" w:color="auto"/>
                      <w:lang w:val="en-US" w:eastAsia="zh-CN"/>
                    </w:rPr>
                  </w:pPr>
                  <w:r>
                    <w:rPr>
                      <w:rFonts w:hint="eastAsia" w:cs="Times New Roman"/>
                      <w:color w:val="auto"/>
                      <w:szCs w:val="21"/>
                      <w:u w:val="none" w:color="auto"/>
                      <w:lang w:val="en-US" w:eastAsia="zh-CN"/>
                    </w:rPr>
                    <w:t>筛分机2</w:t>
                  </w:r>
                </w:p>
              </w:tc>
              <w:tc>
                <w:tcPr>
                  <w:tcW w:w="416" w:type="pct"/>
                  <w:vMerge w:val="restart"/>
                  <w:vAlign w:val="center"/>
                </w:tcPr>
                <w:p w14:paraId="5E73D66C">
                  <w:pPr>
                    <w:pStyle w:val="24"/>
                    <w:bidi w:val="0"/>
                    <w:jc w:val="center"/>
                    <w:rPr>
                      <w:rFonts w:hint="default"/>
                      <w:color w:val="auto"/>
                      <w:lang w:val="en-US" w:eastAsia="zh-CN"/>
                    </w:rPr>
                  </w:pPr>
                  <w:r>
                    <w:rPr>
                      <w:rFonts w:hint="eastAsia"/>
                      <w:color w:val="auto"/>
                      <w:lang w:val="en-US" w:eastAsia="zh-CN"/>
                    </w:rPr>
                    <w:t>85</w:t>
                  </w:r>
                </w:p>
              </w:tc>
              <w:tc>
                <w:tcPr>
                  <w:tcW w:w="304" w:type="pct"/>
                  <w:vMerge w:val="continue"/>
                  <w:vAlign w:val="center"/>
                </w:tcPr>
                <w:p w14:paraId="4BFFC1A1">
                  <w:pPr>
                    <w:pStyle w:val="24"/>
                    <w:bidi w:val="0"/>
                    <w:jc w:val="center"/>
                    <w:rPr>
                      <w:rFonts w:hint="default"/>
                      <w:color w:val="auto"/>
                      <w:lang w:val="en-US" w:eastAsia="zh-CN"/>
                    </w:rPr>
                  </w:pPr>
                </w:p>
              </w:tc>
              <w:tc>
                <w:tcPr>
                  <w:tcW w:w="399" w:type="pct"/>
                  <w:vMerge w:val="restart"/>
                  <w:vAlign w:val="center"/>
                </w:tcPr>
                <w:p w14:paraId="32DB822F">
                  <w:pPr>
                    <w:pStyle w:val="24"/>
                    <w:bidi w:val="0"/>
                    <w:jc w:val="center"/>
                    <w:rPr>
                      <w:rFonts w:hint="eastAsia"/>
                      <w:color w:val="auto"/>
                      <w:lang w:val="en-US" w:eastAsia="zh-CN"/>
                    </w:rPr>
                  </w:pPr>
                  <w:r>
                    <w:rPr>
                      <w:rFonts w:hint="eastAsia"/>
                      <w:color w:val="auto"/>
                      <w:lang w:val="en-US" w:eastAsia="zh-CN"/>
                    </w:rPr>
                    <w:t>33.8</w:t>
                  </w:r>
                </w:p>
              </w:tc>
              <w:tc>
                <w:tcPr>
                  <w:tcW w:w="380" w:type="pct"/>
                  <w:vMerge w:val="restart"/>
                  <w:vAlign w:val="center"/>
                </w:tcPr>
                <w:p w14:paraId="6F159A97">
                  <w:pPr>
                    <w:pStyle w:val="24"/>
                    <w:bidi w:val="0"/>
                    <w:jc w:val="center"/>
                    <w:rPr>
                      <w:rFonts w:hint="default"/>
                      <w:color w:val="auto"/>
                      <w:lang w:val="en-US" w:eastAsia="zh-CN"/>
                    </w:rPr>
                  </w:pPr>
                  <w:r>
                    <w:rPr>
                      <w:rFonts w:hint="eastAsia"/>
                      <w:color w:val="auto"/>
                      <w:lang w:val="en-US" w:eastAsia="zh-CN"/>
                    </w:rPr>
                    <w:t>59</w:t>
                  </w:r>
                </w:p>
              </w:tc>
              <w:tc>
                <w:tcPr>
                  <w:tcW w:w="318" w:type="pct"/>
                  <w:vMerge w:val="restart"/>
                  <w:vAlign w:val="center"/>
                </w:tcPr>
                <w:p w14:paraId="5C31124C">
                  <w:pPr>
                    <w:pStyle w:val="24"/>
                    <w:bidi w:val="0"/>
                    <w:jc w:val="center"/>
                    <w:rPr>
                      <w:rFonts w:hint="eastAsia"/>
                      <w:color w:val="auto"/>
                      <w:lang w:val="en-US" w:eastAsia="zh-CN"/>
                    </w:rPr>
                  </w:pPr>
                  <w:r>
                    <w:rPr>
                      <w:rFonts w:hint="eastAsia"/>
                      <w:color w:val="auto"/>
                      <w:lang w:val="en-US" w:eastAsia="zh-CN"/>
                    </w:rPr>
                    <w:t>1.2</w:t>
                  </w:r>
                </w:p>
              </w:tc>
              <w:tc>
                <w:tcPr>
                  <w:tcW w:w="267" w:type="pct"/>
                  <w:vAlign w:val="center"/>
                </w:tcPr>
                <w:p w14:paraId="138235FE">
                  <w:pPr>
                    <w:pStyle w:val="24"/>
                    <w:bidi w:val="0"/>
                    <w:ind w:firstLine="0" w:firstLineChars="0"/>
                    <w:jc w:val="center"/>
                    <w:rPr>
                      <w:rFonts w:hint="eastAsia"/>
                      <w:color w:val="auto"/>
                      <w:lang w:val="en-US" w:eastAsia="zh-CN"/>
                    </w:rPr>
                  </w:pPr>
                  <w:r>
                    <w:rPr>
                      <w:rFonts w:hint="eastAsia"/>
                      <w:color w:val="auto"/>
                      <w:lang w:val="en-US" w:eastAsia="zh-CN"/>
                    </w:rPr>
                    <w:t>东</w:t>
                  </w:r>
                </w:p>
              </w:tc>
              <w:tc>
                <w:tcPr>
                  <w:tcW w:w="459" w:type="pct"/>
                  <w:vAlign w:val="center"/>
                </w:tcPr>
                <w:p w14:paraId="1131A7C1">
                  <w:pPr>
                    <w:pStyle w:val="24"/>
                    <w:bidi w:val="0"/>
                    <w:jc w:val="center"/>
                    <w:rPr>
                      <w:rFonts w:hint="eastAsia"/>
                      <w:color w:val="auto"/>
                      <w:lang w:val="en-US" w:eastAsia="zh-CN"/>
                    </w:rPr>
                  </w:pPr>
                  <w:r>
                    <w:rPr>
                      <w:rFonts w:hint="eastAsia"/>
                      <w:color w:val="auto"/>
                      <w:lang w:val="en-US" w:eastAsia="zh-CN"/>
                    </w:rPr>
                    <w:t>13.8</w:t>
                  </w:r>
                </w:p>
              </w:tc>
              <w:tc>
                <w:tcPr>
                  <w:tcW w:w="503" w:type="pct"/>
                  <w:vAlign w:val="center"/>
                </w:tcPr>
                <w:p w14:paraId="66CEA016">
                  <w:pPr>
                    <w:pStyle w:val="24"/>
                    <w:bidi w:val="0"/>
                    <w:jc w:val="center"/>
                    <w:rPr>
                      <w:rFonts w:hint="eastAsia"/>
                      <w:color w:val="auto"/>
                      <w:lang w:val="en-US" w:eastAsia="zh-CN"/>
                    </w:rPr>
                  </w:pPr>
                  <w:r>
                    <w:rPr>
                      <w:rFonts w:hint="eastAsia"/>
                      <w:color w:val="auto"/>
                      <w:lang w:val="en-US" w:eastAsia="zh-CN"/>
                    </w:rPr>
                    <w:t>62.2</w:t>
                  </w:r>
                </w:p>
              </w:tc>
              <w:tc>
                <w:tcPr>
                  <w:tcW w:w="287" w:type="pct"/>
                  <w:vMerge w:val="continue"/>
                  <w:vAlign w:val="center"/>
                </w:tcPr>
                <w:p w14:paraId="29A5873A">
                  <w:pPr>
                    <w:pStyle w:val="24"/>
                    <w:bidi w:val="0"/>
                    <w:jc w:val="center"/>
                    <w:rPr>
                      <w:rFonts w:hint="default"/>
                      <w:color w:val="4874CB" w:themeColor="accent1"/>
                      <w:lang w:val="en-US" w:eastAsia="zh-CN"/>
                      <w14:textFill>
                        <w14:solidFill>
                          <w14:schemeClr w14:val="accent1"/>
                        </w14:solidFill>
                      </w14:textFill>
                    </w:rPr>
                  </w:pPr>
                </w:p>
              </w:tc>
              <w:tc>
                <w:tcPr>
                  <w:tcW w:w="362" w:type="pct"/>
                  <w:vMerge w:val="restart"/>
                  <w:vAlign w:val="center"/>
                </w:tcPr>
                <w:p w14:paraId="23DE0029">
                  <w:pPr>
                    <w:pStyle w:val="24"/>
                    <w:bidi w:val="0"/>
                    <w:jc w:val="center"/>
                    <w:rPr>
                      <w:rFonts w:hint="default"/>
                      <w:color w:val="auto"/>
                      <w:lang w:val="en-US" w:eastAsia="zh-CN"/>
                    </w:rPr>
                  </w:pPr>
                  <w:r>
                    <w:rPr>
                      <w:rFonts w:hint="eastAsia"/>
                      <w:color w:val="auto"/>
                      <w:lang w:val="en-US" w:eastAsia="zh-CN"/>
                    </w:rPr>
                    <w:t>20</w:t>
                  </w:r>
                </w:p>
              </w:tc>
              <w:tc>
                <w:tcPr>
                  <w:tcW w:w="490" w:type="pct"/>
                  <w:vAlign w:val="center"/>
                </w:tcPr>
                <w:p w14:paraId="1A2BA0EE">
                  <w:pPr>
                    <w:pStyle w:val="24"/>
                    <w:bidi w:val="0"/>
                    <w:jc w:val="center"/>
                    <w:rPr>
                      <w:rFonts w:hint="eastAsia"/>
                      <w:color w:val="auto"/>
                      <w:lang w:val="en-US" w:eastAsia="zh-CN"/>
                    </w:rPr>
                  </w:pPr>
                  <w:r>
                    <w:rPr>
                      <w:rFonts w:hint="eastAsia"/>
                      <w:color w:val="auto"/>
                      <w:lang w:val="en-US" w:eastAsia="zh-CN"/>
                    </w:rPr>
                    <w:t>42.2</w:t>
                  </w:r>
                </w:p>
              </w:tc>
              <w:tc>
                <w:tcPr>
                  <w:tcW w:w="276" w:type="pct"/>
                  <w:vMerge w:val="restart"/>
                  <w:vAlign w:val="center"/>
                </w:tcPr>
                <w:p w14:paraId="2FA5A9E6">
                  <w:pPr>
                    <w:pStyle w:val="24"/>
                    <w:bidi w:val="0"/>
                    <w:jc w:val="center"/>
                    <w:rPr>
                      <w:rFonts w:hint="default"/>
                      <w:color w:val="auto"/>
                      <w:lang w:val="en-US" w:eastAsia="zh-CN"/>
                    </w:rPr>
                  </w:pPr>
                  <w:r>
                    <w:rPr>
                      <w:rFonts w:hint="eastAsia"/>
                      <w:color w:val="auto"/>
                      <w:lang w:val="en-US" w:eastAsia="zh-CN"/>
                    </w:rPr>
                    <w:t>1</w:t>
                  </w:r>
                </w:p>
              </w:tc>
            </w:tr>
            <w:tr w14:paraId="7B93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1D6A865D">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02926158">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58502C45">
                  <w:pPr>
                    <w:pStyle w:val="24"/>
                    <w:bidi w:val="0"/>
                    <w:jc w:val="center"/>
                    <w:rPr>
                      <w:rFonts w:hint="eastAsia"/>
                      <w:color w:val="auto"/>
                      <w:lang w:val="en-US" w:eastAsia="zh-CN"/>
                    </w:rPr>
                  </w:pPr>
                </w:p>
              </w:tc>
              <w:tc>
                <w:tcPr>
                  <w:tcW w:w="304" w:type="pct"/>
                  <w:vMerge w:val="continue"/>
                  <w:vAlign w:val="center"/>
                </w:tcPr>
                <w:p w14:paraId="4815BBE5">
                  <w:pPr>
                    <w:pStyle w:val="24"/>
                    <w:bidi w:val="0"/>
                    <w:jc w:val="center"/>
                    <w:rPr>
                      <w:rFonts w:hint="default"/>
                      <w:color w:val="auto"/>
                      <w:lang w:val="en-US" w:eastAsia="zh-CN"/>
                    </w:rPr>
                  </w:pPr>
                </w:p>
              </w:tc>
              <w:tc>
                <w:tcPr>
                  <w:tcW w:w="399" w:type="pct"/>
                  <w:vMerge w:val="continue"/>
                  <w:vAlign w:val="center"/>
                </w:tcPr>
                <w:p w14:paraId="16CCE401">
                  <w:pPr>
                    <w:pStyle w:val="24"/>
                    <w:bidi w:val="0"/>
                    <w:jc w:val="center"/>
                    <w:rPr>
                      <w:rFonts w:hint="eastAsia"/>
                      <w:color w:val="auto"/>
                      <w:lang w:val="en-US" w:eastAsia="zh-CN"/>
                    </w:rPr>
                  </w:pPr>
                </w:p>
              </w:tc>
              <w:tc>
                <w:tcPr>
                  <w:tcW w:w="380" w:type="pct"/>
                  <w:vMerge w:val="continue"/>
                  <w:vAlign w:val="center"/>
                </w:tcPr>
                <w:p w14:paraId="4C4D9B3A">
                  <w:pPr>
                    <w:pStyle w:val="24"/>
                    <w:bidi w:val="0"/>
                    <w:jc w:val="center"/>
                    <w:rPr>
                      <w:rFonts w:hint="eastAsia"/>
                      <w:color w:val="auto"/>
                      <w:lang w:val="en-US" w:eastAsia="zh-CN"/>
                    </w:rPr>
                  </w:pPr>
                </w:p>
              </w:tc>
              <w:tc>
                <w:tcPr>
                  <w:tcW w:w="318" w:type="pct"/>
                  <w:vMerge w:val="continue"/>
                  <w:vAlign w:val="center"/>
                </w:tcPr>
                <w:p w14:paraId="0839FF89">
                  <w:pPr>
                    <w:pStyle w:val="24"/>
                    <w:bidi w:val="0"/>
                    <w:jc w:val="center"/>
                    <w:rPr>
                      <w:rFonts w:hint="eastAsia"/>
                      <w:color w:val="auto"/>
                      <w:lang w:val="en-US" w:eastAsia="zh-CN"/>
                    </w:rPr>
                  </w:pPr>
                </w:p>
              </w:tc>
              <w:tc>
                <w:tcPr>
                  <w:tcW w:w="267" w:type="pct"/>
                  <w:vAlign w:val="center"/>
                </w:tcPr>
                <w:p w14:paraId="0300E905">
                  <w:pPr>
                    <w:pStyle w:val="24"/>
                    <w:bidi w:val="0"/>
                    <w:ind w:firstLine="0" w:firstLineChars="0"/>
                    <w:jc w:val="center"/>
                    <w:rPr>
                      <w:rFonts w:hint="eastAsia"/>
                      <w:color w:val="auto"/>
                      <w:lang w:val="en-US" w:eastAsia="zh-CN"/>
                    </w:rPr>
                  </w:pPr>
                  <w:r>
                    <w:rPr>
                      <w:rFonts w:hint="eastAsia"/>
                      <w:color w:val="auto"/>
                      <w:lang w:val="en-US" w:eastAsia="zh-CN"/>
                    </w:rPr>
                    <w:t>南</w:t>
                  </w:r>
                </w:p>
              </w:tc>
              <w:tc>
                <w:tcPr>
                  <w:tcW w:w="459" w:type="pct"/>
                  <w:vAlign w:val="center"/>
                </w:tcPr>
                <w:p w14:paraId="5E79EE1D">
                  <w:pPr>
                    <w:pStyle w:val="24"/>
                    <w:bidi w:val="0"/>
                    <w:jc w:val="center"/>
                    <w:rPr>
                      <w:rFonts w:hint="default"/>
                      <w:color w:val="auto"/>
                      <w:lang w:val="en-US" w:eastAsia="zh-CN"/>
                    </w:rPr>
                  </w:pPr>
                  <w:r>
                    <w:rPr>
                      <w:rFonts w:hint="eastAsia"/>
                      <w:color w:val="auto"/>
                      <w:lang w:val="en-US" w:eastAsia="zh-CN"/>
                    </w:rPr>
                    <w:t>48</w:t>
                  </w:r>
                </w:p>
              </w:tc>
              <w:tc>
                <w:tcPr>
                  <w:tcW w:w="503" w:type="pct"/>
                  <w:vAlign w:val="center"/>
                </w:tcPr>
                <w:p w14:paraId="71C17B6A">
                  <w:pPr>
                    <w:pStyle w:val="24"/>
                    <w:bidi w:val="0"/>
                    <w:jc w:val="center"/>
                    <w:rPr>
                      <w:rFonts w:hint="default"/>
                      <w:color w:val="auto"/>
                      <w:lang w:val="en-US" w:eastAsia="zh-CN"/>
                    </w:rPr>
                  </w:pPr>
                  <w:r>
                    <w:rPr>
                      <w:rFonts w:hint="eastAsia"/>
                      <w:color w:val="auto"/>
                      <w:lang w:val="en-US" w:eastAsia="zh-CN"/>
                    </w:rPr>
                    <w:t>51.4</w:t>
                  </w:r>
                </w:p>
              </w:tc>
              <w:tc>
                <w:tcPr>
                  <w:tcW w:w="287" w:type="pct"/>
                  <w:vMerge w:val="continue"/>
                  <w:vAlign w:val="center"/>
                </w:tcPr>
                <w:p w14:paraId="22B72D14">
                  <w:pPr>
                    <w:pStyle w:val="24"/>
                    <w:bidi w:val="0"/>
                    <w:jc w:val="center"/>
                    <w:rPr>
                      <w:rFonts w:hint="default"/>
                      <w:color w:val="4874CB" w:themeColor="accent1"/>
                      <w:lang w:val="en-US" w:eastAsia="zh-CN"/>
                      <w14:textFill>
                        <w14:solidFill>
                          <w14:schemeClr w14:val="accent1"/>
                        </w14:solidFill>
                      </w14:textFill>
                    </w:rPr>
                  </w:pPr>
                </w:p>
              </w:tc>
              <w:tc>
                <w:tcPr>
                  <w:tcW w:w="362" w:type="pct"/>
                  <w:vMerge w:val="continue"/>
                  <w:vAlign w:val="center"/>
                </w:tcPr>
                <w:p w14:paraId="12283ECF">
                  <w:pPr>
                    <w:pStyle w:val="24"/>
                    <w:bidi w:val="0"/>
                    <w:jc w:val="center"/>
                    <w:rPr>
                      <w:rFonts w:hint="default"/>
                      <w:color w:val="auto"/>
                      <w:lang w:val="en-US" w:eastAsia="zh-CN"/>
                    </w:rPr>
                  </w:pPr>
                </w:p>
              </w:tc>
              <w:tc>
                <w:tcPr>
                  <w:tcW w:w="490" w:type="pct"/>
                  <w:vAlign w:val="center"/>
                </w:tcPr>
                <w:p w14:paraId="7F290C2D">
                  <w:pPr>
                    <w:pStyle w:val="24"/>
                    <w:bidi w:val="0"/>
                    <w:jc w:val="center"/>
                    <w:rPr>
                      <w:rFonts w:hint="default"/>
                      <w:color w:val="auto"/>
                      <w:lang w:val="en-US" w:eastAsia="zh-CN"/>
                    </w:rPr>
                  </w:pPr>
                  <w:r>
                    <w:rPr>
                      <w:rFonts w:hint="eastAsia"/>
                      <w:color w:val="auto"/>
                      <w:lang w:val="en-US" w:eastAsia="zh-CN"/>
                    </w:rPr>
                    <w:t>31.4</w:t>
                  </w:r>
                </w:p>
              </w:tc>
              <w:tc>
                <w:tcPr>
                  <w:tcW w:w="276" w:type="pct"/>
                  <w:vMerge w:val="continue"/>
                  <w:vAlign w:val="center"/>
                </w:tcPr>
                <w:p w14:paraId="69B55ECC">
                  <w:pPr>
                    <w:pStyle w:val="24"/>
                    <w:bidi w:val="0"/>
                    <w:jc w:val="center"/>
                    <w:rPr>
                      <w:rFonts w:hint="eastAsia"/>
                      <w:color w:val="auto"/>
                      <w:lang w:val="en-US" w:eastAsia="zh-CN"/>
                    </w:rPr>
                  </w:pPr>
                </w:p>
              </w:tc>
            </w:tr>
            <w:tr w14:paraId="0A28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0135CCF8">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09814131">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3A9D00DF">
                  <w:pPr>
                    <w:pStyle w:val="24"/>
                    <w:bidi w:val="0"/>
                    <w:jc w:val="center"/>
                    <w:rPr>
                      <w:rFonts w:hint="eastAsia"/>
                      <w:color w:val="auto"/>
                      <w:lang w:val="en-US" w:eastAsia="zh-CN"/>
                    </w:rPr>
                  </w:pPr>
                </w:p>
              </w:tc>
              <w:tc>
                <w:tcPr>
                  <w:tcW w:w="304" w:type="pct"/>
                  <w:vMerge w:val="continue"/>
                  <w:vAlign w:val="center"/>
                </w:tcPr>
                <w:p w14:paraId="4EDE1F81">
                  <w:pPr>
                    <w:pStyle w:val="24"/>
                    <w:bidi w:val="0"/>
                    <w:jc w:val="center"/>
                    <w:rPr>
                      <w:rFonts w:hint="default"/>
                      <w:color w:val="auto"/>
                      <w:lang w:val="en-US" w:eastAsia="zh-CN"/>
                    </w:rPr>
                  </w:pPr>
                </w:p>
              </w:tc>
              <w:tc>
                <w:tcPr>
                  <w:tcW w:w="399" w:type="pct"/>
                  <w:vMerge w:val="continue"/>
                  <w:vAlign w:val="center"/>
                </w:tcPr>
                <w:p w14:paraId="724D8E7C">
                  <w:pPr>
                    <w:pStyle w:val="24"/>
                    <w:bidi w:val="0"/>
                    <w:jc w:val="center"/>
                    <w:rPr>
                      <w:rFonts w:hint="eastAsia"/>
                      <w:color w:val="auto"/>
                      <w:lang w:val="en-US" w:eastAsia="zh-CN"/>
                    </w:rPr>
                  </w:pPr>
                </w:p>
              </w:tc>
              <w:tc>
                <w:tcPr>
                  <w:tcW w:w="380" w:type="pct"/>
                  <w:vMerge w:val="continue"/>
                  <w:vAlign w:val="center"/>
                </w:tcPr>
                <w:p w14:paraId="6A51EDAB">
                  <w:pPr>
                    <w:pStyle w:val="24"/>
                    <w:bidi w:val="0"/>
                    <w:jc w:val="center"/>
                    <w:rPr>
                      <w:rFonts w:hint="eastAsia"/>
                      <w:color w:val="auto"/>
                      <w:lang w:val="en-US" w:eastAsia="zh-CN"/>
                    </w:rPr>
                  </w:pPr>
                </w:p>
              </w:tc>
              <w:tc>
                <w:tcPr>
                  <w:tcW w:w="318" w:type="pct"/>
                  <w:vMerge w:val="continue"/>
                  <w:vAlign w:val="center"/>
                </w:tcPr>
                <w:p w14:paraId="06F4B497">
                  <w:pPr>
                    <w:pStyle w:val="24"/>
                    <w:bidi w:val="0"/>
                    <w:jc w:val="center"/>
                    <w:rPr>
                      <w:rFonts w:hint="eastAsia"/>
                      <w:color w:val="auto"/>
                      <w:lang w:val="en-US" w:eastAsia="zh-CN"/>
                    </w:rPr>
                  </w:pPr>
                </w:p>
              </w:tc>
              <w:tc>
                <w:tcPr>
                  <w:tcW w:w="267" w:type="pct"/>
                  <w:vAlign w:val="center"/>
                </w:tcPr>
                <w:p w14:paraId="614C2940">
                  <w:pPr>
                    <w:pStyle w:val="24"/>
                    <w:bidi w:val="0"/>
                    <w:ind w:firstLine="0" w:firstLineChars="0"/>
                    <w:jc w:val="center"/>
                    <w:rPr>
                      <w:rFonts w:hint="eastAsia"/>
                      <w:color w:val="auto"/>
                      <w:lang w:val="en-US" w:eastAsia="zh-CN"/>
                    </w:rPr>
                  </w:pPr>
                  <w:r>
                    <w:rPr>
                      <w:rFonts w:hint="eastAsia"/>
                      <w:color w:val="auto"/>
                      <w:lang w:val="en-US" w:eastAsia="zh-CN"/>
                    </w:rPr>
                    <w:t>西</w:t>
                  </w:r>
                </w:p>
              </w:tc>
              <w:tc>
                <w:tcPr>
                  <w:tcW w:w="459" w:type="pct"/>
                  <w:vAlign w:val="center"/>
                </w:tcPr>
                <w:p w14:paraId="69B3A72C">
                  <w:pPr>
                    <w:pStyle w:val="24"/>
                    <w:bidi w:val="0"/>
                    <w:jc w:val="center"/>
                    <w:rPr>
                      <w:rFonts w:hint="eastAsia"/>
                      <w:color w:val="auto"/>
                      <w:lang w:val="en-US" w:eastAsia="zh-CN"/>
                    </w:rPr>
                  </w:pPr>
                  <w:r>
                    <w:rPr>
                      <w:rFonts w:hint="eastAsia"/>
                      <w:color w:val="auto"/>
                      <w:lang w:val="en-US" w:eastAsia="zh-CN"/>
                    </w:rPr>
                    <w:t>27.8</w:t>
                  </w:r>
                </w:p>
              </w:tc>
              <w:tc>
                <w:tcPr>
                  <w:tcW w:w="503" w:type="pct"/>
                  <w:vAlign w:val="center"/>
                </w:tcPr>
                <w:p w14:paraId="6ECD4FBC">
                  <w:pPr>
                    <w:pStyle w:val="24"/>
                    <w:bidi w:val="0"/>
                    <w:jc w:val="center"/>
                    <w:rPr>
                      <w:rFonts w:hint="eastAsia"/>
                      <w:color w:val="auto"/>
                      <w:lang w:val="en-US" w:eastAsia="zh-CN"/>
                    </w:rPr>
                  </w:pPr>
                  <w:r>
                    <w:rPr>
                      <w:rFonts w:hint="eastAsia"/>
                      <w:color w:val="auto"/>
                      <w:lang w:val="en-US" w:eastAsia="zh-CN"/>
                    </w:rPr>
                    <w:t>56.1</w:t>
                  </w:r>
                </w:p>
              </w:tc>
              <w:tc>
                <w:tcPr>
                  <w:tcW w:w="287" w:type="pct"/>
                  <w:vMerge w:val="continue"/>
                  <w:vAlign w:val="center"/>
                </w:tcPr>
                <w:p w14:paraId="69B516F0">
                  <w:pPr>
                    <w:pStyle w:val="24"/>
                    <w:bidi w:val="0"/>
                    <w:jc w:val="center"/>
                    <w:rPr>
                      <w:rFonts w:hint="default"/>
                      <w:color w:val="4874CB" w:themeColor="accent1"/>
                      <w:lang w:val="en-US" w:eastAsia="zh-CN"/>
                      <w14:textFill>
                        <w14:solidFill>
                          <w14:schemeClr w14:val="accent1"/>
                        </w14:solidFill>
                      </w14:textFill>
                    </w:rPr>
                  </w:pPr>
                </w:p>
              </w:tc>
              <w:tc>
                <w:tcPr>
                  <w:tcW w:w="362" w:type="pct"/>
                  <w:vMerge w:val="continue"/>
                  <w:vAlign w:val="center"/>
                </w:tcPr>
                <w:p w14:paraId="1ABDA1F4">
                  <w:pPr>
                    <w:pStyle w:val="24"/>
                    <w:bidi w:val="0"/>
                    <w:jc w:val="center"/>
                    <w:rPr>
                      <w:rFonts w:hint="default"/>
                      <w:color w:val="auto"/>
                      <w:lang w:val="en-US" w:eastAsia="zh-CN"/>
                    </w:rPr>
                  </w:pPr>
                </w:p>
              </w:tc>
              <w:tc>
                <w:tcPr>
                  <w:tcW w:w="490" w:type="pct"/>
                  <w:vAlign w:val="center"/>
                </w:tcPr>
                <w:p w14:paraId="063EA75B">
                  <w:pPr>
                    <w:pStyle w:val="24"/>
                    <w:bidi w:val="0"/>
                    <w:jc w:val="center"/>
                    <w:rPr>
                      <w:rFonts w:hint="eastAsia"/>
                      <w:color w:val="auto"/>
                      <w:lang w:val="en-US" w:eastAsia="zh-CN"/>
                    </w:rPr>
                  </w:pPr>
                  <w:r>
                    <w:rPr>
                      <w:rFonts w:hint="eastAsia"/>
                      <w:color w:val="auto"/>
                      <w:lang w:val="en-US" w:eastAsia="zh-CN"/>
                    </w:rPr>
                    <w:t>36.1</w:t>
                  </w:r>
                </w:p>
              </w:tc>
              <w:tc>
                <w:tcPr>
                  <w:tcW w:w="276" w:type="pct"/>
                  <w:vMerge w:val="continue"/>
                  <w:vAlign w:val="center"/>
                </w:tcPr>
                <w:p w14:paraId="5AAA22A8">
                  <w:pPr>
                    <w:pStyle w:val="24"/>
                    <w:bidi w:val="0"/>
                    <w:jc w:val="center"/>
                    <w:rPr>
                      <w:rFonts w:hint="eastAsia"/>
                      <w:color w:val="auto"/>
                      <w:lang w:val="en-US" w:eastAsia="zh-CN"/>
                    </w:rPr>
                  </w:pPr>
                </w:p>
              </w:tc>
            </w:tr>
            <w:tr w14:paraId="3877C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7DD4C5B4">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058288DC">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16741575">
                  <w:pPr>
                    <w:pStyle w:val="24"/>
                    <w:bidi w:val="0"/>
                    <w:jc w:val="center"/>
                    <w:rPr>
                      <w:rFonts w:hint="eastAsia"/>
                      <w:color w:val="auto"/>
                      <w:lang w:val="en-US" w:eastAsia="zh-CN"/>
                    </w:rPr>
                  </w:pPr>
                </w:p>
              </w:tc>
              <w:tc>
                <w:tcPr>
                  <w:tcW w:w="304" w:type="pct"/>
                  <w:vMerge w:val="continue"/>
                  <w:vAlign w:val="center"/>
                </w:tcPr>
                <w:p w14:paraId="1BFD3C11">
                  <w:pPr>
                    <w:pStyle w:val="24"/>
                    <w:bidi w:val="0"/>
                    <w:jc w:val="center"/>
                    <w:rPr>
                      <w:rFonts w:hint="default"/>
                      <w:color w:val="auto"/>
                      <w:lang w:val="en-US" w:eastAsia="zh-CN"/>
                    </w:rPr>
                  </w:pPr>
                </w:p>
              </w:tc>
              <w:tc>
                <w:tcPr>
                  <w:tcW w:w="399" w:type="pct"/>
                  <w:vMerge w:val="continue"/>
                  <w:vAlign w:val="center"/>
                </w:tcPr>
                <w:p w14:paraId="0DE93180">
                  <w:pPr>
                    <w:pStyle w:val="24"/>
                    <w:bidi w:val="0"/>
                    <w:jc w:val="center"/>
                    <w:rPr>
                      <w:rFonts w:hint="eastAsia"/>
                      <w:color w:val="auto"/>
                      <w:lang w:val="en-US" w:eastAsia="zh-CN"/>
                    </w:rPr>
                  </w:pPr>
                </w:p>
              </w:tc>
              <w:tc>
                <w:tcPr>
                  <w:tcW w:w="380" w:type="pct"/>
                  <w:vMerge w:val="continue"/>
                  <w:vAlign w:val="center"/>
                </w:tcPr>
                <w:p w14:paraId="30FCAC45">
                  <w:pPr>
                    <w:pStyle w:val="24"/>
                    <w:bidi w:val="0"/>
                    <w:jc w:val="center"/>
                    <w:rPr>
                      <w:rFonts w:hint="eastAsia"/>
                      <w:color w:val="auto"/>
                      <w:lang w:val="en-US" w:eastAsia="zh-CN"/>
                    </w:rPr>
                  </w:pPr>
                </w:p>
              </w:tc>
              <w:tc>
                <w:tcPr>
                  <w:tcW w:w="318" w:type="pct"/>
                  <w:vMerge w:val="continue"/>
                  <w:vAlign w:val="center"/>
                </w:tcPr>
                <w:p w14:paraId="4A16FE8E">
                  <w:pPr>
                    <w:pStyle w:val="24"/>
                    <w:bidi w:val="0"/>
                    <w:jc w:val="center"/>
                    <w:rPr>
                      <w:rFonts w:hint="eastAsia"/>
                      <w:color w:val="auto"/>
                      <w:lang w:val="en-US" w:eastAsia="zh-CN"/>
                    </w:rPr>
                  </w:pPr>
                </w:p>
              </w:tc>
              <w:tc>
                <w:tcPr>
                  <w:tcW w:w="267" w:type="pct"/>
                  <w:vAlign w:val="center"/>
                </w:tcPr>
                <w:p w14:paraId="3F096D0E">
                  <w:pPr>
                    <w:pStyle w:val="24"/>
                    <w:bidi w:val="0"/>
                    <w:ind w:firstLine="0" w:firstLineChars="0"/>
                    <w:jc w:val="center"/>
                    <w:rPr>
                      <w:rFonts w:hint="eastAsia"/>
                      <w:color w:val="auto"/>
                      <w:lang w:val="en-US" w:eastAsia="zh-CN"/>
                    </w:rPr>
                  </w:pPr>
                  <w:r>
                    <w:rPr>
                      <w:rFonts w:hint="eastAsia"/>
                      <w:color w:val="auto"/>
                      <w:lang w:val="en-US" w:eastAsia="zh-CN"/>
                    </w:rPr>
                    <w:t>北</w:t>
                  </w:r>
                </w:p>
              </w:tc>
              <w:tc>
                <w:tcPr>
                  <w:tcW w:w="459" w:type="pct"/>
                  <w:vAlign w:val="center"/>
                </w:tcPr>
                <w:p w14:paraId="2737E4EC">
                  <w:pPr>
                    <w:pStyle w:val="24"/>
                    <w:bidi w:val="0"/>
                    <w:jc w:val="center"/>
                    <w:rPr>
                      <w:rFonts w:hint="default"/>
                      <w:color w:val="auto"/>
                      <w:lang w:val="en-US" w:eastAsia="zh-CN"/>
                    </w:rPr>
                  </w:pPr>
                  <w:r>
                    <w:rPr>
                      <w:rFonts w:hint="eastAsia"/>
                      <w:color w:val="auto"/>
                      <w:lang w:val="en-US" w:eastAsia="zh-CN"/>
                    </w:rPr>
                    <w:t>53</w:t>
                  </w:r>
                </w:p>
              </w:tc>
              <w:tc>
                <w:tcPr>
                  <w:tcW w:w="503" w:type="pct"/>
                  <w:vAlign w:val="center"/>
                </w:tcPr>
                <w:p w14:paraId="7C10D091">
                  <w:pPr>
                    <w:pStyle w:val="24"/>
                    <w:bidi w:val="0"/>
                    <w:jc w:val="center"/>
                    <w:rPr>
                      <w:rFonts w:hint="default"/>
                      <w:color w:val="auto"/>
                      <w:lang w:val="en-US" w:eastAsia="zh-CN"/>
                    </w:rPr>
                  </w:pPr>
                  <w:r>
                    <w:rPr>
                      <w:rFonts w:hint="eastAsia"/>
                      <w:color w:val="auto"/>
                      <w:lang w:val="en-US" w:eastAsia="zh-CN"/>
                    </w:rPr>
                    <w:t>50.5</w:t>
                  </w:r>
                </w:p>
              </w:tc>
              <w:tc>
                <w:tcPr>
                  <w:tcW w:w="287" w:type="pct"/>
                  <w:vMerge w:val="continue"/>
                  <w:vAlign w:val="center"/>
                </w:tcPr>
                <w:p w14:paraId="030279E0">
                  <w:pPr>
                    <w:pStyle w:val="24"/>
                    <w:bidi w:val="0"/>
                    <w:jc w:val="center"/>
                    <w:rPr>
                      <w:rFonts w:hint="default"/>
                      <w:color w:val="4874CB" w:themeColor="accent1"/>
                      <w:lang w:val="en-US" w:eastAsia="zh-CN"/>
                      <w14:textFill>
                        <w14:solidFill>
                          <w14:schemeClr w14:val="accent1"/>
                        </w14:solidFill>
                      </w14:textFill>
                    </w:rPr>
                  </w:pPr>
                </w:p>
              </w:tc>
              <w:tc>
                <w:tcPr>
                  <w:tcW w:w="362" w:type="pct"/>
                  <w:vMerge w:val="continue"/>
                  <w:vAlign w:val="center"/>
                </w:tcPr>
                <w:p w14:paraId="42118008">
                  <w:pPr>
                    <w:pStyle w:val="24"/>
                    <w:bidi w:val="0"/>
                    <w:jc w:val="center"/>
                    <w:rPr>
                      <w:rFonts w:hint="default"/>
                      <w:color w:val="auto"/>
                      <w:lang w:val="en-US" w:eastAsia="zh-CN"/>
                    </w:rPr>
                  </w:pPr>
                </w:p>
              </w:tc>
              <w:tc>
                <w:tcPr>
                  <w:tcW w:w="490" w:type="pct"/>
                  <w:vAlign w:val="center"/>
                </w:tcPr>
                <w:p w14:paraId="5D32C563">
                  <w:pPr>
                    <w:pStyle w:val="24"/>
                    <w:bidi w:val="0"/>
                    <w:jc w:val="center"/>
                    <w:rPr>
                      <w:rFonts w:hint="default"/>
                      <w:color w:val="auto"/>
                      <w:lang w:val="en-US" w:eastAsia="zh-CN"/>
                    </w:rPr>
                  </w:pPr>
                  <w:r>
                    <w:rPr>
                      <w:rFonts w:hint="eastAsia"/>
                      <w:color w:val="auto"/>
                      <w:lang w:val="en-US" w:eastAsia="zh-CN"/>
                    </w:rPr>
                    <w:t>30.5</w:t>
                  </w:r>
                </w:p>
              </w:tc>
              <w:tc>
                <w:tcPr>
                  <w:tcW w:w="276" w:type="pct"/>
                  <w:vMerge w:val="continue"/>
                  <w:vAlign w:val="center"/>
                </w:tcPr>
                <w:p w14:paraId="1EE627A0">
                  <w:pPr>
                    <w:pStyle w:val="24"/>
                    <w:bidi w:val="0"/>
                    <w:jc w:val="center"/>
                    <w:rPr>
                      <w:rFonts w:hint="eastAsia"/>
                      <w:color w:val="auto"/>
                      <w:lang w:val="en-US" w:eastAsia="zh-CN"/>
                    </w:rPr>
                  </w:pPr>
                </w:p>
              </w:tc>
            </w:tr>
            <w:tr w14:paraId="2F97C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11F606BA">
                  <w:pPr>
                    <w:pStyle w:val="24"/>
                    <w:bidi w:val="0"/>
                    <w:jc w:val="center"/>
                    <w:rPr>
                      <w:rFonts w:hint="default"/>
                      <w:color w:val="4874CB" w:themeColor="accent1"/>
                      <w:lang w:val="en-US" w:eastAsia="zh-CN"/>
                      <w14:textFill>
                        <w14:solidFill>
                          <w14:schemeClr w14:val="accent1"/>
                        </w14:solidFill>
                      </w14:textFill>
                    </w:rPr>
                  </w:pPr>
                </w:p>
              </w:tc>
              <w:tc>
                <w:tcPr>
                  <w:tcW w:w="266" w:type="pct"/>
                  <w:vMerge w:val="restart"/>
                  <w:vAlign w:val="center"/>
                </w:tcPr>
                <w:p w14:paraId="2D362174">
                  <w:pPr>
                    <w:pStyle w:val="24"/>
                    <w:bidi w:val="0"/>
                    <w:jc w:val="center"/>
                    <w:rPr>
                      <w:rFonts w:hint="default" w:cs="Times New Roman"/>
                      <w:color w:val="auto"/>
                      <w:szCs w:val="21"/>
                      <w:u w:val="single" w:color="auto"/>
                      <w:lang w:val="en-US" w:eastAsia="zh-CN"/>
                    </w:rPr>
                  </w:pPr>
                  <w:r>
                    <w:rPr>
                      <w:rFonts w:hint="eastAsia" w:cs="Times New Roman"/>
                      <w:color w:val="auto"/>
                      <w:szCs w:val="21"/>
                      <w:u w:val="single" w:color="auto"/>
                      <w:lang w:val="en-US" w:eastAsia="zh-CN"/>
                    </w:rPr>
                    <w:t>烘干滚筒</w:t>
                  </w:r>
                </w:p>
              </w:tc>
              <w:tc>
                <w:tcPr>
                  <w:tcW w:w="416" w:type="pct"/>
                  <w:vMerge w:val="restart"/>
                  <w:vAlign w:val="center"/>
                </w:tcPr>
                <w:p w14:paraId="32E534A8">
                  <w:pPr>
                    <w:pStyle w:val="24"/>
                    <w:bidi w:val="0"/>
                    <w:jc w:val="center"/>
                    <w:rPr>
                      <w:rFonts w:hint="default"/>
                      <w:color w:val="auto"/>
                      <w:lang w:val="en-US" w:eastAsia="zh-CN"/>
                    </w:rPr>
                  </w:pPr>
                  <w:r>
                    <w:rPr>
                      <w:rFonts w:hint="eastAsia"/>
                      <w:color w:val="auto"/>
                      <w:lang w:val="en-US" w:eastAsia="zh-CN"/>
                    </w:rPr>
                    <w:t>85</w:t>
                  </w:r>
                </w:p>
              </w:tc>
              <w:tc>
                <w:tcPr>
                  <w:tcW w:w="304" w:type="pct"/>
                  <w:vMerge w:val="continue"/>
                  <w:vAlign w:val="center"/>
                </w:tcPr>
                <w:p w14:paraId="0E009BA3">
                  <w:pPr>
                    <w:pStyle w:val="24"/>
                    <w:bidi w:val="0"/>
                    <w:jc w:val="center"/>
                    <w:rPr>
                      <w:rFonts w:hint="default"/>
                      <w:color w:val="auto"/>
                      <w:lang w:val="en-US" w:eastAsia="zh-CN"/>
                    </w:rPr>
                  </w:pPr>
                </w:p>
              </w:tc>
              <w:tc>
                <w:tcPr>
                  <w:tcW w:w="399" w:type="pct"/>
                  <w:vMerge w:val="restart"/>
                  <w:vAlign w:val="center"/>
                </w:tcPr>
                <w:p w14:paraId="1E66A545">
                  <w:pPr>
                    <w:pStyle w:val="24"/>
                    <w:bidi w:val="0"/>
                    <w:jc w:val="center"/>
                    <w:rPr>
                      <w:rFonts w:hint="eastAsia"/>
                      <w:color w:val="auto"/>
                      <w:lang w:val="en-US" w:eastAsia="zh-CN"/>
                    </w:rPr>
                  </w:pPr>
                  <w:r>
                    <w:rPr>
                      <w:rFonts w:hint="eastAsia"/>
                      <w:color w:val="auto"/>
                      <w:lang w:val="en-US" w:eastAsia="zh-CN"/>
                    </w:rPr>
                    <w:t>33.8</w:t>
                  </w:r>
                </w:p>
              </w:tc>
              <w:tc>
                <w:tcPr>
                  <w:tcW w:w="380" w:type="pct"/>
                  <w:vMerge w:val="restart"/>
                  <w:vAlign w:val="center"/>
                </w:tcPr>
                <w:p w14:paraId="69E2AF89">
                  <w:pPr>
                    <w:pStyle w:val="24"/>
                    <w:bidi w:val="0"/>
                    <w:jc w:val="center"/>
                    <w:rPr>
                      <w:rFonts w:hint="default"/>
                      <w:color w:val="auto"/>
                      <w:lang w:val="en-US" w:eastAsia="zh-CN"/>
                    </w:rPr>
                  </w:pPr>
                  <w:r>
                    <w:rPr>
                      <w:rFonts w:hint="eastAsia"/>
                      <w:color w:val="auto"/>
                      <w:lang w:val="en-US" w:eastAsia="zh-CN"/>
                    </w:rPr>
                    <w:t>67</w:t>
                  </w:r>
                </w:p>
              </w:tc>
              <w:tc>
                <w:tcPr>
                  <w:tcW w:w="318" w:type="pct"/>
                  <w:vMerge w:val="restart"/>
                  <w:vAlign w:val="center"/>
                </w:tcPr>
                <w:p w14:paraId="2F454496">
                  <w:pPr>
                    <w:pStyle w:val="24"/>
                    <w:bidi w:val="0"/>
                    <w:jc w:val="center"/>
                    <w:rPr>
                      <w:rFonts w:hint="eastAsia"/>
                      <w:color w:val="auto"/>
                      <w:lang w:val="en-US" w:eastAsia="zh-CN"/>
                    </w:rPr>
                  </w:pPr>
                  <w:r>
                    <w:rPr>
                      <w:rFonts w:hint="eastAsia"/>
                      <w:color w:val="auto"/>
                      <w:lang w:val="en-US" w:eastAsia="zh-CN"/>
                    </w:rPr>
                    <w:t>1.2</w:t>
                  </w:r>
                </w:p>
              </w:tc>
              <w:tc>
                <w:tcPr>
                  <w:tcW w:w="267" w:type="pct"/>
                  <w:vAlign w:val="center"/>
                </w:tcPr>
                <w:p w14:paraId="164B4240">
                  <w:pPr>
                    <w:pStyle w:val="24"/>
                    <w:bidi w:val="0"/>
                    <w:ind w:firstLine="0" w:firstLineChars="0"/>
                    <w:jc w:val="center"/>
                    <w:rPr>
                      <w:rFonts w:hint="eastAsia"/>
                      <w:color w:val="auto"/>
                      <w:lang w:val="en-US" w:eastAsia="zh-CN"/>
                    </w:rPr>
                  </w:pPr>
                  <w:r>
                    <w:rPr>
                      <w:rFonts w:hint="eastAsia"/>
                      <w:color w:val="auto"/>
                      <w:lang w:val="en-US" w:eastAsia="zh-CN"/>
                    </w:rPr>
                    <w:t>东</w:t>
                  </w:r>
                </w:p>
              </w:tc>
              <w:tc>
                <w:tcPr>
                  <w:tcW w:w="459" w:type="pct"/>
                  <w:vAlign w:val="center"/>
                </w:tcPr>
                <w:p w14:paraId="757731FB">
                  <w:pPr>
                    <w:pStyle w:val="24"/>
                    <w:bidi w:val="0"/>
                    <w:jc w:val="center"/>
                    <w:rPr>
                      <w:rFonts w:hint="eastAsia"/>
                      <w:color w:val="auto"/>
                      <w:lang w:val="en-US" w:eastAsia="zh-CN"/>
                    </w:rPr>
                  </w:pPr>
                  <w:r>
                    <w:rPr>
                      <w:rFonts w:hint="eastAsia"/>
                      <w:color w:val="auto"/>
                      <w:lang w:val="en-US" w:eastAsia="zh-CN"/>
                    </w:rPr>
                    <w:t>13.8</w:t>
                  </w:r>
                </w:p>
              </w:tc>
              <w:tc>
                <w:tcPr>
                  <w:tcW w:w="503" w:type="pct"/>
                  <w:vAlign w:val="center"/>
                </w:tcPr>
                <w:p w14:paraId="01F5C4F8">
                  <w:pPr>
                    <w:pStyle w:val="24"/>
                    <w:bidi w:val="0"/>
                    <w:jc w:val="center"/>
                    <w:rPr>
                      <w:rFonts w:hint="eastAsia"/>
                      <w:color w:val="auto"/>
                      <w:lang w:val="en-US" w:eastAsia="zh-CN"/>
                    </w:rPr>
                  </w:pPr>
                  <w:r>
                    <w:rPr>
                      <w:rFonts w:hint="eastAsia"/>
                      <w:color w:val="auto"/>
                      <w:lang w:val="en-US" w:eastAsia="zh-CN"/>
                    </w:rPr>
                    <w:t>62.2</w:t>
                  </w:r>
                </w:p>
              </w:tc>
              <w:tc>
                <w:tcPr>
                  <w:tcW w:w="287" w:type="pct"/>
                  <w:vMerge w:val="continue"/>
                  <w:vAlign w:val="center"/>
                </w:tcPr>
                <w:p w14:paraId="0273A158">
                  <w:pPr>
                    <w:pStyle w:val="24"/>
                    <w:bidi w:val="0"/>
                    <w:jc w:val="center"/>
                    <w:rPr>
                      <w:rFonts w:hint="default"/>
                      <w:color w:val="4874CB" w:themeColor="accent1"/>
                      <w:lang w:val="en-US" w:eastAsia="zh-CN"/>
                      <w14:textFill>
                        <w14:solidFill>
                          <w14:schemeClr w14:val="accent1"/>
                        </w14:solidFill>
                      </w14:textFill>
                    </w:rPr>
                  </w:pPr>
                </w:p>
              </w:tc>
              <w:tc>
                <w:tcPr>
                  <w:tcW w:w="362" w:type="pct"/>
                  <w:vMerge w:val="restart"/>
                  <w:vAlign w:val="center"/>
                </w:tcPr>
                <w:p w14:paraId="63557496">
                  <w:pPr>
                    <w:pStyle w:val="24"/>
                    <w:bidi w:val="0"/>
                    <w:jc w:val="center"/>
                    <w:rPr>
                      <w:rFonts w:hint="default"/>
                      <w:color w:val="auto"/>
                      <w:lang w:val="en-US" w:eastAsia="zh-CN"/>
                    </w:rPr>
                  </w:pPr>
                  <w:r>
                    <w:rPr>
                      <w:rFonts w:hint="eastAsia"/>
                      <w:color w:val="auto"/>
                      <w:lang w:val="en-US" w:eastAsia="zh-CN"/>
                    </w:rPr>
                    <w:t>20</w:t>
                  </w:r>
                </w:p>
              </w:tc>
              <w:tc>
                <w:tcPr>
                  <w:tcW w:w="490" w:type="pct"/>
                  <w:vAlign w:val="center"/>
                </w:tcPr>
                <w:p w14:paraId="0EDFB1E7">
                  <w:pPr>
                    <w:pStyle w:val="24"/>
                    <w:bidi w:val="0"/>
                    <w:jc w:val="center"/>
                    <w:rPr>
                      <w:rFonts w:hint="eastAsia"/>
                      <w:color w:val="auto"/>
                      <w:lang w:val="en-US" w:eastAsia="zh-CN"/>
                    </w:rPr>
                  </w:pPr>
                  <w:r>
                    <w:rPr>
                      <w:rFonts w:hint="eastAsia"/>
                      <w:color w:val="auto"/>
                      <w:lang w:val="en-US" w:eastAsia="zh-CN"/>
                    </w:rPr>
                    <w:t>42.2</w:t>
                  </w:r>
                </w:p>
              </w:tc>
              <w:tc>
                <w:tcPr>
                  <w:tcW w:w="276" w:type="pct"/>
                  <w:vMerge w:val="restart"/>
                  <w:vAlign w:val="center"/>
                </w:tcPr>
                <w:p w14:paraId="7C225600">
                  <w:pPr>
                    <w:pStyle w:val="24"/>
                    <w:bidi w:val="0"/>
                    <w:jc w:val="center"/>
                    <w:rPr>
                      <w:rFonts w:hint="default"/>
                      <w:color w:val="auto"/>
                      <w:lang w:val="en-US" w:eastAsia="zh-CN"/>
                    </w:rPr>
                  </w:pPr>
                  <w:r>
                    <w:rPr>
                      <w:rFonts w:hint="eastAsia"/>
                      <w:color w:val="auto"/>
                      <w:lang w:val="en-US" w:eastAsia="zh-CN"/>
                    </w:rPr>
                    <w:t>1</w:t>
                  </w:r>
                </w:p>
              </w:tc>
            </w:tr>
            <w:tr w14:paraId="08027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40EFE7E8">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267EF928">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2B5A8B65">
                  <w:pPr>
                    <w:pStyle w:val="24"/>
                    <w:bidi w:val="0"/>
                    <w:jc w:val="center"/>
                    <w:rPr>
                      <w:rFonts w:hint="eastAsia"/>
                      <w:color w:val="auto"/>
                      <w:lang w:val="en-US" w:eastAsia="zh-CN"/>
                    </w:rPr>
                  </w:pPr>
                </w:p>
              </w:tc>
              <w:tc>
                <w:tcPr>
                  <w:tcW w:w="304" w:type="pct"/>
                  <w:vMerge w:val="continue"/>
                  <w:vAlign w:val="center"/>
                </w:tcPr>
                <w:p w14:paraId="50281EB1">
                  <w:pPr>
                    <w:pStyle w:val="24"/>
                    <w:bidi w:val="0"/>
                    <w:jc w:val="center"/>
                    <w:rPr>
                      <w:rFonts w:hint="default"/>
                      <w:color w:val="auto"/>
                      <w:lang w:val="en-US" w:eastAsia="zh-CN"/>
                    </w:rPr>
                  </w:pPr>
                </w:p>
              </w:tc>
              <w:tc>
                <w:tcPr>
                  <w:tcW w:w="399" w:type="pct"/>
                  <w:vMerge w:val="continue"/>
                  <w:vAlign w:val="center"/>
                </w:tcPr>
                <w:p w14:paraId="482F9623">
                  <w:pPr>
                    <w:pStyle w:val="24"/>
                    <w:bidi w:val="0"/>
                    <w:jc w:val="center"/>
                    <w:rPr>
                      <w:rFonts w:hint="eastAsia"/>
                      <w:color w:val="auto"/>
                      <w:lang w:val="en-US" w:eastAsia="zh-CN"/>
                    </w:rPr>
                  </w:pPr>
                </w:p>
              </w:tc>
              <w:tc>
                <w:tcPr>
                  <w:tcW w:w="380" w:type="pct"/>
                  <w:vMerge w:val="continue"/>
                  <w:vAlign w:val="center"/>
                </w:tcPr>
                <w:p w14:paraId="242F5B02">
                  <w:pPr>
                    <w:pStyle w:val="24"/>
                    <w:bidi w:val="0"/>
                    <w:jc w:val="center"/>
                    <w:rPr>
                      <w:rFonts w:hint="eastAsia"/>
                      <w:color w:val="auto"/>
                      <w:lang w:val="en-US" w:eastAsia="zh-CN"/>
                    </w:rPr>
                  </w:pPr>
                </w:p>
              </w:tc>
              <w:tc>
                <w:tcPr>
                  <w:tcW w:w="318" w:type="pct"/>
                  <w:vMerge w:val="continue"/>
                  <w:vAlign w:val="center"/>
                </w:tcPr>
                <w:p w14:paraId="5A811D35">
                  <w:pPr>
                    <w:pStyle w:val="24"/>
                    <w:bidi w:val="0"/>
                    <w:jc w:val="center"/>
                    <w:rPr>
                      <w:rFonts w:hint="eastAsia"/>
                      <w:color w:val="auto"/>
                      <w:lang w:val="en-US" w:eastAsia="zh-CN"/>
                    </w:rPr>
                  </w:pPr>
                </w:p>
              </w:tc>
              <w:tc>
                <w:tcPr>
                  <w:tcW w:w="267" w:type="pct"/>
                  <w:vAlign w:val="center"/>
                </w:tcPr>
                <w:p w14:paraId="1911685B">
                  <w:pPr>
                    <w:pStyle w:val="24"/>
                    <w:bidi w:val="0"/>
                    <w:ind w:firstLine="0" w:firstLineChars="0"/>
                    <w:jc w:val="center"/>
                    <w:rPr>
                      <w:rFonts w:hint="eastAsia"/>
                      <w:color w:val="auto"/>
                      <w:lang w:val="en-US" w:eastAsia="zh-CN"/>
                    </w:rPr>
                  </w:pPr>
                  <w:r>
                    <w:rPr>
                      <w:rFonts w:hint="eastAsia"/>
                      <w:color w:val="auto"/>
                      <w:lang w:val="en-US" w:eastAsia="zh-CN"/>
                    </w:rPr>
                    <w:t>南</w:t>
                  </w:r>
                </w:p>
              </w:tc>
              <w:tc>
                <w:tcPr>
                  <w:tcW w:w="459" w:type="pct"/>
                  <w:vAlign w:val="center"/>
                </w:tcPr>
                <w:p w14:paraId="3D028E8E">
                  <w:pPr>
                    <w:pStyle w:val="24"/>
                    <w:bidi w:val="0"/>
                    <w:jc w:val="center"/>
                    <w:rPr>
                      <w:rFonts w:hint="default"/>
                      <w:color w:val="auto"/>
                      <w:lang w:val="en-US" w:eastAsia="zh-CN"/>
                    </w:rPr>
                  </w:pPr>
                  <w:r>
                    <w:rPr>
                      <w:rFonts w:hint="eastAsia"/>
                      <w:color w:val="auto"/>
                      <w:lang w:val="en-US" w:eastAsia="zh-CN"/>
                    </w:rPr>
                    <w:t>56</w:t>
                  </w:r>
                </w:p>
              </w:tc>
              <w:tc>
                <w:tcPr>
                  <w:tcW w:w="503" w:type="pct"/>
                  <w:vAlign w:val="center"/>
                </w:tcPr>
                <w:p w14:paraId="69C7399E">
                  <w:pPr>
                    <w:pStyle w:val="24"/>
                    <w:bidi w:val="0"/>
                    <w:jc w:val="center"/>
                    <w:rPr>
                      <w:rFonts w:hint="default"/>
                      <w:color w:val="auto"/>
                      <w:lang w:val="en-US" w:eastAsia="zh-CN"/>
                    </w:rPr>
                  </w:pPr>
                  <w:r>
                    <w:rPr>
                      <w:rFonts w:hint="eastAsia"/>
                      <w:color w:val="auto"/>
                      <w:lang w:val="en-US" w:eastAsia="zh-CN"/>
                    </w:rPr>
                    <w:t>50.0</w:t>
                  </w:r>
                </w:p>
              </w:tc>
              <w:tc>
                <w:tcPr>
                  <w:tcW w:w="287" w:type="pct"/>
                  <w:vMerge w:val="continue"/>
                  <w:vAlign w:val="center"/>
                </w:tcPr>
                <w:p w14:paraId="237F006D">
                  <w:pPr>
                    <w:pStyle w:val="24"/>
                    <w:bidi w:val="0"/>
                    <w:jc w:val="center"/>
                    <w:rPr>
                      <w:rFonts w:hint="default"/>
                      <w:color w:val="4874CB" w:themeColor="accent1"/>
                      <w:lang w:val="en-US" w:eastAsia="zh-CN"/>
                      <w14:textFill>
                        <w14:solidFill>
                          <w14:schemeClr w14:val="accent1"/>
                        </w14:solidFill>
                      </w14:textFill>
                    </w:rPr>
                  </w:pPr>
                </w:p>
              </w:tc>
              <w:tc>
                <w:tcPr>
                  <w:tcW w:w="362" w:type="pct"/>
                  <w:vMerge w:val="continue"/>
                  <w:vAlign w:val="center"/>
                </w:tcPr>
                <w:p w14:paraId="24821BDE">
                  <w:pPr>
                    <w:pStyle w:val="24"/>
                    <w:bidi w:val="0"/>
                    <w:jc w:val="center"/>
                    <w:rPr>
                      <w:rFonts w:hint="default"/>
                      <w:color w:val="auto"/>
                      <w:lang w:val="en-US" w:eastAsia="zh-CN"/>
                    </w:rPr>
                  </w:pPr>
                </w:p>
              </w:tc>
              <w:tc>
                <w:tcPr>
                  <w:tcW w:w="490" w:type="pct"/>
                  <w:vAlign w:val="center"/>
                </w:tcPr>
                <w:p w14:paraId="2467EA8D">
                  <w:pPr>
                    <w:pStyle w:val="24"/>
                    <w:bidi w:val="0"/>
                    <w:jc w:val="center"/>
                    <w:rPr>
                      <w:rFonts w:hint="default"/>
                      <w:color w:val="auto"/>
                      <w:lang w:val="en-US" w:eastAsia="zh-CN"/>
                    </w:rPr>
                  </w:pPr>
                  <w:r>
                    <w:rPr>
                      <w:rFonts w:hint="eastAsia"/>
                      <w:color w:val="auto"/>
                      <w:lang w:val="en-US" w:eastAsia="zh-CN"/>
                    </w:rPr>
                    <w:t>30.0</w:t>
                  </w:r>
                </w:p>
              </w:tc>
              <w:tc>
                <w:tcPr>
                  <w:tcW w:w="276" w:type="pct"/>
                  <w:vMerge w:val="continue"/>
                  <w:vAlign w:val="center"/>
                </w:tcPr>
                <w:p w14:paraId="2784B1E6">
                  <w:pPr>
                    <w:pStyle w:val="24"/>
                    <w:bidi w:val="0"/>
                    <w:jc w:val="center"/>
                    <w:rPr>
                      <w:rFonts w:hint="eastAsia"/>
                      <w:color w:val="auto"/>
                      <w:lang w:val="en-US" w:eastAsia="zh-CN"/>
                    </w:rPr>
                  </w:pPr>
                </w:p>
              </w:tc>
            </w:tr>
            <w:tr w14:paraId="7A055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4B40CCBC">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592A0080">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6B1CCBBA">
                  <w:pPr>
                    <w:pStyle w:val="24"/>
                    <w:bidi w:val="0"/>
                    <w:jc w:val="center"/>
                    <w:rPr>
                      <w:rFonts w:hint="eastAsia"/>
                      <w:color w:val="auto"/>
                      <w:lang w:val="en-US" w:eastAsia="zh-CN"/>
                    </w:rPr>
                  </w:pPr>
                </w:p>
              </w:tc>
              <w:tc>
                <w:tcPr>
                  <w:tcW w:w="304" w:type="pct"/>
                  <w:vMerge w:val="continue"/>
                  <w:vAlign w:val="center"/>
                </w:tcPr>
                <w:p w14:paraId="29158A6B">
                  <w:pPr>
                    <w:pStyle w:val="24"/>
                    <w:bidi w:val="0"/>
                    <w:jc w:val="center"/>
                    <w:rPr>
                      <w:rFonts w:hint="default"/>
                      <w:color w:val="auto"/>
                      <w:lang w:val="en-US" w:eastAsia="zh-CN"/>
                    </w:rPr>
                  </w:pPr>
                </w:p>
              </w:tc>
              <w:tc>
                <w:tcPr>
                  <w:tcW w:w="399" w:type="pct"/>
                  <w:vMerge w:val="continue"/>
                  <w:vAlign w:val="center"/>
                </w:tcPr>
                <w:p w14:paraId="4293EE25">
                  <w:pPr>
                    <w:pStyle w:val="24"/>
                    <w:bidi w:val="0"/>
                    <w:jc w:val="center"/>
                    <w:rPr>
                      <w:rFonts w:hint="eastAsia"/>
                      <w:color w:val="auto"/>
                      <w:lang w:val="en-US" w:eastAsia="zh-CN"/>
                    </w:rPr>
                  </w:pPr>
                </w:p>
              </w:tc>
              <w:tc>
                <w:tcPr>
                  <w:tcW w:w="380" w:type="pct"/>
                  <w:vMerge w:val="continue"/>
                  <w:vAlign w:val="center"/>
                </w:tcPr>
                <w:p w14:paraId="70869559">
                  <w:pPr>
                    <w:pStyle w:val="24"/>
                    <w:bidi w:val="0"/>
                    <w:jc w:val="center"/>
                    <w:rPr>
                      <w:rFonts w:hint="eastAsia"/>
                      <w:color w:val="auto"/>
                      <w:lang w:val="en-US" w:eastAsia="zh-CN"/>
                    </w:rPr>
                  </w:pPr>
                </w:p>
              </w:tc>
              <w:tc>
                <w:tcPr>
                  <w:tcW w:w="318" w:type="pct"/>
                  <w:vMerge w:val="continue"/>
                  <w:vAlign w:val="center"/>
                </w:tcPr>
                <w:p w14:paraId="5E105A82">
                  <w:pPr>
                    <w:pStyle w:val="24"/>
                    <w:bidi w:val="0"/>
                    <w:jc w:val="center"/>
                    <w:rPr>
                      <w:rFonts w:hint="eastAsia"/>
                      <w:color w:val="auto"/>
                      <w:lang w:val="en-US" w:eastAsia="zh-CN"/>
                    </w:rPr>
                  </w:pPr>
                </w:p>
              </w:tc>
              <w:tc>
                <w:tcPr>
                  <w:tcW w:w="267" w:type="pct"/>
                  <w:vAlign w:val="center"/>
                </w:tcPr>
                <w:p w14:paraId="69AD7B50">
                  <w:pPr>
                    <w:pStyle w:val="24"/>
                    <w:bidi w:val="0"/>
                    <w:ind w:firstLine="0" w:firstLineChars="0"/>
                    <w:jc w:val="center"/>
                    <w:rPr>
                      <w:rFonts w:hint="eastAsia"/>
                      <w:color w:val="auto"/>
                      <w:lang w:val="en-US" w:eastAsia="zh-CN"/>
                    </w:rPr>
                  </w:pPr>
                  <w:r>
                    <w:rPr>
                      <w:rFonts w:hint="eastAsia"/>
                      <w:color w:val="auto"/>
                      <w:lang w:val="en-US" w:eastAsia="zh-CN"/>
                    </w:rPr>
                    <w:t>西</w:t>
                  </w:r>
                </w:p>
              </w:tc>
              <w:tc>
                <w:tcPr>
                  <w:tcW w:w="459" w:type="pct"/>
                  <w:vAlign w:val="center"/>
                </w:tcPr>
                <w:p w14:paraId="313E86C0">
                  <w:pPr>
                    <w:pStyle w:val="24"/>
                    <w:bidi w:val="0"/>
                    <w:jc w:val="center"/>
                    <w:rPr>
                      <w:rFonts w:hint="eastAsia"/>
                      <w:color w:val="auto"/>
                      <w:lang w:val="en-US" w:eastAsia="zh-CN"/>
                    </w:rPr>
                  </w:pPr>
                  <w:r>
                    <w:rPr>
                      <w:rFonts w:hint="eastAsia"/>
                      <w:color w:val="auto"/>
                      <w:lang w:val="en-US" w:eastAsia="zh-CN"/>
                    </w:rPr>
                    <w:t>27.8</w:t>
                  </w:r>
                </w:p>
              </w:tc>
              <w:tc>
                <w:tcPr>
                  <w:tcW w:w="503" w:type="pct"/>
                  <w:vAlign w:val="center"/>
                </w:tcPr>
                <w:p w14:paraId="77C7102D">
                  <w:pPr>
                    <w:pStyle w:val="24"/>
                    <w:bidi w:val="0"/>
                    <w:jc w:val="center"/>
                    <w:rPr>
                      <w:rFonts w:hint="eastAsia"/>
                      <w:color w:val="auto"/>
                      <w:lang w:val="en-US" w:eastAsia="zh-CN"/>
                    </w:rPr>
                  </w:pPr>
                  <w:r>
                    <w:rPr>
                      <w:rFonts w:hint="eastAsia"/>
                      <w:color w:val="auto"/>
                      <w:lang w:val="en-US" w:eastAsia="zh-CN"/>
                    </w:rPr>
                    <w:t>56.1</w:t>
                  </w:r>
                </w:p>
              </w:tc>
              <w:tc>
                <w:tcPr>
                  <w:tcW w:w="287" w:type="pct"/>
                  <w:vMerge w:val="continue"/>
                  <w:vAlign w:val="center"/>
                </w:tcPr>
                <w:p w14:paraId="6B6A5994">
                  <w:pPr>
                    <w:pStyle w:val="24"/>
                    <w:bidi w:val="0"/>
                    <w:jc w:val="center"/>
                    <w:rPr>
                      <w:rFonts w:hint="default"/>
                      <w:color w:val="4874CB" w:themeColor="accent1"/>
                      <w:lang w:val="en-US" w:eastAsia="zh-CN"/>
                      <w14:textFill>
                        <w14:solidFill>
                          <w14:schemeClr w14:val="accent1"/>
                        </w14:solidFill>
                      </w14:textFill>
                    </w:rPr>
                  </w:pPr>
                </w:p>
              </w:tc>
              <w:tc>
                <w:tcPr>
                  <w:tcW w:w="362" w:type="pct"/>
                  <w:vMerge w:val="continue"/>
                  <w:vAlign w:val="center"/>
                </w:tcPr>
                <w:p w14:paraId="4D5F7EEF">
                  <w:pPr>
                    <w:pStyle w:val="24"/>
                    <w:bidi w:val="0"/>
                    <w:jc w:val="center"/>
                    <w:rPr>
                      <w:rFonts w:hint="default"/>
                      <w:color w:val="auto"/>
                      <w:lang w:val="en-US" w:eastAsia="zh-CN"/>
                    </w:rPr>
                  </w:pPr>
                </w:p>
              </w:tc>
              <w:tc>
                <w:tcPr>
                  <w:tcW w:w="490" w:type="pct"/>
                  <w:vAlign w:val="center"/>
                </w:tcPr>
                <w:p w14:paraId="689263B4">
                  <w:pPr>
                    <w:pStyle w:val="24"/>
                    <w:bidi w:val="0"/>
                    <w:jc w:val="center"/>
                    <w:rPr>
                      <w:rFonts w:hint="eastAsia"/>
                      <w:color w:val="auto"/>
                      <w:lang w:val="en-US" w:eastAsia="zh-CN"/>
                    </w:rPr>
                  </w:pPr>
                  <w:r>
                    <w:rPr>
                      <w:rFonts w:hint="eastAsia"/>
                      <w:color w:val="auto"/>
                      <w:lang w:val="en-US" w:eastAsia="zh-CN"/>
                    </w:rPr>
                    <w:t>36.1</w:t>
                  </w:r>
                </w:p>
              </w:tc>
              <w:tc>
                <w:tcPr>
                  <w:tcW w:w="276" w:type="pct"/>
                  <w:vMerge w:val="continue"/>
                  <w:vAlign w:val="center"/>
                </w:tcPr>
                <w:p w14:paraId="16970723">
                  <w:pPr>
                    <w:pStyle w:val="24"/>
                    <w:bidi w:val="0"/>
                    <w:jc w:val="center"/>
                    <w:rPr>
                      <w:rFonts w:hint="eastAsia"/>
                      <w:color w:val="auto"/>
                      <w:lang w:val="en-US" w:eastAsia="zh-CN"/>
                    </w:rPr>
                  </w:pPr>
                </w:p>
              </w:tc>
            </w:tr>
            <w:tr w14:paraId="024B7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3D248C72">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5EB9A7A3">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566138E4">
                  <w:pPr>
                    <w:pStyle w:val="24"/>
                    <w:bidi w:val="0"/>
                    <w:jc w:val="center"/>
                    <w:rPr>
                      <w:rFonts w:hint="eastAsia"/>
                      <w:color w:val="auto"/>
                      <w:lang w:val="en-US" w:eastAsia="zh-CN"/>
                    </w:rPr>
                  </w:pPr>
                </w:p>
              </w:tc>
              <w:tc>
                <w:tcPr>
                  <w:tcW w:w="304" w:type="pct"/>
                  <w:vMerge w:val="continue"/>
                  <w:vAlign w:val="center"/>
                </w:tcPr>
                <w:p w14:paraId="378DF61D">
                  <w:pPr>
                    <w:pStyle w:val="24"/>
                    <w:bidi w:val="0"/>
                    <w:jc w:val="center"/>
                    <w:rPr>
                      <w:rFonts w:hint="default"/>
                      <w:color w:val="auto"/>
                      <w:lang w:val="en-US" w:eastAsia="zh-CN"/>
                    </w:rPr>
                  </w:pPr>
                </w:p>
              </w:tc>
              <w:tc>
                <w:tcPr>
                  <w:tcW w:w="399" w:type="pct"/>
                  <w:vMerge w:val="continue"/>
                  <w:vAlign w:val="center"/>
                </w:tcPr>
                <w:p w14:paraId="013C38CC">
                  <w:pPr>
                    <w:pStyle w:val="24"/>
                    <w:bidi w:val="0"/>
                    <w:jc w:val="center"/>
                    <w:rPr>
                      <w:rFonts w:hint="eastAsia"/>
                      <w:color w:val="auto"/>
                      <w:lang w:val="en-US" w:eastAsia="zh-CN"/>
                    </w:rPr>
                  </w:pPr>
                </w:p>
              </w:tc>
              <w:tc>
                <w:tcPr>
                  <w:tcW w:w="380" w:type="pct"/>
                  <w:vMerge w:val="continue"/>
                  <w:vAlign w:val="center"/>
                </w:tcPr>
                <w:p w14:paraId="238945AF">
                  <w:pPr>
                    <w:pStyle w:val="24"/>
                    <w:bidi w:val="0"/>
                    <w:jc w:val="center"/>
                    <w:rPr>
                      <w:rFonts w:hint="eastAsia"/>
                      <w:color w:val="auto"/>
                      <w:lang w:val="en-US" w:eastAsia="zh-CN"/>
                    </w:rPr>
                  </w:pPr>
                </w:p>
              </w:tc>
              <w:tc>
                <w:tcPr>
                  <w:tcW w:w="318" w:type="pct"/>
                  <w:vMerge w:val="continue"/>
                  <w:vAlign w:val="center"/>
                </w:tcPr>
                <w:p w14:paraId="1A824EF7">
                  <w:pPr>
                    <w:pStyle w:val="24"/>
                    <w:bidi w:val="0"/>
                    <w:jc w:val="center"/>
                    <w:rPr>
                      <w:rFonts w:hint="eastAsia"/>
                      <w:color w:val="auto"/>
                      <w:lang w:val="en-US" w:eastAsia="zh-CN"/>
                    </w:rPr>
                  </w:pPr>
                </w:p>
              </w:tc>
              <w:tc>
                <w:tcPr>
                  <w:tcW w:w="267" w:type="pct"/>
                  <w:vAlign w:val="center"/>
                </w:tcPr>
                <w:p w14:paraId="034C5D9F">
                  <w:pPr>
                    <w:pStyle w:val="24"/>
                    <w:bidi w:val="0"/>
                    <w:ind w:firstLine="0" w:firstLineChars="0"/>
                    <w:jc w:val="center"/>
                    <w:rPr>
                      <w:rFonts w:hint="eastAsia"/>
                      <w:color w:val="auto"/>
                      <w:lang w:val="en-US" w:eastAsia="zh-CN"/>
                    </w:rPr>
                  </w:pPr>
                  <w:r>
                    <w:rPr>
                      <w:rFonts w:hint="eastAsia"/>
                      <w:color w:val="auto"/>
                      <w:lang w:val="en-US" w:eastAsia="zh-CN"/>
                    </w:rPr>
                    <w:t>北</w:t>
                  </w:r>
                </w:p>
              </w:tc>
              <w:tc>
                <w:tcPr>
                  <w:tcW w:w="459" w:type="pct"/>
                  <w:vAlign w:val="center"/>
                </w:tcPr>
                <w:p w14:paraId="1EE17E26">
                  <w:pPr>
                    <w:pStyle w:val="24"/>
                    <w:bidi w:val="0"/>
                    <w:jc w:val="center"/>
                    <w:rPr>
                      <w:rFonts w:hint="default"/>
                      <w:color w:val="auto"/>
                      <w:lang w:val="en-US" w:eastAsia="zh-CN"/>
                    </w:rPr>
                  </w:pPr>
                  <w:r>
                    <w:rPr>
                      <w:rFonts w:hint="eastAsia"/>
                      <w:color w:val="auto"/>
                      <w:lang w:val="en-US" w:eastAsia="zh-CN"/>
                    </w:rPr>
                    <w:t>45</w:t>
                  </w:r>
                </w:p>
              </w:tc>
              <w:tc>
                <w:tcPr>
                  <w:tcW w:w="503" w:type="pct"/>
                  <w:vAlign w:val="center"/>
                </w:tcPr>
                <w:p w14:paraId="7C5EBC7A">
                  <w:pPr>
                    <w:pStyle w:val="24"/>
                    <w:bidi w:val="0"/>
                    <w:jc w:val="center"/>
                    <w:rPr>
                      <w:rFonts w:hint="default"/>
                      <w:color w:val="auto"/>
                      <w:lang w:val="en-US" w:eastAsia="zh-CN"/>
                    </w:rPr>
                  </w:pPr>
                  <w:r>
                    <w:rPr>
                      <w:rFonts w:hint="eastAsia"/>
                      <w:color w:val="auto"/>
                      <w:lang w:val="en-US" w:eastAsia="zh-CN"/>
                    </w:rPr>
                    <w:t>51.9</w:t>
                  </w:r>
                </w:p>
              </w:tc>
              <w:tc>
                <w:tcPr>
                  <w:tcW w:w="287" w:type="pct"/>
                  <w:vMerge w:val="continue"/>
                  <w:vAlign w:val="center"/>
                </w:tcPr>
                <w:p w14:paraId="1AD7EE10">
                  <w:pPr>
                    <w:pStyle w:val="24"/>
                    <w:bidi w:val="0"/>
                    <w:jc w:val="center"/>
                    <w:rPr>
                      <w:rFonts w:hint="default"/>
                      <w:color w:val="4874CB" w:themeColor="accent1"/>
                      <w:lang w:val="en-US" w:eastAsia="zh-CN"/>
                      <w14:textFill>
                        <w14:solidFill>
                          <w14:schemeClr w14:val="accent1"/>
                        </w14:solidFill>
                      </w14:textFill>
                    </w:rPr>
                  </w:pPr>
                </w:p>
              </w:tc>
              <w:tc>
                <w:tcPr>
                  <w:tcW w:w="362" w:type="pct"/>
                  <w:vMerge w:val="continue"/>
                  <w:vAlign w:val="center"/>
                </w:tcPr>
                <w:p w14:paraId="4D9A5D10">
                  <w:pPr>
                    <w:pStyle w:val="24"/>
                    <w:bidi w:val="0"/>
                    <w:jc w:val="center"/>
                    <w:rPr>
                      <w:rFonts w:hint="default"/>
                      <w:color w:val="auto"/>
                      <w:lang w:val="en-US" w:eastAsia="zh-CN"/>
                    </w:rPr>
                  </w:pPr>
                </w:p>
              </w:tc>
              <w:tc>
                <w:tcPr>
                  <w:tcW w:w="490" w:type="pct"/>
                  <w:vAlign w:val="center"/>
                </w:tcPr>
                <w:p w14:paraId="40716CBF">
                  <w:pPr>
                    <w:pStyle w:val="24"/>
                    <w:bidi w:val="0"/>
                    <w:jc w:val="center"/>
                    <w:rPr>
                      <w:rFonts w:hint="default"/>
                      <w:color w:val="auto"/>
                      <w:lang w:val="en-US" w:eastAsia="zh-CN"/>
                    </w:rPr>
                  </w:pPr>
                  <w:r>
                    <w:rPr>
                      <w:rFonts w:hint="eastAsia"/>
                      <w:color w:val="auto"/>
                      <w:lang w:val="en-US" w:eastAsia="zh-CN"/>
                    </w:rPr>
                    <w:t>31.9</w:t>
                  </w:r>
                </w:p>
              </w:tc>
              <w:tc>
                <w:tcPr>
                  <w:tcW w:w="276" w:type="pct"/>
                  <w:vMerge w:val="continue"/>
                  <w:vAlign w:val="center"/>
                </w:tcPr>
                <w:p w14:paraId="638C6117">
                  <w:pPr>
                    <w:pStyle w:val="24"/>
                    <w:bidi w:val="0"/>
                    <w:jc w:val="center"/>
                    <w:rPr>
                      <w:rFonts w:hint="eastAsia"/>
                      <w:color w:val="auto"/>
                      <w:lang w:val="en-US" w:eastAsia="zh-CN"/>
                    </w:rPr>
                  </w:pPr>
                </w:p>
              </w:tc>
            </w:tr>
            <w:tr w14:paraId="433A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114B0F97">
                  <w:pPr>
                    <w:pStyle w:val="24"/>
                    <w:bidi w:val="0"/>
                    <w:jc w:val="center"/>
                    <w:rPr>
                      <w:rFonts w:hint="default"/>
                      <w:color w:val="4874CB" w:themeColor="accent1"/>
                      <w:lang w:val="en-US" w:eastAsia="zh-CN"/>
                      <w14:textFill>
                        <w14:solidFill>
                          <w14:schemeClr w14:val="accent1"/>
                        </w14:solidFill>
                      </w14:textFill>
                    </w:rPr>
                  </w:pPr>
                </w:p>
              </w:tc>
              <w:tc>
                <w:tcPr>
                  <w:tcW w:w="266" w:type="pct"/>
                  <w:vMerge w:val="restart"/>
                  <w:vAlign w:val="center"/>
                </w:tcPr>
                <w:p w14:paraId="62017916">
                  <w:pPr>
                    <w:pStyle w:val="24"/>
                    <w:bidi w:val="0"/>
                    <w:jc w:val="center"/>
                    <w:rPr>
                      <w:rFonts w:hint="default" w:cs="Times New Roman"/>
                      <w:color w:val="auto"/>
                      <w:szCs w:val="21"/>
                      <w:u w:val="single" w:color="auto"/>
                      <w:lang w:val="en-US" w:eastAsia="zh-CN"/>
                    </w:rPr>
                  </w:pPr>
                  <w:r>
                    <w:rPr>
                      <w:rFonts w:hint="eastAsia" w:cs="Times New Roman"/>
                      <w:color w:val="auto"/>
                      <w:szCs w:val="21"/>
                      <w:u w:val="single" w:color="auto"/>
                      <w:lang w:val="en-US" w:eastAsia="zh-CN"/>
                    </w:rPr>
                    <w:t>冷却滚筒</w:t>
                  </w:r>
                </w:p>
              </w:tc>
              <w:tc>
                <w:tcPr>
                  <w:tcW w:w="416" w:type="pct"/>
                  <w:vMerge w:val="restart"/>
                  <w:vAlign w:val="center"/>
                </w:tcPr>
                <w:p w14:paraId="5F19FB9A">
                  <w:pPr>
                    <w:pStyle w:val="24"/>
                    <w:bidi w:val="0"/>
                    <w:jc w:val="center"/>
                    <w:rPr>
                      <w:rFonts w:hint="default"/>
                      <w:color w:val="auto"/>
                      <w:u w:val="single"/>
                      <w:lang w:val="en-US" w:eastAsia="zh-CN"/>
                    </w:rPr>
                  </w:pPr>
                  <w:r>
                    <w:rPr>
                      <w:rFonts w:hint="eastAsia"/>
                      <w:color w:val="auto"/>
                      <w:u w:val="single"/>
                      <w:lang w:val="en-US" w:eastAsia="zh-CN"/>
                    </w:rPr>
                    <w:t>78</w:t>
                  </w:r>
                </w:p>
              </w:tc>
              <w:tc>
                <w:tcPr>
                  <w:tcW w:w="304" w:type="pct"/>
                  <w:vMerge w:val="continue"/>
                  <w:vAlign w:val="center"/>
                </w:tcPr>
                <w:p w14:paraId="4B469294">
                  <w:pPr>
                    <w:pStyle w:val="24"/>
                    <w:bidi w:val="0"/>
                    <w:jc w:val="center"/>
                    <w:rPr>
                      <w:rFonts w:hint="default"/>
                      <w:color w:val="auto"/>
                      <w:u w:val="single"/>
                      <w:lang w:val="en-US" w:eastAsia="zh-CN"/>
                    </w:rPr>
                  </w:pPr>
                </w:p>
              </w:tc>
              <w:tc>
                <w:tcPr>
                  <w:tcW w:w="399" w:type="pct"/>
                  <w:vMerge w:val="restart"/>
                  <w:vAlign w:val="center"/>
                </w:tcPr>
                <w:p w14:paraId="14D8CE92">
                  <w:pPr>
                    <w:pStyle w:val="24"/>
                    <w:bidi w:val="0"/>
                    <w:jc w:val="center"/>
                    <w:rPr>
                      <w:rFonts w:hint="eastAsia"/>
                      <w:color w:val="auto"/>
                      <w:u w:val="single"/>
                      <w:lang w:val="en-US" w:eastAsia="zh-CN"/>
                    </w:rPr>
                  </w:pPr>
                  <w:r>
                    <w:rPr>
                      <w:rFonts w:hint="eastAsia"/>
                      <w:color w:val="auto"/>
                      <w:u w:val="single"/>
                      <w:lang w:val="en-US" w:eastAsia="zh-CN"/>
                    </w:rPr>
                    <w:t>33.8</w:t>
                  </w:r>
                </w:p>
              </w:tc>
              <w:tc>
                <w:tcPr>
                  <w:tcW w:w="380" w:type="pct"/>
                  <w:vMerge w:val="restart"/>
                  <w:vAlign w:val="center"/>
                </w:tcPr>
                <w:p w14:paraId="700F6ABE">
                  <w:pPr>
                    <w:pStyle w:val="24"/>
                    <w:bidi w:val="0"/>
                    <w:jc w:val="center"/>
                    <w:rPr>
                      <w:rFonts w:hint="default"/>
                      <w:color w:val="auto"/>
                      <w:u w:val="single"/>
                      <w:lang w:val="en-US" w:eastAsia="zh-CN"/>
                    </w:rPr>
                  </w:pPr>
                  <w:r>
                    <w:rPr>
                      <w:rFonts w:hint="eastAsia"/>
                      <w:color w:val="auto"/>
                      <w:u w:val="single"/>
                      <w:lang w:val="en-US" w:eastAsia="zh-CN"/>
                    </w:rPr>
                    <w:t>91</w:t>
                  </w:r>
                </w:p>
              </w:tc>
              <w:tc>
                <w:tcPr>
                  <w:tcW w:w="318" w:type="pct"/>
                  <w:vMerge w:val="restart"/>
                  <w:vAlign w:val="center"/>
                </w:tcPr>
                <w:p w14:paraId="0CDFC3CB">
                  <w:pPr>
                    <w:pStyle w:val="24"/>
                    <w:bidi w:val="0"/>
                    <w:jc w:val="center"/>
                    <w:rPr>
                      <w:rFonts w:hint="eastAsia"/>
                      <w:color w:val="auto"/>
                      <w:u w:val="single"/>
                      <w:lang w:val="en-US" w:eastAsia="zh-CN"/>
                    </w:rPr>
                  </w:pPr>
                  <w:r>
                    <w:rPr>
                      <w:rFonts w:hint="eastAsia"/>
                      <w:color w:val="auto"/>
                      <w:u w:val="single"/>
                      <w:lang w:val="en-US" w:eastAsia="zh-CN"/>
                    </w:rPr>
                    <w:t>1.2</w:t>
                  </w:r>
                </w:p>
              </w:tc>
              <w:tc>
                <w:tcPr>
                  <w:tcW w:w="267" w:type="pct"/>
                  <w:vAlign w:val="center"/>
                </w:tcPr>
                <w:p w14:paraId="2680BD8C">
                  <w:pPr>
                    <w:pStyle w:val="24"/>
                    <w:bidi w:val="0"/>
                    <w:ind w:firstLine="0" w:firstLineChars="0"/>
                    <w:jc w:val="center"/>
                    <w:rPr>
                      <w:rFonts w:hint="eastAsia"/>
                      <w:color w:val="auto"/>
                      <w:u w:val="single"/>
                      <w:lang w:val="en-US" w:eastAsia="zh-CN"/>
                    </w:rPr>
                  </w:pPr>
                  <w:r>
                    <w:rPr>
                      <w:rFonts w:hint="eastAsia"/>
                      <w:color w:val="auto"/>
                      <w:u w:val="single"/>
                      <w:lang w:val="en-US" w:eastAsia="zh-CN"/>
                    </w:rPr>
                    <w:t>东</w:t>
                  </w:r>
                </w:p>
              </w:tc>
              <w:tc>
                <w:tcPr>
                  <w:tcW w:w="459" w:type="pct"/>
                  <w:vAlign w:val="center"/>
                </w:tcPr>
                <w:p w14:paraId="4EF00E26">
                  <w:pPr>
                    <w:pStyle w:val="24"/>
                    <w:bidi w:val="0"/>
                    <w:jc w:val="center"/>
                    <w:rPr>
                      <w:rFonts w:hint="eastAsia"/>
                      <w:color w:val="auto"/>
                      <w:u w:val="single"/>
                      <w:lang w:val="en-US" w:eastAsia="zh-CN"/>
                    </w:rPr>
                  </w:pPr>
                  <w:r>
                    <w:rPr>
                      <w:rFonts w:hint="eastAsia"/>
                      <w:color w:val="auto"/>
                      <w:u w:val="single"/>
                      <w:lang w:val="en-US" w:eastAsia="zh-CN"/>
                    </w:rPr>
                    <w:t>13.8</w:t>
                  </w:r>
                </w:p>
              </w:tc>
              <w:tc>
                <w:tcPr>
                  <w:tcW w:w="503" w:type="pct"/>
                  <w:vAlign w:val="center"/>
                </w:tcPr>
                <w:p w14:paraId="74AA3AE0">
                  <w:pPr>
                    <w:pStyle w:val="24"/>
                    <w:bidi w:val="0"/>
                    <w:jc w:val="center"/>
                    <w:rPr>
                      <w:rFonts w:hint="default"/>
                      <w:color w:val="auto"/>
                      <w:u w:val="single"/>
                      <w:lang w:val="en-US" w:eastAsia="zh-CN"/>
                    </w:rPr>
                  </w:pPr>
                  <w:r>
                    <w:rPr>
                      <w:rFonts w:hint="eastAsia"/>
                      <w:color w:val="auto"/>
                      <w:u w:val="single"/>
                      <w:lang w:val="en-US" w:eastAsia="zh-CN"/>
                    </w:rPr>
                    <w:t>53.8</w:t>
                  </w:r>
                </w:p>
              </w:tc>
              <w:tc>
                <w:tcPr>
                  <w:tcW w:w="287" w:type="pct"/>
                  <w:vMerge w:val="continue"/>
                  <w:vAlign w:val="center"/>
                </w:tcPr>
                <w:p w14:paraId="5A3FACF4">
                  <w:pPr>
                    <w:pStyle w:val="24"/>
                    <w:bidi w:val="0"/>
                    <w:jc w:val="center"/>
                    <w:rPr>
                      <w:rFonts w:hint="default"/>
                      <w:color w:val="4874CB" w:themeColor="accent1"/>
                      <w:u w:val="single"/>
                      <w:lang w:val="en-US" w:eastAsia="zh-CN"/>
                      <w14:textFill>
                        <w14:solidFill>
                          <w14:schemeClr w14:val="accent1"/>
                        </w14:solidFill>
                      </w14:textFill>
                    </w:rPr>
                  </w:pPr>
                </w:p>
              </w:tc>
              <w:tc>
                <w:tcPr>
                  <w:tcW w:w="362" w:type="pct"/>
                  <w:vMerge w:val="restart"/>
                  <w:vAlign w:val="center"/>
                </w:tcPr>
                <w:p w14:paraId="32B59A00">
                  <w:pPr>
                    <w:pStyle w:val="24"/>
                    <w:bidi w:val="0"/>
                    <w:jc w:val="center"/>
                    <w:rPr>
                      <w:rFonts w:hint="default"/>
                      <w:color w:val="auto"/>
                      <w:u w:val="single"/>
                      <w:lang w:val="en-US" w:eastAsia="zh-CN"/>
                    </w:rPr>
                  </w:pPr>
                  <w:r>
                    <w:rPr>
                      <w:rFonts w:hint="eastAsia"/>
                      <w:color w:val="auto"/>
                      <w:u w:val="single"/>
                      <w:lang w:val="en-US" w:eastAsia="zh-CN"/>
                    </w:rPr>
                    <w:t>20</w:t>
                  </w:r>
                </w:p>
              </w:tc>
              <w:tc>
                <w:tcPr>
                  <w:tcW w:w="490" w:type="pct"/>
                  <w:vAlign w:val="center"/>
                </w:tcPr>
                <w:p w14:paraId="737C6B5A">
                  <w:pPr>
                    <w:pStyle w:val="24"/>
                    <w:bidi w:val="0"/>
                    <w:jc w:val="center"/>
                    <w:rPr>
                      <w:rFonts w:hint="default"/>
                      <w:color w:val="auto"/>
                      <w:u w:val="single"/>
                      <w:lang w:val="en-US" w:eastAsia="zh-CN"/>
                    </w:rPr>
                  </w:pPr>
                  <w:r>
                    <w:rPr>
                      <w:rFonts w:hint="eastAsia"/>
                      <w:color w:val="auto"/>
                      <w:u w:val="single"/>
                      <w:lang w:val="en-US" w:eastAsia="zh-CN"/>
                    </w:rPr>
                    <w:t>33.8</w:t>
                  </w:r>
                </w:p>
              </w:tc>
              <w:tc>
                <w:tcPr>
                  <w:tcW w:w="276" w:type="pct"/>
                  <w:vMerge w:val="restart"/>
                  <w:vAlign w:val="center"/>
                </w:tcPr>
                <w:p w14:paraId="198C35B1">
                  <w:pPr>
                    <w:pStyle w:val="24"/>
                    <w:bidi w:val="0"/>
                    <w:jc w:val="center"/>
                    <w:rPr>
                      <w:rFonts w:hint="default"/>
                      <w:color w:val="auto"/>
                      <w:lang w:val="en-US" w:eastAsia="zh-CN"/>
                    </w:rPr>
                  </w:pPr>
                  <w:r>
                    <w:rPr>
                      <w:rFonts w:hint="eastAsia"/>
                      <w:color w:val="auto"/>
                      <w:lang w:val="en-US" w:eastAsia="zh-CN"/>
                    </w:rPr>
                    <w:t>1</w:t>
                  </w:r>
                </w:p>
              </w:tc>
            </w:tr>
            <w:tr w14:paraId="0F77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1B4DA374">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62583C84">
                  <w:pPr>
                    <w:pStyle w:val="24"/>
                    <w:bidi w:val="0"/>
                    <w:jc w:val="center"/>
                    <w:rPr>
                      <w:rFonts w:hint="eastAsia" w:cs="Times New Roman"/>
                      <w:color w:val="auto"/>
                      <w:szCs w:val="21"/>
                      <w:u w:val="single" w:color="auto"/>
                      <w:lang w:val="en-US" w:eastAsia="zh-CN"/>
                    </w:rPr>
                  </w:pPr>
                </w:p>
              </w:tc>
              <w:tc>
                <w:tcPr>
                  <w:tcW w:w="416" w:type="pct"/>
                  <w:vMerge w:val="continue"/>
                  <w:vAlign w:val="center"/>
                </w:tcPr>
                <w:p w14:paraId="675A9247">
                  <w:pPr>
                    <w:pStyle w:val="24"/>
                    <w:bidi w:val="0"/>
                    <w:jc w:val="center"/>
                    <w:rPr>
                      <w:rFonts w:hint="eastAsia"/>
                      <w:color w:val="auto"/>
                      <w:u w:val="single"/>
                      <w:lang w:val="en-US" w:eastAsia="zh-CN"/>
                    </w:rPr>
                  </w:pPr>
                </w:p>
              </w:tc>
              <w:tc>
                <w:tcPr>
                  <w:tcW w:w="304" w:type="pct"/>
                  <w:vMerge w:val="continue"/>
                  <w:vAlign w:val="center"/>
                </w:tcPr>
                <w:p w14:paraId="6F841E75">
                  <w:pPr>
                    <w:pStyle w:val="24"/>
                    <w:bidi w:val="0"/>
                    <w:jc w:val="center"/>
                    <w:rPr>
                      <w:rFonts w:hint="default"/>
                      <w:color w:val="auto"/>
                      <w:u w:val="single"/>
                      <w:lang w:val="en-US" w:eastAsia="zh-CN"/>
                    </w:rPr>
                  </w:pPr>
                </w:p>
              </w:tc>
              <w:tc>
                <w:tcPr>
                  <w:tcW w:w="399" w:type="pct"/>
                  <w:vMerge w:val="continue"/>
                  <w:vAlign w:val="center"/>
                </w:tcPr>
                <w:p w14:paraId="54238E89">
                  <w:pPr>
                    <w:pStyle w:val="24"/>
                    <w:bidi w:val="0"/>
                    <w:jc w:val="center"/>
                    <w:rPr>
                      <w:rFonts w:hint="eastAsia"/>
                      <w:color w:val="auto"/>
                      <w:u w:val="single"/>
                      <w:lang w:val="en-US" w:eastAsia="zh-CN"/>
                    </w:rPr>
                  </w:pPr>
                </w:p>
              </w:tc>
              <w:tc>
                <w:tcPr>
                  <w:tcW w:w="380" w:type="pct"/>
                  <w:vMerge w:val="continue"/>
                  <w:vAlign w:val="center"/>
                </w:tcPr>
                <w:p w14:paraId="6B58DF2F">
                  <w:pPr>
                    <w:pStyle w:val="24"/>
                    <w:bidi w:val="0"/>
                    <w:jc w:val="center"/>
                    <w:rPr>
                      <w:rFonts w:hint="eastAsia"/>
                      <w:color w:val="auto"/>
                      <w:u w:val="single"/>
                      <w:lang w:val="en-US" w:eastAsia="zh-CN"/>
                    </w:rPr>
                  </w:pPr>
                </w:p>
              </w:tc>
              <w:tc>
                <w:tcPr>
                  <w:tcW w:w="318" w:type="pct"/>
                  <w:vMerge w:val="continue"/>
                  <w:vAlign w:val="center"/>
                </w:tcPr>
                <w:p w14:paraId="4DA4A874">
                  <w:pPr>
                    <w:pStyle w:val="24"/>
                    <w:bidi w:val="0"/>
                    <w:jc w:val="center"/>
                    <w:rPr>
                      <w:rFonts w:hint="eastAsia"/>
                      <w:color w:val="auto"/>
                      <w:u w:val="single"/>
                      <w:lang w:val="en-US" w:eastAsia="zh-CN"/>
                    </w:rPr>
                  </w:pPr>
                </w:p>
              </w:tc>
              <w:tc>
                <w:tcPr>
                  <w:tcW w:w="267" w:type="pct"/>
                  <w:vAlign w:val="center"/>
                </w:tcPr>
                <w:p w14:paraId="055D0C85">
                  <w:pPr>
                    <w:pStyle w:val="24"/>
                    <w:bidi w:val="0"/>
                    <w:ind w:firstLine="0" w:firstLineChars="0"/>
                    <w:jc w:val="center"/>
                    <w:rPr>
                      <w:rFonts w:hint="eastAsia"/>
                      <w:color w:val="auto"/>
                      <w:u w:val="single"/>
                      <w:lang w:val="en-US" w:eastAsia="zh-CN"/>
                    </w:rPr>
                  </w:pPr>
                  <w:r>
                    <w:rPr>
                      <w:rFonts w:hint="eastAsia"/>
                      <w:color w:val="auto"/>
                      <w:u w:val="single"/>
                      <w:lang w:val="en-US" w:eastAsia="zh-CN"/>
                    </w:rPr>
                    <w:t>南</w:t>
                  </w:r>
                </w:p>
              </w:tc>
              <w:tc>
                <w:tcPr>
                  <w:tcW w:w="459" w:type="pct"/>
                  <w:vAlign w:val="center"/>
                </w:tcPr>
                <w:p w14:paraId="06DEAE5A">
                  <w:pPr>
                    <w:pStyle w:val="24"/>
                    <w:bidi w:val="0"/>
                    <w:jc w:val="center"/>
                    <w:rPr>
                      <w:rFonts w:hint="default"/>
                      <w:color w:val="auto"/>
                      <w:u w:val="single"/>
                      <w:lang w:val="en-US" w:eastAsia="zh-CN"/>
                    </w:rPr>
                  </w:pPr>
                  <w:r>
                    <w:rPr>
                      <w:rFonts w:hint="eastAsia"/>
                      <w:color w:val="auto"/>
                      <w:u w:val="single"/>
                      <w:lang w:val="en-US" w:eastAsia="zh-CN"/>
                    </w:rPr>
                    <w:t>80</w:t>
                  </w:r>
                </w:p>
              </w:tc>
              <w:tc>
                <w:tcPr>
                  <w:tcW w:w="503" w:type="pct"/>
                  <w:vAlign w:val="center"/>
                </w:tcPr>
                <w:p w14:paraId="69AC28FE">
                  <w:pPr>
                    <w:pStyle w:val="24"/>
                    <w:bidi w:val="0"/>
                    <w:jc w:val="center"/>
                    <w:rPr>
                      <w:rFonts w:hint="default"/>
                      <w:color w:val="auto"/>
                      <w:u w:val="single"/>
                      <w:lang w:val="en-US" w:eastAsia="zh-CN"/>
                    </w:rPr>
                  </w:pPr>
                  <w:r>
                    <w:rPr>
                      <w:rFonts w:hint="eastAsia"/>
                      <w:color w:val="auto"/>
                      <w:u w:val="single"/>
                      <w:lang w:val="en-US" w:eastAsia="zh-CN"/>
                    </w:rPr>
                    <w:t>45.5</w:t>
                  </w:r>
                </w:p>
              </w:tc>
              <w:tc>
                <w:tcPr>
                  <w:tcW w:w="287" w:type="pct"/>
                  <w:vMerge w:val="continue"/>
                  <w:vAlign w:val="center"/>
                </w:tcPr>
                <w:p w14:paraId="1E274AE1">
                  <w:pPr>
                    <w:pStyle w:val="24"/>
                    <w:bidi w:val="0"/>
                    <w:jc w:val="center"/>
                    <w:rPr>
                      <w:rFonts w:hint="default"/>
                      <w:color w:val="4874CB" w:themeColor="accent1"/>
                      <w:u w:val="single"/>
                      <w:lang w:val="en-US" w:eastAsia="zh-CN"/>
                      <w14:textFill>
                        <w14:solidFill>
                          <w14:schemeClr w14:val="accent1"/>
                        </w14:solidFill>
                      </w14:textFill>
                    </w:rPr>
                  </w:pPr>
                </w:p>
              </w:tc>
              <w:tc>
                <w:tcPr>
                  <w:tcW w:w="362" w:type="pct"/>
                  <w:vMerge w:val="continue"/>
                  <w:vAlign w:val="center"/>
                </w:tcPr>
                <w:p w14:paraId="73CABCC9">
                  <w:pPr>
                    <w:pStyle w:val="24"/>
                    <w:bidi w:val="0"/>
                    <w:jc w:val="center"/>
                    <w:rPr>
                      <w:rFonts w:hint="default"/>
                      <w:color w:val="auto"/>
                      <w:u w:val="single"/>
                      <w:lang w:val="en-US" w:eastAsia="zh-CN"/>
                    </w:rPr>
                  </w:pPr>
                </w:p>
              </w:tc>
              <w:tc>
                <w:tcPr>
                  <w:tcW w:w="490" w:type="pct"/>
                  <w:vAlign w:val="center"/>
                </w:tcPr>
                <w:p w14:paraId="60F22318">
                  <w:pPr>
                    <w:pStyle w:val="24"/>
                    <w:bidi w:val="0"/>
                    <w:jc w:val="center"/>
                    <w:rPr>
                      <w:rFonts w:hint="default"/>
                      <w:color w:val="auto"/>
                      <w:u w:val="single"/>
                      <w:lang w:val="en-US" w:eastAsia="zh-CN"/>
                    </w:rPr>
                  </w:pPr>
                  <w:r>
                    <w:rPr>
                      <w:rFonts w:hint="eastAsia"/>
                      <w:color w:val="auto"/>
                      <w:u w:val="single"/>
                      <w:lang w:val="en-US" w:eastAsia="zh-CN"/>
                    </w:rPr>
                    <w:t>25.5</w:t>
                  </w:r>
                </w:p>
              </w:tc>
              <w:tc>
                <w:tcPr>
                  <w:tcW w:w="276" w:type="pct"/>
                  <w:vMerge w:val="continue"/>
                  <w:vAlign w:val="center"/>
                </w:tcPr>
                <w:p w14:paraId="6A9D647C">
                  <w:pPr>
                    <w:pStyle w:val="24"/>
                    <w:bidi w:val="0"/>
                    <w:jc w:val="center"/>
                    <w:rPr>
                      <w:rFonts w:hint="eastAsia"/>
                      <w:color w:val="4874CB" w:themeColor="accent1"/>
                      <w:lang w:val="en-US" w:eastAsia="zh-CN"/>
                      <w14:textFill>
                        <w14:solidFill>
                          <w14:schemeClr w14:val="accent1"/>
                        </w14:solidFill>
                      </w14:textFill>
                    </w:rPr>
                  </w:pPr>
                </w:p>
              </w:tc>
            </w:tr>
            <w:tr w14:paraId="3528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3BC98ED1">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0DAC465F">
                  <w:pPr>
                    <w:pStyle w:val="24"/>
                    <w:bidi w:val="0"/>
                    <w:jc w:val="center"/>
                    <w:rPr>
                      <w:rFonts w:hint="eastAsia" w:cs="Times New Roman"/>
                      <w:color w:val="auto"/>
                      <w:szCs w:val="21"/>
                      <w:u w:val="single" w:color="auto"/>
                      <w:lang w:val="en-US" w:eastAsia="zh-CN"/>
                    </w:rPr>
                  </w:pPr>
                </w:p>
              </w:tc>
              <w:tc>
                <w:tcPr>
                  <w:tcW w:w="416" w:type="pct"/>
                  <w:vMerge w:val="continue"/>
                  <w:vAlign w:val="center"/>
                </w:tcPr>
                <w:p w14:paraId="2E8C355F">
                  <w:pPr>
                    <w:pStyle w:val="24"/>
                    <w:bidi w:val="0"/>
                    <w:jc w:val="center"/>
                    <w:rPr>
                      <w:rFonts w:hint="eastAsia"/>
                      <w:color w:val="auto"/>
                      <w:u w:val="single"/>
                      <w:lang w:val="en-US" w:eastAsia="zh-CN"/>
                    </w:rPr>
                  </w:pPr>
                </w:p>
              </w:tc>
              <w:tc>
                <w:tcPr>
                  <w:tcW w:w="304" w:type="pct"/>
                  <w:vMerge w:val="continue"/>
                  <w:vAlign w:val="center"/>
                </w:tcPr>
                <w:p w14:paraId="3AB9BE9B">
                  <w:pPr>
                    <w:pStyle w:val="24"/>
                    <w:bidi w:val="0"/>
                    <w:jc w:val="center"/>
                    <w:rPr>
                      <w:rFonts w:hint="default"/>
                      <w:color w:val="auto"/>
                      <w:u w:val="single"/>
                      <w:lang w:val="en-US" w:eastAsia="zh-CN"/>
                    </w:rPr>
                  </w:pPr>
                </w:p>
              </w:tc>
              <w:tc>
                <w:tcPr>
                  <w:tcW w:w="399" w:type="pct"/>
                  <w:vMerge w:val="continue"/>
                  <w:vAlign w:val="center"/>
                </w:tcPr>
                <w:p w14:paraId="18F2783D">
                  <w:pPr>
                    <w:pStyle w:val="24"/>
                    <w:bidi w:val="0"/>
                    <w:jc w:val="center"/>
                    <w:rPr>
                      <w:rFonts w:hint="eastAsia"/>
                      <w:color w:val="auto"/>
                      <w:u w:val="single"/>
                      <w:lang w:val="en-US" w:eastAsia="zh-CN"/>
                    </w:rPr>
                  </w:pPr>
                </w:p>
              </w:tc>
              <w:tc>
                <w:tcPr>
                  <w:tcW w:w="380" w:type="pct"/>
                  <w:vMerge w:val="continue"/>
                  <w:vAlign w:val="center"/>
                </w:tcPr>
                <w:p w14:paraId="7C2DF0E1">
                  <w:pPr>
                    <w:pStyle w:val="24"/>
                    <w:bidi w:val="0"/>
                    <w:jc w:val="center"/>
                    <w:rPr>
                      <w:rFonts w:hint="eastAsia"/>
                      <w:color w:val="auto"/>
                      <w:u w:val="single"/>
                      <w:lang w:val="en-US" w:eastAsia="zh-CN"/>
                    </w:rPr>
                  </w:pPr>
                </w:p>
              </w:tc>
              <w:tc>
                <w:tcPr>
                  <w:tcW w:w="318" w:type="pct"/>
                  <w:vMerge w:val="continue"/>
                  <w:vAlign w:val="center"/>
                </w:tcPr>
                <w:p w14:paraId="7FC4839E">
                  <w:pPr>
                    <w:pStyle w:val="24"/>
                    <w:bidi w:val="0"/>
                    <w:jc w:val="center"/>
                    <w:rPr>
                      <w:rFonts w:hint="eastAsia"/>
                      <w:color w:val="auto"/>
                      <w:u w:val="single"/>
                      <w:lang w:val="en-US" w:eastAsia="zh-CN"/>
                    </w:rPr>
                  </w:pPr>
                </w:p>
              </w:tc>
              <w:tc>
                <w:tcPr>
                  <w:tcW w:w="267" w:type="pct"/>
                  <w:vAlign w:val="center"/>
                </w:tcPr>
                <w:p w14:paraId="42112BE8">
                  <w:pPr>
                    <w:pStyle w:val="24"/>
                    <w:bidi w:val="0"/>
                    <w:ind w:firstLine="0" w:firstLineChars="0"/>
                    <w:jc w:val="center"/>
                    <w:rPr>
                      <w:rFonts w:hint="eastAsia"/>
                      <w:color w:val="auto"/>
                      <w:u w:val="single"/>
                      <w:lang w:val="en-US" w:eastAsia="zh-CN"/>
                    </w:rPr>
                  </w:pPr>
                  <w:r>
                    <w:rPr>
                      <w:rFonts w:hint="eastAsia"/>
                      <w:color w:val="auto"/>
                      <w:u w:val="single"/>
                      <w:lang w:val="en-US" w:eastAsia="zh-CN"/>
                    </w:rPr>
                    <w:t>西</w:t>
                  </w:r>
                </w:p>
              </w:tc>
              <w:tc>
                <w:tcPr>
                  <w:tcW w:w="459" w:type="pct"/>
                  <w:vAlign w:val="center"/>
                </w:tcPr>
                <w:p w14:paraId="3D08DFAB">
                  <w:pPr>
                    <w:pStyle w:val="24"/>
                    <w:bidi w:val="0"/>
                    <w:jc w:val="center"/>
                    <w:rPr>
                      <w:rFonts w:hint="eastAsia"/>
                      <w:color w:val="auto"/>
                      <w:u w:val="single"/>
                      <w:lang w:val="en-US" w:eastAsia="zh-CN"/>
                    </w:rPr>
                  </w:pPr>
                  <w:r>
                    <w:rPr>
                      <w:rFonts w:hint="eastAsia"/>
                      <w:color w:val="auto"/>
                      <w:u w:val="single"/>
                      <w:lang w:val="en-US" w:eastAsia="zh-CN"/>
                    </w:rPr>
                    <w:t>27.8</w:t>
                  </w:r>
                </w:p>
              </w:tc>
              <w:tc>
                <w:tcPr>
                  <w:tcW w:w="503" w:type="pct"/>
                  <w:vAlign w:val="center"/>
                </w:tcPr>
                <w:p w14:paraId="4DFF3102">
                  <w:pPr>
                    <w:pStyle w:val="24"/>
                    <w:bidi w:val="0"/>
                    <w:jc w:val="center"/>
                    <w:rPr>
                      <w:rFonts w:hint="default"/>
                      <w:color w:val="auto"/>
                      <w:u w:val="single"/>
                      <w:lang w:val="en-US" w:eastAsia="zh-CN"/>
                    </w:rPr>
                  </w:pPr>
                  <w:r>
                    <w:rPr>
                      <w:rFonts w:hint="eastAsia"/>
                      <w:color w:val="auto"/>
                      <w:u w:val="single"/>
                      <w:lang w:val="en-US" w:eastAsia="zh-CN"/>
                    </w:rPr>
                    <w:t>53.0</w:t>
                  </w:r>
                </w:p>
              </w:tc>
              <w:tc>
                <w:tcPr>
                  <w:tcW w:w="287" w:type="pct"/>
                  <w:vMerge w:val="continue"/>
                  <w:vAlign w:val="center"/>
                </w:tcPr>
                <w:p w14:paraId="4613677F">
                  <w:pPr>
                    <w:pStyle w:val="24"/>
                    <w:bidi w:val="0"/>
                    <w:jc w:val="center"/>
                    <w:rPr>
                      <w:rFonts w:hint="default"/>
                      <w:color w:val="4874CB" w:themeColor="accent1"/>
                      <w:u w:val="single"/>
                      <w:lang w:val="en-US" w:eastAsia="zh-CN"/>
                      <w14:textFill>
                        <w14:solidFill>
                          <w14:schemeClr w14:val="accent1"/>
                        </w14:solidFill>
                      </w14:textFill>
                    </w:rPr>
                  </w:pPr>
                </w:p>
              </w:tc>
              <w:tc>
                <w:tcPr>
                  <w:tcW w:w="362" w:type="pct"/>
                  <w:vMerge w:val="continue"/>
                  <w:vAlign w:val="center"/>
                </w:tcPr>
                <w:p w14:paraId="3F0D71C0">
                  <w:pPr>
                    <w:pStyle w:val="24"/>
                    <w:bidi w:val="0"/>
                    <w:jc w:val="center"/>
                    <w:rPr>
                      <w:rFonts w:hint="default"/>
                      <w:color w:val="auto"/>
                      <w:u w:val="single"/>
                      <w:lang w:val="en-US" w:eastAsia="zh-CN"/>
                    </w:rPr>
                  </w:pPr>
                </w:p>
              </w:tc>
              <w:tc>
                <w:tcPr>
                  <w:tcW w:w="490" w:type="pct"/>
                  <w:vAlign w:val="center"/>
                </w:tcPr>
                <w:p w14:paraId="6C63376A">
                  <w:pPr>
                    <w:pStyle w:val="24"/>
                    <w:bidi w:val="0"/>
                    <w:jc w:val="center"/>
                    <w:rPr>
                      <w:rFonts w:hint="default"/>
                      <w:color w:val="auto"/>
                      <w:u w:val="single"/>
                      <w:lang w:val="en-US" w:eastAsia="zh-CN"/>
                    </w:rPr>
                  </w:pPr>
                  <w:r>
                    <w:rPr>
                      <w:rFonts w:hint="eastAsia"/>
                      <w:color w:val="auto"/>
                      <w:u w:val="single"/>
                      <w:lang w:val="en-US" w:eastAsia="zh-CN"/>
                    </w:rPr>
                    <w:t>33.0</w:t>
                  </w:r>
                </w:p>
              </w:tc>
              <w:tc>
                <w:tcPr>
                  <w:tcW w:w="276" w:type="pct"/>
                  <w:vMerge w:val="continue"/>
                  <w:vAlign w:val="center"/>
                </w:tcPr>
                <w:p w14:paraId="1FA249BD">
                  <w:pPr>
                    <w:pStyle w:val="24"/>
                    <w:bidi w:val="0"/>
                    <w:jc w:val="center"/>
                    <w:rPr>
                      <w:rFonts w:hint="eastAsia"/>
                      <w:color w:val="4874CB" w:themeColor="accent1"/>
                      <w:lang w:val="en-US" w:eastAsia="zh-CN"/>
                      <w14:textFill>
                        <w14:solidFill>
                          <w14:schemeClr w14:val="accent1"/>
                        </w14:solidFill>
                      </w14:textFill>
                    </w:rPr>
                  </w:pPr>
                </w:p>
              </w:tc>
            </w:tr>
            <w:tr w14:paraId="40B7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414F0455">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539ED193">
                  <w:pPr>
                    <w:pStyle w:val="24"/>
                    <w:bidi w:val="0"/>
                    <w:jc w:val="center"/>
                    <w:rPr>
                      <w:rFonts w:hint="eastAsia" w:cs="Times New Roman"/>
                      <w:color w:val="auto"/>
                      <w:szCs w:val="21"/>
                      <w:u w:val="single" w:color="auto"/>
                      <w:lang w:val="en-US" w:eastAsia="zh-CN"/>
                    </w:rPr>
                  </w:pPr>
                </w:p>
              </w:tc>
              <w:tc>
                <w:tcPr>
                  <w:tcW w:w="416" w:type="pct"/>
                  <w:vMerge w:val="continue"/>
                  <w:vAlign w:val="center"/>
                </w:tcPr>
                <w:p w14:paraId="03FCBB26">
                  <w:pPr>
                    <w:pStyle w:val="24"/>
                    <w:bidi w:val="0"/>
                    <w:jc w:val="center"/>
                    <w:rPr>
                      <w:rFonts w:hint="eastAsia"/>
                      <w:color w:val="auto"/>
                      <w:u w:val="single"/>
                      <w:lang w:val="en-US" w:eastAsia="zh-CN"/>
                    </w:rPr>
                  </w:pPr>
                </w:p>
              </w:tc>
              <w:tc>
                <w:tcPr>
                  <w:tcW w:w="304" w:type="pct"/>
                  <w:vMerge w:val="continue"/>
                  <w:vAlign w:val="center"/>
                </w:tcPr>
                <w:p w14:paraId="44209820">
                  <w:pPr>
                    <w:pStyle w:val="24"/>
                    <w:bidi w:val="0"/>
                    <w:jc w:val="center"/>
                    <w:rPr>
                      <w:rFonts w:hint="default"/>
                      <w:color w:val="auto"/>
                      <w:u w:val="single"/>
                      <w:lang w:val="en-US" w:eastAsia="zh-CN"/>
                    </w:rPr>
                  </w:pPr>
                </w:p>
              </w:tc>
              <w:tc>
                <w:tcPr>
                  <w:tcW w:w="399" w:type="pct"/>
                  <w:vMerge w:val="continue"/>
                  <w:vAlign w:val="center"/>
                </w:tcPr>
                <w:p w14:paraId="4CF0DB7E">
                  <w:pPr>
                    <w:pStyle w:val="24"/>
                    <w:bidi w:val="0"/>
                    <w:jc w:val="center"/>
                    <w:rPr>
                      <w:rFonts w:hint="eastAsia"/>
                      <w:color w:val="auto"/>
                      <w:u w:val="single"/>
                      <w:lang w:val="en-US" w:eastAsia="zh-CN"/>
                    </w:rPr>
                  </w:pPr>
                </w:p>
              </w:tc>
              <w:tc>
                <w:tcPr>
                  <w:tcW w:w="380" w:type="pct"/>
                  <w:vMerge w:val="continue"/>
                  <w:vAlign w:val="center"/>
                </w:tcPr>
                <w:p w14:paraId="2C3780F9">
                  <w:pPr>
                    <w:pStyle w:val="24"/>
                    <w:bidi w:val="0"/>
                    <w:jc w:val="center"/>
                    <w:rPr>
                      <w:rFonts w:hint="eastAsia"/>
                      <w:color w:val="auto"/>
                      <w:u w:val="single"/>
                      <w:lang w:val="en-US" w:eastAsia="zh-CN"/>
                    </w:rPr>
                  </w:pPr>
                </w:p>
              </w:tc>
              <w:tc>
                <w:tcPr>
                  <w:tcW w:w="318" w:type="pct"/>
                  <w:vMerge w:val="continue"/>
                  <w:vAlign w:val="center"/>
                </w:tcPr>
                <w:p w14:paraId="5F97F48B">
                  <w:pPr>
                    <w:pStyle w:val="24"/>
                    <w:bidi w:val="0"/>
                    <w:jc w:val="center"/>
                    <w:rPr>
                      <w:rFonts w:hint="eastAsia"/>
                      <w:color w:val="auto"/>
                      <w:u w:val="single"/>
                      <w:lang w:val="en-US" w:eastAsia="zh-CN"/>
                    </w:rPr>
                  </w:pPr>
                </w:p>
              </w:tc>
              <w:tc>
                <w:tcPr>
                  <w:tcW w:w="267" w:type="pct"/>
                  <w:vAlign w:val="center"/>
                </w:tcPr>
                <w:p w14:paraId="3C5C6987">
                  <w:pPr>
                    <w:pStyle w:val="24"/>
                    <w:bidi w:val="0"/>
                    <w:ind w:firstLine="0" w:firstLineChars="0"/>
                    <w:jc w:val="center"/>
                    <w:rPr>
                      <w:rFonts w:hint="eastAsia"/>
                      <w:color w:val="auto"/>
                      <w:u w:val="single"/>
                      <w:lang w:val="en-US" w:eastAsia="zh-CN"/>
                    </w:rPr>
                  </w:pPr>
                  <w:r>
                    <w:rPr>
                      <w:rFonts w:hint="eastAsia"/>
                      <w:color w:val="auto"/>
                      <w:u w:val="single"/>
                      <w:lang w:val="en-US" w:eastAsia="zh-CN"/>
                    </w:rPr>
                    <w:t>北</w:t>
                  </w:r>
                </w:p>
              </w:tc>
              <w:tc>
                <w:tcPr>
                  <w:tcW w:w="459" w:type="pct"/>
                  <w:vAlign w:val="center"/>
                </w:tcPr>
                <w:p w14:paraId="1ADFA726">
                  <w:pPr>
                    <w:pStyle w:val="24"/>
                    <w:bidi w:val="0"/>
                    <w:jc w:val="center"/>
                    <w:rPr>
                      <w:rFonts w:hint="default"/>
                      <w:color w:val="auto"/>
                      <w:u w:val="single"/>
                      <w:lang w:val="en-US" w:eastAsia="zh-CN"/>
                    </w:rPr>
                  </w:pPr>
                  <w:r>
                    <w:rPr>
                      <w:rFonts w:hint="eastAsia"/>
                      <w:color w:val="auto"/>
                      <w:u w:val="single"/>
                      <w:lang w:val="en-US" w:eastAsia="zh-CN"/>
                    </w:rPr>
                    <w:t>21</w:t>
                  </w:r>
                </w:p>
              </w:tc>
              <w:tc>
                <w:tcPr>
                  <w:tcW w:w="503" w:type="pct"/>
                  <w:vAlign w:val="center"/>
                </w:tcPr>
                <w:p w14:paraId="7186C367">
                  <w:pPr>
                    <w:pStyle w:val="24"/>
                    <w:bidi w:val="0"/>
                    <w:jc w:val="center"/>
                    <w:rPr>
                      <w:rFonts w:hint="default"/>
                      <w:color w:val="auto"/>
                      <w:u w:val="single"/>
                      <w:lang w:val="en-US" w:eastAsia="zh-CN"/>
                    </w:rPr>
                  </w:pPr>
                  <w:r>
                    <w:rPr>
                      <w:rFonts w:hint="eastAsia"/>
                      <w:color w:val="auto"/>
                      <w:u w:val="single"/>
                      <w:lang w:val="en-US" w:eastAsia="zh-CN"/>
                    </w:rPr>
                    <w:t>58.7</w:t>
                  </w:r>
                </w:p>
              </w:tc>
              <w:tc>
                <w:tcPr>
                  <w:tcW w:w="287" w:type="pct"/>
                  <w:vMerge w:val="continue"/>
                  <w:vAlign w:val="center"/>
                </w:tcPr>
                <w:p w14:paraId="05A24543">
                  <w:pPr>
                    <w:pStyle w:val="24"/>
                    <w:bidi w:val="0"/>
                    <w:jc w:val="center"/>
                    <w:rPr>
                      <w:rFonts w:hint="default"/>
                      <w:color w:val="4874CB" w:themeColor="accent1"/>
                      <w:u w:val="single"/>
                      <w:lang w:val="en-US" w:eastAsia="zh-CN"/>
                      <w14:textFill>
                        <w14:solidFill>
                          <w14:schemeClr w14:val="accent1"/>
                        </w14:solidFill>
                      </w14:textFill>
                    </w:rPr>
                  </w:pPr>
                </w:p>
              </w:tc>
              <w:tc>
                <w:tcPr>
                  <w:tcW w:w="362" w:type="pct"/>
                  <w:vMerge w:val="continue"/>
                  <w:vAlign w:val="center"/>
                </w:tcPr>
                <w:p w14:paraId="696BA510">
                  <w:pPr>
                    <w:pStyle w:val="24"/>
                    <w:bidi w:val="0"/>
                    <w:jc w:val="center"/>
                    <w:rPr>
                      <w:rFonts w:hint="default"/>
                      <w:color w:val="auto"/>
                      <w:u w:val="single"/>
                      <w:lang w:val="en-US" w:eastAsia="zh-CN"/>
                    </w:rPr>
                  </w:pPr>
                </w:p>
              </w:tc>
              <w:tc>
                <w:tcPr>
                  <w:tcW w:w="490" w:type="pct"/>
                  <w:vAlign w:val="center"/>
                </w:tcPr>
                <w:p w14:paraId="41C5CF86">
                  <w:pPr>
                    <w:pStyle w:val="24"/>
                    <w:bidi w:val="0"/>
                    <w:jc w:val="center"/>
                    <w:rPr>
                      <w:rFonts w:hint="default"/>
                      <w:color w:val="auto"/>
                      <w:u w:val="single"/>
                      <w:lang w:val="en-US" w:eastAsia="zh-CN"/>
                    </w:rPr>
                  </w:pPr>
                  <w:r>
                    <w:rPr>
                      <w:rFonts w:hint="eastAsia"/>
                      <w:color w:val="auto"/>
                      <w:u w:val="single"/>
                      <w:lang w:val="en-US" w:eastAsia="zh-CN"/>
                    </w:rPr>
                    <w:t>38.7</w:t>
                  </w:r>
                </w:p>
              </w:tc>
              <w:tc>
                <w:tcPr>
                  <w:tcW w:w="276" w:type="pct"/>
                  <w:vMerge w:val="continue"/>
                  <w:vAlign w:val="center"/>
                </w:tcPr>
                <w:p w14:paraId="60740858">
                  <w:pPr>
                    <w:pStyle w:val="24"/>
                    <w:bidi w:val="0"/>
                    <w:jc w:val="center"/>
                    <w:rPr>
                      <w:rFonts w:hint="eastAsia"/>
                      <w:color w:val="4874CB" w:themeColor="accent1"/>
                      <w:lang w:val="en-US" w:eastAsia="zh-CN"/>
                      <w14:textFill>
                        <w14:solidFill>
                          <w14:schemeClr w14:val="accent1"/>
                        </w14:solidFill>
                      </w14:textFill>
                    </w:rPr>
                  </w:pPr>
                </w:p>
              </w:tc>
            </w:tr>
            <w:tr w14:paraId="69DD0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2FC9A6E2">
                  <w:pPr>
                    <w:pStyle w:val="24"/>
                    <w:bidi w:val="0"/>
                    <w:jc w:val="center"/>
                    <w:rPr>
                      <w:rFonts w:hint="default"/>
                      <w:color w:val="4874CB" w:themeColor="accent1"/>
                      <w:lang w:val="en-US" w:eastAsia="zh-CN"/>
                      <w14:textFill>
                        <w14:solidFill>
                          <w14:schemeClr w14:val="accent1"/>
                        </w14:solidFill>
                      </w14:textFill>
                    </w:rPr>
                  </w:pPr>
                </w:p>
              </w:tc>
              <w:tc>
                <w:tcPr>
                  <w:tcW w:w="266" w:type="pct"/>
                  <w:vMerge w:val="restart"/>
                  <w:vAlign w:val="center"/>
                </w:tcPr>
                <w:p w14:paraId="3EBBC3EA">
                  <w:pPr>
                    <w:pStyle w:val="24"/>
                    <w:bidi w:val="0"/>
                    <w:jc w:val="center"/>
                    <w:rPr>
                      <w:rFonts w:hint="default" w:cs="Times New Roman"/>
                      <w:color w:val="auto"/>
                      <w:szCs w:val="21"/>
                      <w:u w:val="none" w:color="auto"/>
                      <w:lang w:val="en-US" w:eastAsia="zh-CN"/>
                    </w:rPr>
                  </w:pPr>
                  <w:r>
                    <w:rPr>
                      <w:rFonts w:hint="eastAsia" w:cs="Times New Roman"/>
                      <w:color w:val="auto"/>
                      <w:szCs w:val="21"/>
                      <w:u w:val="none" w:color="auto"/>
                      <w:lang w:val="en-US" w:eastAsia="zh-CN"/>
                    </w:rPr>
                    <w:t>旋风除尘器1</w:t>
                  </w:r>
                </w:p>
              </w:tc>
              <w:tc>
                <w:tcPr>
                  <w:tcW w:w="416" w:type="pct"/>
                  <w:vMerge w:val="restart"/>
                  <w:vAlign w:val="center"/>
                </w:tcPr>
                <w:p w14:paraId="6208AAC8">
                  <w:pPr>
                    <w:pStyle w:val="24"/>
                    <w:bidi w:val="0"/>
                    <w:jc w:val="center"/>
                    <w:rPr>
                      <w:rFonts w:hint="default"/>
                      <w:color w:val="auto"/>
                      <w:lang w:val="en-US" w:eastAsia="zh-CN"/>
                    </w:rPr>
                  </w:pPr>
                  <w:r>
                    <w:rPr>
                      <w:rFonts w:hint="eastAsia"/>
                      <w:color w:val="auto"/>
                      <w:lang w:val="en-US" w:eastAsia="zh-CN"/>
                    </w:rPr>
                    <w:t>85</w:t>
                  </w:r>
                </w:p>
              </w:tc>
              <w:tc>
                <w:tcPr>
                  <w:tcW w:w="304" w:type="pct"/>
                  <w:vMerge w:val="continue"/>
                  <w:vAlign w:val="center"/>
                </w:tcPr>
                <w:p w14:paraId="052A2965">
                  <w:pPr>
                    <w:pStyle w:val="24"/>
                    <w:bidi w:val="0"/>
                    <w:jc w:val="center"/>
                    <w:rPr>
                      <w:rFonts w:hint="default"/>
                      <w:color w:val="auto"/>
                      <w:lang w:val="en-US" w:eastAsia="zh-CN"/>
                    </w:rPr>
                  </w:pPr>
                </w:p>
              </w:tc>
              <w:tc>
                <w:tcPr>
                  <w:tcW w:w="399" w:type="pct"/>
                  <w:vMerge w:val="restart"/>
                  <w:vAlign w:val="center"/>
                </w:tcPr>
                <w:p w14:paraId="007AA241">
                  <w:pPr>
                    <w:pStyle w:val="24"/>
                    <w:bidi w:val="0"/>
                    <w:jc w:val="center"/>
                    <w:rPr>
                      <w:rFonts w:hint="eastAsia"/>
                      <w:color w:val="auto"/>
                      <w:lang w:val="en-US" w:eastAsia="zh-CN"/>
                    </w:rPr>
                  </w:pPr>
                  <w:r>
                    <w:rPr>
                      <w:rFonts w:hint="eastAsia"/>
                      <w:color w:val="auto"/>
                      <w:lang w:val="en-US" w:eastAsia="zh-CN"/>
                    </w:rPr>
                    <w:t>26.8</w:t>
                  </w:r>
                </w:p>
              </w:tc>
              <w:tc>
                <w:tcPr>
                  <w:tcW w:w="380" w:type="pct"/>
                  <w:vMerge w:val="restart"/>
                  <w:vAlign w:val="center"/>
                </w:tcPr>
                <w:p w14:paraId="603D6B70">
                  <w:pPr>
                    <w:pStyle w:val="24"/>
                    <w:bidi w:val="0"/>
                    <w:jc w:val="center"/>
                    <w:rPr>
                      <w:rFonts w:hint="default"/>
                      <w:color w:val="auto"/>
                      <w:lang w:val="en-US" w:eastAsia="zh-CN"/>
                    </w:rPr>
                  </w:pPr>
                  <w:r>
                    <w:rPr>
                      <w:rFonts w:hint="eastAsia"/>
                      <w:color w:val="auto"/>
                      <w:lang w:val="en-US" w:eastAsia="zh-CN"/>
                    </w:rPr>
                    <w:t>56</w:t>
                  </w:r>
                </w:p>
              </w:tc>
              <w:tc>
                <w:tcPr>
                  <w:tcW w:w="318" w:type="pct"/>
                  <w:vMerge w:val="restart"/>
                  <w:vAlign w:val="center"/>
                </w:tcPr>
                <w:p w14:paraId="5159B7D9">
                  <w:pPr>
                    <w:pStyle w:val="24"/>
                    <w:bidi w:val="0"/>
                    <w:jc w:val="center"/>
                    <w:rPr>
                      <w:rFonts w:hint="default"/>
                      <w:color w:val="auto"/>
                      <w:lang w:val="en-US" w:eastAsia="zh-CN"/>
                    </w:rPr>
                  </w:pPr>
                  <w:r>
                    <w:rPr>
                      <w:rFonts w:hint="eastAsia"/>
                      <w:color w:val="auto"/>
                      <w:lang w:val="en-US" w:eastAsia="zh-CN"/>
                    </w:rPr>
                    <w:t>1.2</w:t>
                  </w:r>
                </w:p>
              </w:tc>
              <w:tc>
                <w:tcPr>
                  <w:tcW w:w="267" w:type="pct"/>
                  <w:vAlign w:val="center"/>
                </w:tcPr>
                <w:p w14:paraId="57BABD41">
                  <w:pPr>
                    <w:pStyle w:val="24"/>
                    <w:bidi w:val="0"/>
                    <w:ind w:firstLine="0" w:firstLineChars="0"/>
                    <w:jc w:val="center"/>
                    <w:rPr>
                      <w:rFonts w:hint="eastAsia"/>
                      <w:color w:val="auto"/>
                      <w:lang w:val="en-US" w:eastAsia="zh-CN"/>
                    </w:rPr>
                  </w:pPr>
                  <w:r>
                    <w:rPr>
                      <w:rFonts w:hint="eastAsia"/>
                      <w:color w:val="auto"/>
                      <w:lang w:val="en-US" w:eastAsia="zh-CN"/>
                    </w:rPr>
                    <w:t>东</w:t>
                  </w:r>
                </w:p>
              </w:tc>
              <w:tc>
                <w:tcPr>
                  <w:tcW w:w="459" w:type="pct"/>
                  <w:vAlign w:val="center"/>
                </w:tcPr>
                <w:p w14:paraId="4878AE36">
                  <w:pPr>
                    <w:pStyle w:val="24"/>
                    <w:bidi w:val="0"/>
                    <w:jc w:val="center"/>
                    <w:rPr>
                      <w:rFonts w:hint="eastAsia"/>
                      <w:color w:val="auto"/>
                      <w:lang w:val="en-US" w:eastAsia="zh-CN"/>
                    </w:rPr>
                  </w:pPr>
                  <w:r>
                    <w:rPr>
                      <w:rFonts w:hint="eastAsia"/>
                      <w:color w:val="auto"/>
                      <w:lang w:val="en-US" w:eastAsia="zh-CN"/>
                    </w:rPr>
                    <w:t>20.8</w:t>
                  </w:r>
                </w:p>
              </w:tc>
              <w:tc>
                <w:tcPr>
                  <w:tcW w:w="503" w:type="pct"/>
                  <w:vAlign w:val="center"/>
                </w:tcPr>
                <w:p w14:paraId="7A397398">
                  <w:pPr>
                    <w:pStyle w:val="24"/>
                    <w:bidi w:val="0"/>
                    <w:jc w:val="center"/>
                    <w:rPr>
                      <w:rFonts w:hint="eastAsia"/>
                      <w:color w:val="auto"/>
                      <w:lang w:val="en-US" w:eastAsia="zh-CN"/>
                    </w:rPr>
                  </w:pPr>
                  <w:r>
                    <w:rPr>
                      <w:rFonts w:hint="eastAsia"/>
                      <w:color w:val="auto"/>
                      <w:lang w:val="en-US" w:eastAsia="zh-CN"/>
                    </w:rPr>
                    <w:t>58.6</w:t>
                  </w:r>
                </w:p>
              </w:tc>
              <w:tc>
                <w:tcPr>
                  <w:tcW w:w="287" w:type="pct"/>
                  <w:vMerge w:val="continue"/>
                  <w:vAlign w:val="center"/>
                </w:tcPr>
                <w:p w14:paraId="1290722F">
                  <w:pPr>
                    <w:pStyle w:val="24"/>
                    <w:bidi w:val="0"/>
                    <w:jc w:val="center"/>
                    <w:rPr>
                      <w:rFonts w:hint="default"/>
                      <w:color w:val="auto"/>
                      <w:lang w:val="en-US" w:eastAsia="zh-CN"/>
                    </w:rPr>
                  </w:pPr>
                </w:p>
              </w:tc>
              <w:tc>
                <w:tcPr>
                  <w:tcW w:w="362" w:type="pct"/>
                  <w:vMerge w:val="restart"/>
                  <w:vAlign w:val="center"/>
                </w:tcPr>
                <w:p w14:paraId="6033CF2D">
                  <w:pPr>
                    <w:pStyle w:val="24"/>
                    <w:bidi w:val="0"/>
                    <w:jc w:val="center"/>
                    <w:rPr>
                      <w:rFonts w:hint="default"/>
                      <w:color w:val="auto"/>
                      <w:lang w:val="en-US" w:eastAsia="zh-CN"/>
                    </w:rPr>
                  </w:pPr>
                  <w:r>
                    <w:rPr>
                      <w:rFonts w:hint="eastAsia"/>
                      <w:color w:val="auto"/>
                      <w:lang w:val="en-US" w:eastAsia="zh-CN"/>
                    </w:rPr>
                    <w:t>20</w:t>
                  </w:r>
                </w:p>
              </w:tc>
              <w:tc>
                <w:tcPr>
                  <w:tcW w:w="490" w:type="pct"/>
                  <w:vAlign w:val="center"/>
                </w:tcPr>
                <w:p w14:paraId="339C2E80">
                  <w:pPr>
                    <w:pStyle w:val="24"/>
                    <w:bidi w:val="0"/>
                    <w:jc w:val="center"/>
                    <w:rPr>
                      <w:rFonts w:hint="default"/>
                      <w:color w:val="auto"/>
                      <w:lang w:val="en-US" w:eastAsia="zh-CN"/>
                    </w:rPr>
                  </w:pPr>
                  <w:r>
                    <w:rPr>
                      <w:rFonts w:hint="eastAsia"/>
                      <w:color w:val="auto"/>
                      <w:lang w:val="en-US" w:eastAsia="zh-CN"/>
                    </w:rPr>
                    <w:t>38.6</w:t>
                  </w:r>
                </w:p>
              </w:tc>
              <w:tc>
                <w:tcPr>
                  <w:tcW w:w="276" w:type="pct"/>
                  <w:vMerge w:val="restart"/>
                  <w:vAlign w:val="center"/>
                </w:tcPr>
                <w:p w14:paraId="6A2FABF2">
                  <w:pPr>
                    <w:pStyle w:val="24"/>
                    <w:bidi w:val="0"/>
                    <w:jc w:val="center"/>
                    <w:rPr>
                      <w:rFonts w:hint="default"/>
                      <w:color w:val="auto"/>
                      <w:lang w:val="en-US" w:eastAsia="zh-CN"/>
                    </w:rPr>
                  </w:pPr>
                  <w:r>
                    <w:rPr>
                      <w:rFonts w:hint="eastAsia"/>
                      <w:color w:val="auto"/>
                      <w:lang w:val="en-US" w:eastAsia="zh-CN"/>
                    </w:rPr>
                    <w:t>1</w:t>
                  </w:r>
                </w:p>
              </w:tc>
            </w:tr>
            <w:tr w14:paraId="1B4F7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646B5197">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44FCC94A">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3B191518">
                  <w:pPr>
                    <w:pStyle w:val="24"/>
                    <w:bidi w:val="0"/>
                    <w:jc w:val="center"/>
                    <w:rPr>
                      <w:rFonts w:hint="eastAsia"/>
                      <w:color w:val="auto"/>
                      <w:lang w:val="en-US" w:eastAsia="zh-CN"/>
                    </w:rPr>
                  </w:pPr>
                </w:p>
              </w:tc>
              <w:tc>
                <w:tcPr>
                  <w:tcW w:w="304" w:type="pct"/>
                  <w:vMerge w:val="continue"/>
                  <w:vAlign w:val="center"/>
                </w:tcPr>
                <w:p w14:paraId="2232CF52">
                  <w:pPr>
                    <w:pStyle w:val="24"/>
                    <w:bidi w:val="0"/>
                    <w:jc w:val="center"/>
                    <w:rPr>
                      <w:rFonts w:hint="default"/>
                      <w:color w:val="auto"/>
                      <w:lang w:val="en-US" w:eastAsia="zh-CN"/>
                    </w:rPr>
                  </w:pPr>
                </w:p>
              </w:tc>
              <w:tc>
                <w:tcPr>
                  <w:tcW w:w="399" w:type="pct"/>
                  <w:vMerge w:val="continue"/>
                  <w:vAlign w:val="center"/>
                </w:tcPr>
                <w:p w14:paraId="145258B8">
                  <w:pPr>
                    <w:pStyle w:val="24"/>
                    <w:bidi w:val="0"/>
                    <w:jc w:val="center"/>
                    <w:rPr>
                      <w:rFonts w:hint="eastAsia"/>
                      <w:color w:val="auto"/>
                      <w:lang w:val="en-US" w:eastAsia="zh-CN"/>
                    </w:rPr>
                  </w:pPr>
                </w:p>
              </w:tc>
              <w:tc>
                <w:tcPr>
                  <w:tcW w:w="380" w:type="pct"/>
                  <w:vMerge w:val="continue"/>
                  <w:vAlign w:val="center"/>
                </w:tcPr>
                <w:p w14:paraId="6145B0E4">
                  <w:pPr>
                    <w:pStyle w:val="24"/>
                    <w:bidi w:val="0"/>
                    <w:jc w:val="center"/>
                    <w:rPr>
                      <w:rFonts w:hint="eastAsia"/>
                      <w:color w:val="auto"/>
                      <w:lang w:val="en-US" w:eastAsia="zh-CN"/>
                    </w:rPr>
                  </w:pPr>
                </w:p>
              </w:tc>
              <w:tc>
                <w:tcPr>
                  <w:tcW w:w="318" w:type="pct"/>
                  <w:vMerge w:val="continue"/>
                  <w:vAlign w:val="center"/>
                </w:tcPr>
                <w:p w14:paraId="4E29FB7A">
                  <w:pPr>
                    <w:pStyle w:val="24"/>
                    <w:bidi w:val="0"/>
                    <w:jc w:val="center"/>
                    <w:rPr>
                      <w:rFonts w:hint="eastAsia"/>
                      <w:color w:val="auto"/>
                      <w:lang w:val="en-US" w:eastAsia="zh-CN"/>
                    </w:rPr>
                  </w:pPr>
                </w:p>
              </w:tc>
              <w:tc>
                <w:tcPr>
                  <w:tcW w:w="267" w:type="pct"/>
                  <w:vAlign w:val="center"/>
                </w:tcPr>
                <w:p w14:paraId="0C6ECB34">
                  <w:pPr>
                    <w:pStyle w:val="24"/>
                    <w:bidi w:val="0"/>
                    <w:ind w:firstLine="0" w:firstLineChars="0"/>
                    <w:jc w:val="center"/>
                    <w:rPr>
                      <w:rFonts w:hint="eastAsia"/>
                      <w:color w:val="auto"/>
                      <w:lang w:val="en-US" w:eastAsia="zh-CN"/>
                    </w:rPr>
                  </w:pPr>
                  <w:r>
                    <w:rPr>
                      <w:rFonts w:hint="eastAsia"/>
                      <w:color w:val="auto"/>
                      <w:lang w:val="en-US" w:eastAsia="zh-CN"/>
                    </w:rPr>
                    <w:t>南</w:t>
                  </w:r>
                </w:p>
              </w:tc>
              <w:tc>
                <w:tcPr>
                  <w:tcW w:w="459" w:type="pct"/>
                  <w:vAlign w:val="center"/>
                </w:tcPr>
                <w:p w14:paraId="60FBB829">
                  <w:pPr>
                    <w:pStyle w:val="24"/>
                    <w:bidi w:val="0"/>
                    <w:jc w:val="center"/>
                    <w:rPr>
                      <w:rFonts w:hint="default"/>
                      <w:color w:val="auto"/>
                      <w:lang w:val="en-US" w:eastAsia="zh-CN"/>
                    </w:rPr>
                  </w:pPr>
                  <w:r>
                    <w:rPr>
                      <w:rFonts w:hint="eastAsia"/>
                      <w:color w:val="auto"/>
                      <w:lang w:val="en-US" w:eastAsia="zh-CN"/>
                    </w:rPr>
                    <w:t>35</w:t>
                  </w:r>
                </w:p>
              </w:tc>
              <w:tc>
                <w:tcPr>
                  <w:tcW w:w="503" w:type="pct"/>
                  <w:vAlign w:val="center"/>
                </w:tcPr>
                <w:p w14:paraId="39E1C688">
                  <w:pPr>
                    <w:pStyle w:val="24"/>
                    <w:bidi w:val="0"/>
                    <w:jc w:val="center"/>
                    <w:rPr>
                      <w:rFonts w:hint="default"/>
                      <w:color w:val="auto"/>
                      <w:lang w:val="en-US" w:eastAsia="zh-CN"/>
                    </w:rPr>
                  </w:pPr>
                  <w:r>
                    <w:rPr>
                      <w:rFonts w:hint="eastAsia"/>
                      <w:color w:val="auto"/>
                      <w:lang w:val="en-US" w:eastAsia="zh-CN"/>
                    </w:rPr>
                    <w:t>54.1</w:t>
                  </w:r>
                </w:p>
              </w:tc>
              <w:tc>
                <w:tcPr>
                  <w:tcW w:w="287" w:type="pct"/>
                  <w:vMerge w:val="continue"/>
                  <w:vAlign w:val="center"/>
                </w:tcPr>
                <w:p w14:paraId="36E2B287">
                  <w:pPr>
                    <w:pStyle w:val="24"/>
                    <w:bidi w:val="0"/>
                    <w:jc w:val="center"/>
                    <w:rPr>
                      <w:rFonts w:hint="default"/>
                      <w:color w:val="auto"/>
                      <w:lang w:val="en-US" w:eastAsia="zh-CN"/>
                    </w:rPr>
                  </w:pPr>
                </w:p>
              </w:tc>
              <w:tc>
                <w:tcPr>
                  <w:tcW w:w="362" w:type="pct"/>
                  <w:vMerge w:val="continue"/>
                  <w:vAlign w:val="center"/>
                </w:tcPr>
                <w:p w14:paraId="26FDA58A">
                  <w:pPr>
                    <w:pStyle w:val="24"/>
                    <w:bidi w:val="0"/>
                    <w:jc w:val="center"/>
                    <w:rPr>
                      <w:rFonts w:hint="default"/>
                      <w:color w:val="auto"/>
                      <w:lang w:val="en-US" w:eastAsia="zh-CN"/>
                    </w:rPr>
                  </w:pPr>
                </w:p>
              </w:tc>
              <w:tc>
                <w:tcPr>
                  <w:tcW w:w="490" w:type="pct"/>
                  <w:vAlign w:val="center"/>
                </w:tcPr>
                <w:p w14:paraId="1F70757F">
                  <w:pPr>
                    <w:pStyle w:val="24"/>
                    <w:bidi w:val="0"/>
                    <w:jc w:val="center"/>
                    <w:rPr>
                      <w:rFonts w:hint="default"/>
                      <w:color w:val="auto"/>
                      <w:lang w:val="en-US" w:eastAsia="zh-CN"/>
                    </w:rPr>
                  </w:pPr>
                  <w:r>
                    <w:rPr>
                      <w:rFonts w:hint="eastAsia"/>
                      <w:color w:val="auto"/>
                      <w:lang w:val="en-US" w:eastAsia="zh-CN"/>
                    </w:rPr>
                    <w:t>34.1</w:t>
                  </w:r>
                </w:p>
              </w:tc>
              <w:tc>
                <w:tcPr>
                  <w:tcW w:w="276" w:type="pct"/>
                  <w:vMerge w:val="continue"/>
                  <w:vAlign w:val="center"/>
                </w:tcPr>
                <w:p w14:paraId="611DEC8F">
                  <w:pPr>
                    <w:pStyle w:val="24"/>
                    <w:bidi w:val="0"/>
                    <w:jc w:val="center"/>
                    <w:rPr>
                      <w:rFonts w:hint="eastAsia"/>
                      <w:color w:val="auto"/>
                      <w:lang w:val="en-US" w:eastAsia="zh-CN"/>
                    </w:rPr>
                  </w:pPr>
                </w:p>
              </w:tc>
            </w:tr>
            <w:tr w14:paraId="06F6D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3EFA96A5">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3770021E">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50CCD87B">
                  <w:pPr>
                    <w:pStyle w:val="24"/>
                    <w:bidi w:val="0"/>
                    <w:jc w:val="center"/>
                    <w:rPr>
                      <w:rFonts w:hint="eastAsia"/>
                      <w:color w:val="auto"/>
                      <w:lang w:val="en-US" w:eastAsia="zh-CN"/>
                    </w:rPr>
                  </w:pPr>
                </w:p>
              </w:tc>
              <w:tc>
                <w:tcPr>
                  <w:tcW w:w="304" w:type="pct"/>
                  <w:vMerge w:val="continue"/>
                  <w:vAlign w:val="center"/>
                </w:tcPr>
                <w:p w14:paraId="55F30208">
                  <w:pPr>
                    <w:pStyle w:val="24"/>
                    <w:bidi w:val="0"/>
                    <w:jc w:val="center"/>
                    <w:rPr>
                      <w:rFonts w:hint="default"/>
                      <w:color w:val="auto"/>
                      <w:lang w:val="en-US" w:eastAsia="zh-CN"/>
                    </w:rPr>
                  </w:pPr>
                </w:p>
              </w:tc>
              <w:tc>
                <w:tcPr>
                  <w:tcW w:w="399" w:type="pct"/>
                  <w:vMerge w:val="continue"/>
                  <w:vAlign w:val="center"/>
                </w:tcPr>
                <w:p w14:paraId="4843F778">
                  <w:pPr>
                    <w:pStyle w:val="24"/>
                    <w:bidi w:val="0"/>
                    <w:jc w:val="center"/>
                    <w:rPr>
                      <w:rFonts w:hint="eastAsia"/>
                      <w:color w:val="auto"/>
                      <w:lang w:val="en-US" w:eastAsia="zh-CN"/>
                    </w:rPr>
                  </w:pPr>
                </w:p>
              </w:tc>
              <w:tc>
                <w:tcPr>
                  <w:tcW w:w="380" w:type="pct"/>
                  <w:vMerge w:val="continue"/>
                  <w:vAlign w:val="center"/>
                </w:tcPr>
                <w:p w14:paraId="0DBE2CF3">
                  <w:pPr>
                    <w:pStyle w:val="24"/>
                    <w:bidi w:val="0"/>
                    <w:jc w:val="center"/>
                    <w:rPr>
                      <w:rFonts w:hint="eastAsia"/>
                      <w:color w:val="auto"/>
                      <w:lang w:val="en-US" w:eastAsia="zh-CN"/>
                    </w:rPr>
                  </w:pPr>
                </w:p>
              </w:tc>
              <w:tc>
                <w:tcPr>
                  <w:tcW w:w="318" w:type="pct"/>
                  <w:vMerge w:val="continue"/>
                  <w:vAlign w:val="center"/>
                </w:tcPr>
                <w:p w14:paraId="2F4028EB">
                  <w:pPr>
                    <w:pStyle w:val="24"/>
                    <w:bidi w:val="0"/>
                    <w:jc w:val="center"/>
                    <w:rPr>
                      <w:rFonts w:hint="eastAsia"/>
                      <w:color w:val="auto"/>
                      <w:lang w:val="en-US" w:eastAsia="zh-CN"/>
                    </w:rPr>
                  </w:pPr>
                </w:p>
              </w:tc>
              <w:tc>
                <w:tcPr>
                  <w:tcW w:w="267" w:type="pct"/>
                  <w:vAlign w:val="center"/>
                </w:tcPr>
                <w:p w14:paraId="7EC247B0">
                  <w:pPr>
                    <w:pStyle w:val="24"/>
                    <w:bidi w:val="0"/>
                    <w:ind w:firstLine="0" w:firstLineChars="0"/>
                    <w:jc w:val="center"/>
                    <w:rPr>
                      <w:rFonts w:hint="eastAsia"/>
                      <w:color w:val="auto"/>
                      <w:lang w:val="en-US" w:eastAsia="zh-CN"/>
                    </w:rPr>
                  </w:pPr>
                  <w:r>
                    <w:rPr>
                      <w:rFonts w:hint="eastAsia"/>
                      <w:color w:val="auto"/>
                      <w:lang w:val="en-US" w:eastAsia="zh-CN"/>
                    </w:rPr>
                    <w:t>西</w:t>
                  </w:r>
                </w:p>
              </w:tc>
              <w:tc>
                <w:tcPr>
                  <w:tcW w:w="459" w:type="pct"/>
                  <w:vAlign w:val="center"/>
                </w:tcPr>
                <w:p w14:paraId="51B3E936">
                  <w:pPr>
                    <w:pStyle w:val="24"/>
                    <w:bidi w:val="0"/>
                    <w:jc w:val="center"/>
                    <w:rPr>
                      <w:rFonts w:hint="eastAsia"/>
                      <w:color w:val="auto"/>
                      <w:lang w:val="en-US" w:eastAsia="zh-CN"/>
                    </w:rPr>
                  </w:pPr>
                  <w:r>
                    <w:rPr>
                      <w:rFonts w:hint="eastAsia"/>
                      <w:color w:val="auto"/>
                      <w:lang w:val="en-US" w:eastAsia="zh-CN"/>
                    </w:rPr>
                    <w:t>20.8</w:t>
                  </w:r>
                </w:p>
              </w:tc>
              <w:tc>
                <w:tcPr>
                  <w:tcW w:w="503" w:type="pct"/>
                  <w:vAlign w:val="center"/>
                </w:tcPr>
                <w:p w14:paraId="39603FD2">
                  <w:pPr>
                    <w:pStyle w:val="24"/>
                    <w:bidi w:val="0"/>
                    <w:jc w:val="center"/>
                    <w:rPr>
                      <w:rFonts w:hint="eastAsia"/>
                      <w:color w:val="auto"/>
                      <w:lang w:val="en-US" w:eastAsia="zh-CN"/>
                    </w:rPr>
                  </w:pPr>
                  <w:r>
                    <w:rPr>
                      <w:rFonts w:hint="eastAsia"/>
                      <w:color w:val="auto"/>
                      <w:lang w:val="en-US" w:eastAsia="zh-CN"/>
                    </w:rPr>
                    <w:t>58.6</w:t>
                  </w:r>
                </w:p>
              </w:tc>
              <w:tc>
                <w:tcPr>
                  <w:tcW w:w="287" w:type="pct"/>
                  <w:vMerge w:val="continue"/>
                  <w:vAlign w:val="center"/>
                </w:tcPr>
                <w:p w14:paraId="58D5934C">
                  <w:pPr>
                    <w:pStyle w:val="24"/>
                    <w:bidi w:val="0"/>
                    <w:jc w:val="center"/>
                    <w:rPr>
                      <w:rFonts w:hint="default"/>
                      <w:color w:val="auto"/>
                      <w:lang w:val="en-US" w:eastAsia="zh-CN"/>
                    </w:rPr>
                  </w:pPr>
                </w:p>
              </w:tc>
              <w:tc>
                <w:tcPr>
                  <w:tcW w:w="362" w:type="pct"/>
                  <w:vMerge w:val="continue"/>
                  <w:vAlign w:val="center"/>
                </w:tcPr>
                <w:p w14:paraId="7E1E8080">
                  <w:pPr>
                    <w:pStyle w:val="24"/>
                    <w:bidi w:val="0"/>
                    <w:jc w:val="center"/>
                    <w:rPr>
                      <w:rFonts w:hint="default"/>
                      <w:color w:val="auto"/>
                      <w:lang w:val="en-US" w:eastAsia="zh-CN"/>
                    </w:rPr>
                  </w:pPr>
                </w:p>
              </w:tc>
              <w:tc>
                <w:tcPr>
                  <w:tcW w:w="490" w:type="pct"/>
                  <w:vAlign w:val="center"/>
                </w:tcPr>
                <w:p w14:paraId="6AE12B8B">
                  <w:pPr>
                    <w:pStyle w:val="24"/>
                    <w:bidi w:val="0"/>
                    <w:jc w:val="center"/>
                    <w:rPr>
                      <w:rFonts w:hint="default"/>
                      <w:color w:val="auto"/>
                      <w:lang w:val="en-US" w:eastAsia="zh-CN"/>
                    </w:rPr>
                  </w:pPr>
                  <w:r>
                    <w:rPr>
                      <w:rFonts w:hint="eastAsia"/>
                      <w:color w:val="auto"/>
                      <w:lang w:val="en-US" w:eastAsia="zh-CN"/>
                    </w:rPr>
                    <w:t>38.6</w:t>
                  </w:r>
                </w:p>
              </w:tc>
              <w:tc>
                <w:tcPr>
                  <w:tcW w:w="276" w:type="pct"/>
                  <w:vMerge w:val="continue"/>
                  <w:vAlign w:val="center"/>
                </w:tcPr>
                <w:p w14:paraId="2C549C3E">
                  <w:pPr>
                    <w:pStyle w:val="24"/>
                    <w:bidi w:val="0"/>
                    <w:jc w:val="center"/>
                    <w:rPr>
                      <w:rFonts w:hint="eastAsia"/>
                      <w:color w:val="auto"/>
                      <w:lang w:val="en-US" w:eastAsia="zh-CN"/>
                    </w:rPr>
                  </w:pPr>
                </w:p>
              </w:tc>
            </w:tr>
            <w:tr w14:paraId="11649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751C409E">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1EA8FBC3">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2FCC7606">
                  <w:pPr>
                    <w:pStyle w:val="24"/>
                    <w:bidi w:val="0"/>
                    <w:jc w:val="center"/>
                    <w:rPr>
                      <w:rFonts w:hint="eastAsia"/>
                      <w:color w:val="auto"/>
                      <w:lang w:val="en-US" w:eastAsia="zh-CN"/>
                    </w:rPr>
                  </w:pPr>
                </w:p>
              </w:tc>
              <w:tc>
                <w:tcPr>
                  <w:tcW w:w="304" w:type="pct"/>
                  <w:vMerge w:val="continue"/>
                  <w:vAlign w:val="center"/>
                </w:tcPr>
                <w:p w14:paraId="77CE4DDD">
                  <w:pPr>
                    <w:pStyle w:val="24"/>
                    <w:bidi w:val="0"/>
                    <w:jc w:val="center"/>
                    <w:rPr>
                      <w:rFonts w:hint="default"/>
                      <w:color w:val="auto"/>
                      <w:lang w:val="en-US" w:eastAsia="zh-CN"/>
                    </w:rPr>
                  </w:pPr>
                </w:p>
              </w:tc>
              <w:tc>
                <w:tcPr>
                  <w:tcW w:w="399" w:type="pct"/>
                  <w:vMerge w:val="continue"/>
                  <w:vAlign w:val="center"/>
                </w:tcPr>
                <w:p w14:paraId="398D4CDF">
                  <w:pPr>
                    <w:pStyle w:val="24"/>
                    <w:bidi w:val="0"/>
                    <w:jc w:val="center"/>
                    <w:rPr>
                      <w:rFonts w:hint="eastAsia"/>
                      <w:color w:val="auto"/>
                      <w:lang w:val="en-US" w:eastAsia="zh-CN"/>
                    </w:rPr>
                  </w:pPr>
                </w:p>
              </w:tc>
              <w:tc>
                <w:tcPr>
                  <w:tcW w:w="380" w:type="pct"/>
                  <w:vMerge w:val="continue"/>
                  <w:vAlign w:val="center"/>
                </w:tcPr>
                <w:p w14:paraId="2A09631F">
                  <w:pPr>
                    <w:pStyle w:val="24"/>
                    <w:bidi w:val="0"/>
                    <w:jc w:val="center"/>
                    <w:rPr>
                      <w:rFonts w:hint="eastAsia"/>
                      <w:color w:val="auto"/>
                      <w:lang w:val="en-US" w:eastAsia="zh-CN"/>
                    </w:rPr>
                  </w:pPr>
                </w:p>
              </w:tc>
              <w:tc>
                <w:tcPr>
                  <w:tcW w:w="318" w:type="pct"/>
                  <w:vMerge w:val="continue"/>
                  <w:vAlign w:val="center"/>
                </w:tcPr>
                <w:p w14:paraId="684D7E52">
                  <w:pPr>
                    <w:pStyle w:val="24"/>
                    <w:bidi w:val="0"/>
                    <w:jc w:val="center"/>
                    <w:rPr>
                      <w:rFonts w:hint="eastAsia"/>
                      <w:color w:val="auto"/>
                      <w:lang w:val="en-US" w:eastAsia="zh-CN"/>
                    </w:rPr>
                  </w:pPr>
                </w:p>
              </w:tc>
              <w:tc>
                <w:tcPr>
                  <w:tcW w:w="267" w:type="pct"/>
                  <w:vAlign w:val="center"/>
                </w:tcPr>
                <w:p w14:paraId="357AEC05">
                  <w:pPr>
                    <w:pStyle w:val="24"/>
                    <w:bidi w:val="0"/>
                    <w:ind w:firstLine="0" w:firstLineChars="0"/>
                    <w:jc w:val="center"/>
                    <w:rPr>
                      <w:rFonts w:hint="eastAsia"/>
                      <w:color w:val="auto"/>
                      <w:lang w:val="en-US" w:eastAsia="zh-CN"/>
                    </w:rPr>
                  </w:pPr>
                  <w:r>
                    <w:rPr>
                      <w:rFonts w:hint="eastAsia"/>
                      <w:color w:val="auto"/>
                      <w:lang w:val="en-US" w:eastAsia="zh-CN"/>
                    </w:rPr>
                    <w:t>北</w:t>
                  </w:r>
                </w:p>
              </w:tc>
              <w:tc>
                <w:tcPr>
                  <w:tcW w:w="459" w:type="pct"/>
                  <w:vAlign w:val="center"/>
                </w:tcPr>
                <w:p w14:paraId="0FB03B9C">
                  <w:pPr>
                    <w:pStyle w:val="24"/>
                    <w:bidi w:val="0"/>
                    <w:jc w:val="center"/>
                    <w:rPr>
                      <w:rFonts w:hint="default"/>
                      <w:color w:val="auto"/>
                      <w:lang w:val="en-US" w:eastAsia="zh-CN"/>
                    </w:rPr>
                  </w:pPr>
                  <w:r>
                    <w:rPr>
                      <w:rFonts w:hint="eastAsia"/>
                      <w:color w:val="auto"/>
                      <w:lang w:val="en-US" w:eastAsia="zh-CN"/>
                    </w:rPr>
                    <w:t>66</w:t>
                  </w:r>
                </w:p>
              </w:tc>
              <w:tc>
                <w:tcPr>
                  <w:tcW w:w="503" w:type="pct"/>
                  <w:vAlign w:val="center"/>
                </w:tcPr>
                <w:p w14:paraId="289A3D6F">
                  <w:pPr>
                    <w:pStyle w:val="24"/>
                    <w:bidi w:val="0"/>
                    <w:jc w:val="center"/>
                    <w:rPr>
                      <w:rFonts w:hint="default"/>
                      <w:color w:val="auto"/>
                      <w:lang w:val="en-US" w:eastAsia="zh-CN"/>
                    </w:rPr>
                  </w:pPr>
                  <w:r>
                    <w:rPr>
                      <w:rFonts w:hint="eastAsia"/>
                      <w:color w:val="auto"/>
                      <w:lang w:val="en-US" w:eastAsia="zh-CN"/>
                    </w:rPr>
                    <w:t>48.6</w:t>
                  </w:r>
                </w:p>
              </w:tc>
              <w:tc>
                <w:tcPr>
                  <w:tcW w:w="287" w:type="pct"/>
                  <w:vMerge w:val="continue"/>
                  <w:vAlign w:val="center"/>
                </w:tcPr>
                <w:p w14:paraId="154F8772">
                  <w:pPr>
                    <w:pStyle w:val="24"/>
                    <w:bidi w:val="0"/>
                    <w:jc w:val="center"/>
                    <w:rPr>
                      <w:rFonts w:hint="default"/>
                      <w:color w:val="auto"/>
                      <w:lang w:val="en-US" w:eastAsia="zh-CN"/>
                    </w:rPr>
                  </w:pPr>
                </w:p>
              </w:tc>
              <w:tc>
                <w:tcPr>
                  <w:tcW w:w="362" w:type="pct"/>
                  <w:vMerge w:val="continue"/>
                  <w:vAlign w:val="center"/>
                </w:tcPr>
                <w:p w14:paraId="4B5D911D">
                  <w:pPr>
                    <w:pStyle w:val="24"/>
                    <w:bidi w:val="0"/>
                    <w:jc w:val="center"/>
                    <w:rPr>
                      <w:rFonts w:hint="default"/>
                      <w:color w:val="auto"/>
                      <w:lang w:val="en-US" w:eastAsia="zh-CN"/>
                    </w:rPr>
                  </w:pPr>
                </w:p>
              </w:tc>
              <w:tc>
                <w:tcPr>
                  <w:tcW w:w="490" w:type="pct"/>
                  <w:vAlign w:val="center"/>
                </w:tcPr>
                <w:p w14:paraId="137C5EF2">
                  <w:pPr>
                    <w:pStyle w:val="24"/>
                    <w:bidi w:val="0"/>
                    <w:jc w:val="center"/>
                    <w:rPr>
                      <w:rFonts w:hint="default"/>
                      <w:color w:val="auto"/>
                      <w:lang w:val="en-US" w:eastAsia="zh-CN"/>
                    </w:rPr>
                  </w:pPr>
                  <w:r>
                    <w:rPr>
                      <w:rFonts w:hint="eastAsia"/>
                      <w:color w:val="auto"/>
                      <w:lang w:val="en-US" w:eastAsia="zh-CN"/>
                    </w:rPr>
                    <w:t>28.6</w:t>
                  </w:r>
                </w:p>
              </w:tc>
              <w:tc>
                <w:tcPr>
                  <w:tcW w:w="276" w:type="pct"/>
                  <w:vMerge w:val="continue"/>
                  <w:vAlign w:val="center"/>
                </w:tcPr>
                <w:p w14:paraId="7F5C3C07">
                  <w:pPr>
                    <w:pStyle w:val="24"/>
                    <w:bidi w:val="0"/>
                    <w:jc w:val="center"/>
                    <w:rPr>
                      <w:rFonts w:hint="eastAsia"/>
                      <w:color w:val="auto"/>
                      <w:lang w:val="en-US" w:eastAsia="zh-CN"/>
                    </w:rPr>
                  </w:pPr>
                </w:p>
              </w:tc>
            </w:tr>
            <w:tr w14:paraId="203F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4CD34BFA">
                  <w:pPr>
                    <w:pStyle w:val="24"/>
                    <w:bidi w:val="0"/>
                    <w:jc w:val="center"/>
                    <w:rPr>
                      <w:rFonts w:hint="default"/>
                      <w:color w:val="4874CB" w:themeColor="accent1"/>
                      <w:lang w:val="en-US" w:eastAsia="zh-CN"/>
                      <w14:textFill>
                        <w14:solidFill>
                          <w14:schemeClr w14:val="accent1"/>
                        </w14:solidFill>
                      </w14:textFill>
                    </w:rPr>
                  </w:pPr>
                </w:p>
              </w:tc>
              <w:tc>
                <w:tcPr>
                  <w:tcW w:w="266" w:type="pct"/>
                  <w:vMerge w:val="restart"/>
                  <w:vAlign w:val="center"/>
                </w:tcPr>
                <w:p w14:paraId="51EFABFC">
                  <w:pPr>
                    <w:pStyle w:val="24"/>
                    <w:bidi w:val="0"/>
                    <w:jc w:val="center"/>
                    <w:rPr>
                      <w:rFonts w:hint="default" w:cs="Times New Roman"/>
                      <w:color w:val="auto"/>
                      <w:szCs w:val="21"/>
                      <w:u w:val="none" w:color="auto"/>
                      <w:lang w:val="en-US" w:eastAsia="zh-CN"/>
                    </w:rPr>
                  </w:pPr>
                  <w:r>
                    <w:rPr>
                      <w:rFonts w:hint="eastAsia" w:cs="Times New Roman"/>
                      <w:color w:val="auto"/>
                      <w:szCs w:val="21"/>
                      <w:u w:val="none" w:color="auto"/>
                      <w:lang w:val="en-US" w:eastAsia="zh-CN"/>
                    </w:rPr>
                    <w:t>旋风除尘器2</w:t>
                  </w:r>
                </w:p>
              </w:tc>
              <w:tc>
                <w:tcPr>
                  <w:tcW w:w="416" w:type="pct"/>
                  <w:vMerge w:val="restart"/>
                  <w:vAlign w:val="center"/>
                </w:tcPr>
                <w:p w14:paraId="131F983A">
                  <w:pPr>
                    <w:pStyle w:val="24"/>
                    <w:bidi w:val="0"/>
                    <w:jc w:val="center"/>
                    <w:rPr>
                      <w:rFonts w:hint="default"/>
                      <w:color w:val="auto"/>
                      <w:lang w:val="en-US" w:eastAsia="zh-CN"/>
                    </w:rPr>
                  </w:pPr>
                  <w:r>
                    <w:rPr>
                      <w:rFonts w:hint="eastAsia"/>
                      <w:color w:val="auto"/>
                      <w:lang w:val="en-US" w:eastAsia="zh-CN"/>
                    </w:rPr>
                    <w:t>85</w:t>
                  </w:r>
                </w:p>
              </w:tc>
              <w:tc>
                <w:tcPr>
                  <w:tcW w:w="304" w:type="pct"/>
                  <w:vMerge w:val="continue"/>
                  <w:vAlign w:val="center"/>
                </w:tcPr>
                <w:p w14:paraId="1ACC2EDA">
                  <w:pPr>
                    <w:pStyle w:val="24"/>
                    <w:bidi w:val="0"/>
                    <w:jc w:val="center"/>
                    <w:rPr>
                      <w:rFonts w:hint="default"/>
                      <w:color w:val="auto"/>
                      <w:lang w:val="en-US" w:eastAsia="zh-CN"/>
                    </w:rPr>
                  </w:pPr>
                </w:p>
              </w:tc>
              <w:tc>
                <w:tcPr>
                  <w:tcW w:w="399" w:type="pct"/>
                  <w:vMerge w:val="restart"/>
                  <w:vAlign w:val="center"/>
                </w:tcPr>
                <w:p w14:paraId="0CC81049">
                  <w:pPr>
                    <w:pStyle w:val="24"/>
                    <w:bidi w:val="0"/>
                    <w:jc w:val="center"/>
                    <w:rPr>
                      <w:rFonts w:hint="eastAsia"/>
                      <w:color w:val="auto"/>
                      <w:lang w:val="en-US" w:eastAsia="zh-CN"/>
                    </w:rPr>
                  </w:pPr>
                  <w:r>
                    <w:rPr>
                      <w:rFonts w:hint="eastAsia"/>
                      <w:color w:val="auto"/>
                      <w:lang w:val="en-US" w:eastAsia="zh-CN"/>
                    </w:rPr>
                    <w:t>26.8</w:t>
                  </w:r>
                </w:p>
              </w:tc>
              <w:tc>
                <w:tcPr>
                  <w:tcW w:w="380" w:type="pct"/>
                  <w:vMerge w:val="restart"/>
                  <w:vAlign w:val="center"/>
                </w:tcPr>
                <w:p w14:paraId="6F3C23D0">
                  <w:pPr>
                    <w:pStyle w:val="24"/>
                    <w:bidi w:val="0"/>
                    <w:jc w:val="center"/>
                    <w:rPr>
                      <w:rFonts w:hint="default"/>
                      <w:color w:val="auto"/>
                      <w:lang w:val="en-US" w:eastAsia="zh-CN"/>
                    </w:rPr>
                  </w:pPr>
                  <w:r>
                    <w:rPr>
                      <w:rFonts w:hint="eastAsia"/>
                      <w:color w:val="auto"/>
                      <w:lang w:val="en-US" w:eastAsia="zh-CN"/>
                    </w:rPr>
                    <w:t>86</w:t>
                  </w:r>
                </w:p>
              </w:tc>
              <w:tc>
                <w:tcPr>
                  <w:tcW w:w="318" w:type="pct"/>
                  <w:vMerge w:val="restart"/>
                  <w:vAlign w:val="center"/>
                </w:tcPr>
                <w:p w14:paraId="57867F65">
                  <w:pPr>
                    <w:pStyle w:val="24"/>
                    <w:bidi w:val="0"/>
                    <w:jc w:val="center"/>
                    <w:rPr>
                      <w:rFonts w:hint="default"/>
                      <w:color w:val="auto"/>
                      <w:lang w:val="en-US" w:eastAsia="zh-CN"/>
                    </w:rPr>
                  </w:pPr>
                  <w:r>
                    <w:rPr>
                      <w:rFonts w:hint="eastAsia"/>
                      <w:color w:val="auto"/>
                      <w:lang w:val="en-US" w:eastAsia="zh-CN"/>
                    </w:rPr>
                    <w:t>1.2</w:t>
                  </w:r>
                </w:p>
              </w:tc>
              <w:tc>
                <w:tcPr>
                  <w:tcW w:w="267" w:type="pct"/>
                  <w:vAlign w:val="center"/>
                </w:tcPr>
                <w:p w14:paraId="0694E361">
                  <w:pPr>
                    <w:pStyle w:val="24"/>
                    <w:bidi w:val="0"/>
                    <w:ind w:firstLine="0" w:firstLineChars="0"/>
                    <w:jc w:val="center"/>
                    <w:rPr>
                      <w:rFonts w:hint="eastAsia"/>
                      <w:color w:val="auto"/>
                      <w:lang w:val="en-US" w:eastAsia="zh-CN"/>
                    </w:rPr>
                  </w:pPr>
                  <w:r>
                    <w:rPr>
                      <w:rFonts w:hint="eastAsia"/>
                      <w:color w:val="auto"/>
                      <w:lang w:val="en-US" w:eastAsia="zh-CN"/>
                    </w:rPr>
                    <w:t>东</w:t>
                  </w:r>
                </w:p>
              </w:tc>
              <w:tc>
                <w:tcPr>
                  <w:tcW w:w="459" w:type="pct"/>
                  <w:vAlign w:val="center"/>
                </w:tcPr>
                <w:p w14:paraId="3D5E18EC">
                  <w:pPr>
                    <w:pStyle w:val="24"/>
                    <w:bidi w:val="0"/>
                    <w:jc w:val="center"/>
                    <w:rPr>
                      <w:rFonts w:hint="eastAsia"/>
                      <w:color w:val="auto"/>
                      <w:lang w:val="en-US" w:eastAsia="zh-CN"/>
                    </w:rPr>
                  </w:pPr>
                  <w:r>
                    <w:rPr>
                      <w:rFonts w:hint="eastAsia"/>
                      <w:color w:val="auto"/>
                      <w:lang w:val="en-US" w:eastAsia="zh-CN"/>
                    </w:rPr>
                    <w:t>20.8</w:t>
                  </w:r>
                </w:p>
              </w:tc>
              <w:tc>
                <w:tcPr>
                  <w:tcW w:w="503" w:type="pct"/>
                  <w:vAlign w:val="center"/>
                </w:tcPr>
                <w:p w14:paraId="290C2407">
                  <w:pPr>
                    <w:pStyle w:val="24"/>
                    <w:bidi w:val="0"/>
                    <w:jc w:val="center"/>
                    <w:rPr>
                      <w:rFonts w:hint="eastAsia"/>
                      <w:color w:val="auto"/>
                      <w:lang w:val="en-US" w:eastAsia="zh-CN"/>
                    </w:rPr>
                  </w:pPr>
                  <w:r>
                    <w:rPr>
                      <w:rFonts w:hint="eastAsia"/>
                      <w:color w:val="auto"/>
                      <w:lang w:val="en-US" w:eastAsia="zh-CN"/>
                    </w:rPr>
                    <w:t>58.6</w:t>
                  </w:r>
                </w:p>
              </w:tc>
              <w:tc>
                <w:tcPr>
                  <w:tcW w:w="287" w:type="pct"/>
                  <w:vMerge w:val="continue"/>
                  <w:vAlign w:val="center"/>
                </w:tcPr>
                <w:p w14:paraId="33ACAA2E">
                  <w:pPr>
                    <w:pStyle w:val="24"/>
                    <w:bidi w:val="0"/>
                    <w:jc w:val="center"/>
                    <w:rPr>
                      <w:rFonts w:hint="default"/>
                      <w:color w:val="auto"/>
                      <w:lang w:val="en-US" w:eastAsia="zh-CN"/>
                    </w:rPr>
                  </w:pPr>
                </w:p>
              </w:tc>
              <w:tc>
                <w:tcPr>
                  <w:tcW w:w="362" w:type="pct"/>
                  <w:vMerge w:val="restart"/>
                  <w:vAlign w:val="center"/>
                </w:tcPr>
                <w:p w14:paraId="23EFB5D8">
                  <w:pPr>
                    <w:pStyle w:val="24"/>
                    <w:bidi w:val="0"/>
                    <w:jc w:val="center"/>
                    <w:rPr>
                      <w:rFonts w:hint="default"/>
                      <w:color w:val="auto"/>
                      <w:lang w:val="en-US" w:eastAsia="zh-CN"/>
                    </w:rPr>
                  </w:pPr>
                  <w:r>
                    <w:rPr>
                      <w:rFonts w:hint="eastAsia"/>
                      <w:color w:val="auto"/>
                      <w:lang w:val="en-US" w:eastAsia="zh-CN"/>
                    </w:rPr>
                    <w:t>20</w:t>
                  </w:r>
                </w:p>
              </w:tc>
              <w:tc>
                <w:tcPr>
                  <w:tcW w:w="490" w:type="pct"/>
                  <w:vAlign w:val="center"/>
                </w:tcPr>
                <w:p w14:paraId="6C2936CF">
                  <w:pPr>
                    <w:pStyle w:val="24"/>
                    <w:bidi w:val="0"/>
                    <w:jc w:val="center"/>
                    <w:rPr>
                      <w:rFonts w:hint="default"/>
                      <w:color w:val="auto"/>
                      <w:lang w:val="en-US" w:eastAsia="zh-CN"/>
                    </w:rPr>
                  </w:pPr>
                  <w:r>
                    <w:rPr>
                      <w:rFonts w:hint="eastAsia"/>
                      <w:color w:val="auto"/>
                      <w:lang w:val="en-US" w:eastAsia="zh-CN"/>
                    </w:rPr>
                    <w:t>38.6</w:t>
                  </w:r>
                </w:p>
              </w:tc>
              <w:tc>
                <w:tcPr>
                  <w:tcW w:w="276" w:type="pct"/>
                  <w:vMerge w:val="restart"/>
                  <w:vAlign w:val="center"/>
                </w:tcPr>
                <w:p w14:paraId="2AE91A37">
                  <w:pPr>
                    <w:pStyle w:val="24"/>
                    <w:bidi w:val="0"/>
                    <w:jc w:val="center"/>
                    <w:rPr>
                      <w:rFonts w:hint="default"/>
                      <w:color w:val="auto"/>
                      <w:lang w:val="en-US" w:eastAsia="zh-CN"/>
                    </w:rPr>
                  </w:pPr>
                  <w:r>
                    <w:rPr>
                      <w:rFonts w:hint="eastAsia"/>
                      <w:color w:val="auto"/>
                      <w:lang w:val="en-US" w:eastAsia="zh-CN"/>
                    </w:rPr>
                    <w:t>1</w:t>
                  </w:r>
                </w:p>
              </w:tc>
            </w:tr>
            <w:tr w14:paraId="67C4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1142DCFE">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6A77C296">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75C6029F">
                  <w:pPr>
                    <w:pStyle w:val="24"/>
                    <w:bidi w:val="0"/>
                    <w:jc w:val="center"/>
                    <w:rPr>
                      <w:rFonts w:hint="eastAsia"/>
                      <w:color w:val="auto"/>
                      <w:lang w:val="en-US" w:eastAsia="zh-CN"/>
                    </w:rPr>
                  </w:pPr>
                </w:p>
              </w:tc>
              <w:tc>
                <w:tcPr>
                  <w:tcW w:w="304" w:type="pct"/>
                  <w:vMerge w:val="continue"/>
                  <w:vAlign w:val="center"/>
                </w:tcPr>
                <w:p w14:paraId="3A5584B5">
                  <w:pPr>
                    <w:pStyle w:val="24"/>
                    <w:bidi w:val="0"/>
                    <w:jc w:val="center"/>
                    <w:rPr>
                      <w:rFonts w:hint="default"/>
                      <w:color w:val="auto"/>
                      <w:lang w:val="en-US" w:eastAsia="zh-CN"/>
                    </w:rPr>
                  </w:pPr>
                </w:p>
              </w:tc>
              <w:tc>
                <w:tcPr>
                  <w:tcW w:w="399" w:type="pct"/>
                  <w:vMerge w:val="continue"/>
                  <w:vAlign w:val="center"/>
                </w:tcPr>
                <w:p w14:paraId="6A42D924">
                  <w:pPr>
                    <w:pStyle w:val="24"/>
                    <w:bidi w:val="0"/>
                    <w:jc w:val="center"/>
                    <w:rPr>
                      <w:rFonts w:hint="eastAsia"/>
                      <w:color w:val="auto"/>
                      <w:lang w:val="en-US" w:eastAsia="zh-CN"/>
                    </w:rPr>
                  </w:pPr>
                </w:p>
              </w:tc>
              <w:tc>
                <w:tcPr>
                  <w:tcW w:w="380" w:type="pct"/>
                  <w:vMerge w:val="continue"/>
                  <w:vAlign w:val="center"/>
                </w:tcPr>
                <w:p w14:paraId="242EE1CA">
                  <w:pPr>
                    <w:pStyle w:val="24"/>
                    <w:bidi w:val="0"/>
                    <w:jc w:val="center"/>
                    <w:rPr>
                      <w:rFonts w:hint="eastAsia"/>
                      <w:color w:val="auto"/>
                      <w:lang w:val="en-US" w:eastAsia="zh-CN"/>
                    </w:rPr>
                  </w:pPr>
                </w:p>
              </w:tc>
              <w:tc>
                <w:tcPr>
                  <w:tcW w:w="318" w:type="pct"/>
                  <w:vMerge w:val="continue"/>
                  <w:vAlign w:val="center"/>
                </w:tcPr>
                <w:p w14:paraId="1B869F97">
                  <w:pPr>
                    <w:pStyle w:val="24"/>
                    <w:bidi w:val="0"/>
                    <w:jc w:val="center"/>
                    <w:rPr>
                      <w:rFonts w:hint="eastAsia"/>
                      <w:color w:val="auto"/>
                      <w:lang w:val="en-US" w:eastAsia="zh-CN"/>
                    </w:rPr>
                  </w:pPr>
                </w:p>
              </w:tc>
              <w:tc>
                <w:tcPr>
                  <w:tcW w:w="267" w:type="pct"/>
                  <w:vAlign w:val="center"/>
                </w:tcPr>
                <w:p w14:paraId="65964E61">
                  <w:pPr>
                    <w:pStyle w:val="24"/>
                    <w:bidi w:val="0"/>
                    <w:ind w:firstLine="0" w:firstLineChars="0"/>
                    <w:jc w:val="center"/>
                    <w:rPr>
                      <w:rFonts w:hint="eastAsia"/>
                      <w:color w:val="auto"/>
                      <w:lang w:val="en-US" w:eastAsia="zh-CN"/>
                    </w:rPr>
                  </w:pPr>
                  <w:r>
                    <w:rPr>
                      <w:rFonts w:hint="eastAsia"/>
                      <w:color w:val="auto"/>
                      <w:lang w:val="en-US" w:eastAsia="zh-CN"/>
                    </w:rPr>
                    <w:t>南</w:t>
                  </w:r>
                </w:p>
              </w:tc>
              <w:tc>
                <w:tcPr>
                  <w:tcW w:w="459" w:type="pct"/>
                  <w:vAlign w:val="center"/>
                </w:tcPr>
                <w:p w14:paraId="08D451AE">
                  <w:pPr>
                    <w:pStyle w:val="24"/>
                    <w:bidi w:val="0"/>
                    <w:jc w:val="center"/>
                    <w:rPr>
                      <w:rFonts w:hint="default"/>
                      <w:color w:val="auto"/>
                      <w:lang w:val="en-US" w:eastAsia="zh-CN"/>
                    </w:rPr>
                  </w:pPr>
                  <w:r>
                    <w:rPr>
                      <w:rFonts w:hint="eastAsia"/>
                      <w:color w:val="auto"/>
                      <w:lang w:val="en-US" w:eastAsia="zh-CN"/>
                    </w:rPr>
                    <w:t>75</w:t>
                  </w:r>
                </w:p>
              </w:tc>
              <w:tc>
                <w:tcPr>
                  <w:tcW w:w="503" w:type="pct"/>
                  <w:vAlign w:val="center"/>
                </w:tcPr>
                <w:p w14:paraId="27425A10">
                  <w:pPr>
                    <w:pStyle w:val="24"/>
                    <w:bidi w:val="0"/>
                    <w:jc w:val="center"/>
                    <w:rPr>
                      <w:rFonts w:hint="default"/>
                      <w:color w:val="auto"/>
                      <w:lang w:val="en-US" w:eastAsia="zh-CN"/>
                    </w:rPr>
                  </w:pPr>
                  <w:r>
                    <w:rPr>
                      <w:rFonts w:hint="eastAsia"/>
                      <w:color w:val="auto"/>
                      <w:lang w:val="en-US" w:eastAsia="zh-CN"/>
                    </w:rPr>
                    <w:t>47.5</w:t>
                  </w:r>
                </w:p>
              </w:tc>
              <w:tc>
                <w:tcPr>
                  <w:tcW w:w="287" w:type="pct"/>
                  <w:vMerge w:val="continue"/>
                  <w:vAlign w:val="center"/>
                </w:tcPr>
                <w:p w14:paraId="7CC5BA1D">
                  <w:pPr>
                    <w:pStyle w:val="24"/>
                    <w:bidi w:val="0"/>
                    <w:jc w:val="center"/>
                    <w:rPr>
                      <w:rFonts w:hint="default"/>
                      <w:color w:val="auto"/>
                      <w:lang w:val="en-US" w:eastAsia="zh-CN"/>
                    </w:rPr>
                  </w:pPr>
                </w:p>
              </w:tc>
              <w:tc>
                <w:tcPr>
                  <w:tcW w:w="362" w:type="pct"/>
                  <w:vMerge w:val="continue"/>
                  <w:vAlign w:val="center"/>
                </w:tcPr>
                <w:p w14:paraId="203E7F0A">
                  <w:pPr>
                    <w:pStyle w:val="24"/>
                    <w:bidi w:val="0"/>
                    <w:jc w:val="center"/>
                    <w:rPr>
                      <w:rFonts w:hint="default"/>
                      <w:color w:val="auto"/>
                      <w:lang w:val="en-US" w:eastAsia="zh-CN"/>
                    </w:rPr>
                  </w:pPr>
                </w:p>
              </w:tc>
              <w:tc>
                <w:tcPr>
                  <w:tcW w:w="490" w:type="pct"/>
                  <w:vAlign w:val="center"/>
                </w:tcPr>
                <w:p w14:paraId="04427C12">
                  <w:pPr>
                    <w:pStyle w:val="24"/>
                    <w:bidi w:val="0"/>
                    <w:jc w:val="center"/>
                    <w:rPr>
                      <w:rFonts w:hint="default"/>
                      <w:color w:val="auto"/>
                      <w:lang w:val="en-US" w:eastAsia="zh-CN"/>
                    </w:rPr>
                  </w:pPr>
                  <w:r>
                    <w:rPr>
                      <w:rFonts w:hint="eastAsia"/>
                      <w:color w:val="auto"/>
                      <w:lang w:val="en-US" w:eastAsia="zh-CN"/>
                    </w:rPr>
                    <w:t>27.5</w:t>
                  </w:r>
                </w:p>
              </w:tc>
              <w:tc>
                <w:tcPr>
                  <w:tcW w:w="276" w:type="pct"/>
                  <w:vMerge w:val="continue"/>
                  <w:vAlign w:val="center"/>
                </w:tcPr>
                <w:p w14:paraId="571C5FE6">
                  <w:pPr>
                    <w:pStyle w:val="24"/>
                    <w:bidi w:val="0"/>
                    <w:jc w:val="center"/>
                    <w:rPr>
                      <w:rFonts w:hint="eastAsia"/>
                      <w:color w:val="auto"/>
                      <w:lang w:val="en-US" w:eastAsia="zh-CN"/>
                    </w:rPr>
                  </w:pPr>
                </w:p>
              </w:tc>
            </w:tr>
            <w:tr w14:paraId="12B8D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63D3E871">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6C8BCAE4">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3E58C9A3">
                  <w:pPr>
                    <w:pStyle w:val="24"/>
                    <w:bidi w:val="0"/>
                    <w:jc w:val="center"/>
                    <w:rPr>
                      <w:rFonts w:hint="eastAsia"/>
                      <w:color w:val="auto"/>
                      <w:lang w:val="en-US" w:eastAsia="zh-CN"/>
                    </w:rPr>
                  </w:pPr>
                </w:p>
              </w:tc>
              <w:tc>
                <w:tcPr>
                  <w:tcW w:w="304" w:type="pct"/>
                  <w:vMerge w:val="continue"/>
                  <w:vAlign w:val="center"/>
                </w:tcPr>
                <w:p w14:paraId="51393E57">
                  <w:pPr>
                    <w:pStyle w:val="24"/>
                    <w:bidi w:val="0"/>
                    <w:jc w:val="center"/>
                    <w:rPr>
                      <w:rFonts w:hint="default"/>
                      <w:color w:val="auto"/>
                      <w:lang w:val="en-US" w:eastAsia="zh-CN"/>
                    </w:rPr>
                  </w:pPr>
                </w:p>
              </w:tc>
              <w:tc>
                <w:tcPr>
                  <w:tcW w:w="399" w:type="pct"/>
                  <w:vMerge w:val="continue"/>
                  <w:vAlign w:val="center"/>
                </w:tcPr>
                <w:p w14:paraId="58FD8793">
                  <w:pPr>
                    <w:pStyle w:val="24"/>
                    <w:bidi w:val="0"/>
                    <w:jc w:val="center"/>
                    <w:rPr>
                      <w:rFonts w:hint="eastAsia"/>
                      <w:color w:val="auto"/>
                      <w:lang w:val="en-US" w:eastAsia="zh-CN"/>
                    </w:rPr>
                  </w:pPr>
                </w:p>
              </w:tc>
              <w:tc>
                <w:tcPr>
                  <w:tcW w:w="380" w:type="pct"/>
                  <w:vMerge w:val="continue"/>
                  <w:vAlign w:val="center"/>
                </w:tcPr>
                <w:p w14:paraId="5DE84C47">
                  <w:pPr>
                    <w:pStyle w:val="24"/>
                    <w:bidi w:val="0"/>
                    <w:jc w:val="center"/>
                    <w:rPr>
                      <w:rFonts w:hint="eastAsia"/>
                      <w:color w:val="auto"/>
                      <w:lang w:val="en-US" w:eastAsia="zh-CN"/>
                    </w:rPr>
                  </w:pPr>
                </w:p>
              </w:tc>
              <w:tc>
                <w:tcPr>
                  <w:tcW w:w="318" w:type="pct"/>
                  <w:vMerge w:val="continue"/>
                  <w:vAlign w:val="center"/>
                </w:tcPr>
                <w:p w14:paraId="270A8BE7">
                  <w:pPr>
                    <w:pStyle w:val="24"/>
                    <w:bidi w:val="0"/>
                    <w:jc w:val="center"/>
                    <w:rPr>
                      <w:rFonts w:hint="eastAsia"/>
                      <w:color w:val="auto"/>
                      <w:lang w:val="en-US" w:eastAsia="zh-CN"/>
                    </w:rPr>
                  </w:pPr>
                </w:p>
              </w:tc>
              <w:tc>
                <w:tcPr>
                  <w:tcW w:w="267" w:type="pct"/>
                  <w:vAlign w:val="center"/>
                </w:tcPr>
                <w:p w14:paraId="0D388767">
                  <w:pPr>
                    <w:pStyle w:val="24"/>
                    <w:bidi w:val="0"/>
                    <w:ind w:firstLine="0" w:firstLineChars="0"/>
                    <w:jc w:val="center"/>
                    <w:rPr>
                      <w:rFonts w:hint="eastAsia"/>
                      <w:color w:val="auto"/>
                      <w:lang w:val="en-US" w:eastAsia="zh-CN"/>
                    </w:rPr>
                  </w:pPr>
                  <w:r>
                    <w:rPr>
                      <w:rFonts w:hint="eastAsia"/>
                      <w:color w:val="auto"/>
                      <w:lang w:val="en-US" w:eastAsia="zh-CN"/>
                    </w:rPr>
                    <w:t>西</w:t>
                  </w:r>
                </w:p>
              </w:tc>
              <w:tc>
                <w:tcPr>
                  <w:tcW w:w="459" w:type="pct"/>
                  <w:vAlign w:val="center"/>
                </w:tcPr>
                <w:p w14:paraId="24E22CC7">
                  <w:pPr>
                    <w:pStyle w:val="24"/>
                    <w:bidi w:val="0"/>
                    <w:jc w:val="center"/>
                    <w:rPr>
                      <w:rFonts w:hint="eastAsia"/>
                      <w:color w:val="auto"/>
                      <w:lang w:val="en-US" w:eastAsia="zh-CN"/>
                    </w:rPr>
                  </w:pPr>
                  <w:r>
                    <w:rPr>
                      <w:rFonts w:hint="eastAsia"/>
                      <w:color w:val="auto"/>
                      <w:lang w:val="en-US" w:eastAsia="zh-CN"/>
                    </w:rPr>
                    <w:t>20.8</w:t>
                  </w:r>
                </w:p>
              </w:tc>
              <w:tc>
                <w:tcPr>
                  <w:tcW w:w="503" w:type="pct"/>
                  <w:vAlign w:val="center"/>
                </w:tcPr>
                <w:p w14:paraId="32D1B4F6">
                  <w:pPr>
                    <w:pStyle w:val="24"/>
                    <w:bidi w:val="0"/>
                    <w:jc w:val="center"/>
                    <w:rPr>
                      <w:rFonts w:hint="eastAsia"/>
                      <w:color w:val="auto"/>
                      <w:lang w:val="en-US" w:eastAsia="zh-CN"/>
                    </w:rPr>
                  </w:pPr>
                  <w:r>
                    <w:rPr>
                      <w:rFonts w:hint="eastAsia"/>
                      <w:color w:val="auto"/>
                      <w:lang w:val="en-US" w:eastAsia="zh-CN"/>
                    </w:rPr>
                    <w:t>58.6</w:t>
                  </w:r>
                </w:p>
              </w:tc>
              <w:tc>
                <w:tcPr>
                  <w:tcW w:w="287" w:type="pct"/>
                  <w:vMerge w:val="continue"/>
                  <w:vAlign w:val="center"/>
                </w:tcPr>
                <w:p w14:paraId="50967A94">
                  <w:pPr>
                    <w:pStyle w:val="24"/>
                    <w:bidi w:val="0"/>
                    <w:jc w:val="center"/>
                    <w:rPr>
                      <w:rFonts w:hint="default"/>
                      <w:color w:val="auto"/>
                      <w:lang w:val="en-US" w:eastAsia="zh-CN"/>
                    </w:rPr>
                  </w:pPr>
                </w:p>
              </w:tc>
              <w:tc>
                <w:tcPr>
                  <w:tcW w:w="362" w:type="pct"/>
                  <w:vMerge w:val="continue"/>
                  <w:vAlign w:val="center"/>
                </w:tcPr>
                <w:p w14:paraId="28F1F2C1">
                  <w:pPr>
                    <w:pStyle w:val="24"/>
                    <w:bidi w:val="0"/>
                    <w:jc w:val="center"/>
                    <w:rPr>
                      <w:rFonts w:hint="default"/>
                      <w:color w:val="auto"/>
                      <w:lang w:val="en-US" w:eastAsia="zh-CN"/>
                    </w:rPr>
                  </w:pPr>
                </w:p>
              </w:tc>
              <w:tc>
                <w:tcPr>
                  <w:tcW w:w="490" w:type="pct"/>
                  <w:vAlign w:val="center"/>
                </w:tcPr>
                <w:p w14:paraId="7AF533A7">
                  <w:pPr>
                    <w:pStyle w:val="24"/>
                    <w:bidi w:val="0"/>
                    <w:jc w:val="center"/>
                    <w:rPr>
                      <w:rFonts w:hint="default"/>
                      <w:color w:val="auto"/>
                      <w:lang w:val="en-US" w:eastAsia="zh-CN"/>
                    </w:rPr>
                  </w:pPr>
                  <w:r>
                    <w:rPr>
                      <w:rFonts w:hint="eastAsia"/>
                      <w:color w:val="auto"/>
                      <w:lang w:val="en-US" w:eastAsia="zh-CN"/>
                    </w:rPr>
                    <w:t>38.6</w:t>
                  </w:r>
                </w:p>
              </w:tc>
              <w:tc>
                <w:tcPr>
                  <w:tcW w:w="276" w:type="pct"/>
                  <w:vMerge w:val="continue"/>
                  <w:vAlign w:val="center"/>
                </w:tcPr>
                <w:p w14:paraId="796DFC41">
                  <w:pPr>
                    <w:pStyle w:val="24"/>
                    <w:bidi w:val="0"/>
                    <w:jc w:val="center"/>
                    <w:rPr>
                      <w:rFonts w:hint="eastAsia"/>
                      <w:color w:val="auto"/>
                      <w:lang w:val="en-US" w:eastAsia="zh-CN"/>
                    </w:rPr>
                  </w:pPr>
                </w:p>
              </w:tc>
            </w:tr>
            <w:tr w14:paraId="1A31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45267B03">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6429F7F3">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4B075BF2">
                  <w:pPr>
                    <w:pStyle w:val="24"/>
                    <w:bidi w:val="0"/>
                    <w:jc w:val="center"/>
                    <w:rPr>
                      <w:rFonts w:hint="eastAsia"/>
                      <w:color w:val="auto"/>
                      <w:lang w:val="en-US" w:eastAsia="zh-CN"/>
                    </w:rPr>
                  </w:pPr>
                </w:p>
              </w:tc>
              <w:tc>
                <w:tcPr>
                  <w:tcW w:w="304" w:type="pct"/>
                  <w:vMerge w:val="continue"/>
                  <w:vAlign w:val="center"/>
                </w:tcPr>
                <w:p w14:paraId="50A47C6C">
                  <w:pPr>
                    <w:pStyle w:val="24"/>
                    <w:bidi w:val="0"/>
                    <w:jc w:val="center"/>
                    <w:rPr>
                      <w:rFonts w:hint="default"/>
                      <w:color w:val="auto"/>
                      <w:lang w:val="en-US" w:eastAsia="zh-CN"/>
                    </w:rPr>
                  </w:pPr>
                </w:p>
              </w:tc>
              <w:tc>
                <w:tcPr>
                  <w:tcW w:w="399" w:type="pct"/>
                  <w:vMerge w:val="continue"/>
                  <w:vAlign w:val="center"/>
                </w:tcPr>
                <w:p w14:paraId="6840D2EA">
                  <w:pPr>
                    <w:pStyle w:val="24"/>
                    <w:bidi w:val="0"/>
                    <w:jc w:val="center"/>
                    <w:rPr>
                      <w:rFonts w:hint="eastAsia"/>
                      <w:color w:val="auto"/>
                      <w:lang w:val="en-US" w:eastAsia="zh-CN"/>
                    </w:rPr>
                  </w:pPr>
                </w:p>
              </w:tc>
              <w:tc>
                <w:tcPr>
                  <w:tcW w:w="380" w:type="pct"/>
                  <w:vMerge w:val="continue"/>
                  <w:vAlign w:val="center"/>
                </w:tcPr>
                <w:p w14:paraId="3E203719">
                  <w:pPr>
                    <w:pStyle w:val="24"/>
                    <w:bidi w:val="0"/>
                    <w:jc w:val="center"/>
                    <w:rPr>
                      <w:rFonts w:hint="eastAsia"/>
                      <w:color w:val="auto"/>
                      <w:lang w:val="en-US" w:eastAsia="zh-CN"/>
                    </w:rPr>
                  </w:pPr>
                </w:p>
              </w:tc>
              <w:tc>
                <w:tcPr>
                  <w:tcW w:w="318" w:type="pct"/>
                  <w:vMerge w:val="continue"/>
                  <w:vAlign w:val="center"/>
                </w:tcPr>
                <w:p w14:paraId="3E4DB100">
                  <w:pPr>
                    <w:pStyle w:val="24"/>
                    <w:bidi w:val="0"/>
                    <w:jc w:val="center"/>
                    <w:rPr>
                      <w:rFonts w:hint="eastAsia"/>
                      <w:color w:val="auto"/>
                      <w:lang w:val="en-US" w:eastAsia="zh-CN"/>
                    </w:rPr>
                  </w:pPr>
                </w:p>
              </w:tc>
              <w:tc>
                <w:tcPr>
                  <w:tcW w:w="267" w:type="pct"/>
                  <w:vAlign w:val="center"/>
                </w:tcPr>
                <w:p w14:paraId="0004404F">
                  <w:pPr>
                    <w:pStyle w:val="24"/>
                    <w:bidi w:val="0"/>
                    <w:ind w:firstLine="0" w:firstLineChars="0"/>
                    <w:jc w:val="center"/>
                    <w:rPr>
                      <w:rFonts w:hint="eastAsia"/>
                      <w:color w:val="auto"/>
                      <w:lang w:val="en-US" w:eastAsia="zh-CN"/>
                    </w:rPr>
                  </w:pPr>
                  <w:r>
                    <w:rPr>
                      <w:rFonts w:hint="eastAsia"/>
                      <w:color w:val="auto"/>
                      <w:lang w:val="en-US" w:eastAsia="zh-CN"/>
                    </w:rPr>
                    <w:t>北</w:t>
                  </w:r>
                </w:p>
              </w:tc>
              <w:tc>
                <w:tcPr>
                  <w:tcW w:w="459" w:type="pct"/>
                  <w:vAlign w:val="center"/>
                </w:tcPr>
                <w:p w14:paraId="05CCB510">
                  <w:pPr>
                    <w:pStyle w:val="24"/>
                    <w:bidi w:val="0"/>
                    <w:jc w:val="center"/>
                    <w:rPr>
                      <w:rFonts w:hint="default"/>
                      <w:color w:val="auto"/>
                      <w:lang w:val="en-US" w:eastAsia="zh-CN"/>
                    </w:rPr>
                  </w:pPr>
                  <w:r>
                    <w:rPr>
                      <w:rFonts w:hint="eastAsia"/>
                      <w:color w:val="auto"/>
                      <w:lang w:val="en-US" w:eastAsia="zh-CN"/>
                    </w:rPr>
                    <w:t>26</w:t>
                  </w:r>
                </w:p>
              </w:tc>
              <w:tc>
                <w:tcPr>
                  <w:tcW w:w="503" w:type="pct"/>
                  <w:vAlign w:val="center"/>
                </w:tcPr>
                <w:p w14:paraId="5DFC2FCF">
                  <w:pPr>
                    <w:pStyle w:val="24"/>
                    <w:bidi w:val="0"/>
                    <w:jc w:val="center"/>
                    <w:rPr>
                      <w:rFonts w:hint="default"/>
                      <w:color w:val="auto"/>
                      <w:lang w:val="en-US" w:eastAsia="zh-CN"/>
                    </w:rPr>
                  </w:pPr>
                  <w:r>
                    <w:rPr>
                      <w:rFonts w:hint="eastAsia"/>
                      <w:color w:val="auto"/>
                      <w:lang w:val="en-US" w:eastAsia="zh-CN"/>
                    </w:rPr>
                    <w:t>56.7</w:t>
                  </w:r>
                </w:p>
              </w:tc>
              <w:tc>
                <w:tcPr>
                  <w:tcW w:w="287" w:type="pct"/>
                  <w:vMerge w:val="continue"/>
                  <w:vAlign w:val="center"/>
                </w:tcPr>
                <w:p w14:paraId="625AEE6B">
                  <w:pPr>
                    <w:pStyle w:val="24"/>
                    <w:bidi w:val="0"/>
                    <w:jc w:val="center"/>
                    <w:rPr>
                      <w:rFonts w:hint="default"/>
                      <w:color w:val="auto"/>
                      <w:lang w:val="en-US" w:eastAsia="zh-CN"/>
                    </w:rPr>
                  </w:pPr>
                </w:p>
              </w:tc>
              <w:tc>
                <w:tcPr>
                  <w:tcW w:w="362" w:type="pct"/>
                  <w:vMerge w:val="continue"/>
                  <w:vAlign w:val="center"/>
                </w:tcPr>
                <w:p w14:paraId="2D2D4EAB">
                  <w:pPr>
                    <w:pStyle w:val="24"/>
                    <w:bidi w:val="0"/>
                    <w:jc w:val="center"/>
                    <w:rPr>
                      <w:rFonts w:hint="default"/>
                      <w:color w:val="auto"/>
                      <w:lang w:val="en-US" w:eastAsia="zh-CN"/>
                    </w:rPr>
                  </w:pPr>
                </w:p>
              </w:tc>
              <w:tc>
                <w:tcPr>
                  <w:tcW w:w="490" w:type="pct"/>
                  <w:vAlign w:val="center"/>
                </w:tcPr>
                <w:p w14:paraId="168AF529">
                  <w:pPr>
                    <w:pStyle w:val="24"/>
                    <w:bidi w:val="0"/>
                    <w:jc w:val="center"/>
                    <w:rPr>
                      <w:rFonts w:hint="default"/>
                      <w:color w:val="auto"/>
                      <w:lang w:val="en-US" w:eastAsia="zh-CN"/>
                    </w:rPr>
                  </w:pPr>
                  <w:r>
                    <w:rPr>
                      <w:rFonts w:hint="eastAsia"/>
                      <w:color w:val="auto"/>
                      <w:lang w:val="en-US" w:eastAsia="zh-CN"/>
                    </w:rPr>
                    <w:t>36.7</w:t>
                  </w:r>
                </w:p>
              </w:tc>
              <w:tc>
                <w:tcPr>
                  <w:tcW w:w="276" w:type="pct"/>
                  <w:vMerge w:val="continue"/>
                  <w:vAlign w:val="center"/>
                </w:tcPr>
                <w:p w14:paraId="1F37BD4A">
                  <w:pPr>
                    <w:pStyle w:val="24"/>
                    <w:bidi w:val="0"/>
                    <w:jc w:val="center"/>
                    <w:rPr>
                      <w:rFonts w:hint="eastAsia"/>
                      <w:color w:val="auto"/>
                      <w:lang w:val="en-US" w:eastAsia="zh-CN"/>
                    </w:rPr>
                  </w:pPr>
                </w:p>
              </w:tc>
            </w:tr>
            <w:tr w14:paraId="615E6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3FE235E0">
                  <w:pPr>
                    <w:pStyle w:val="24"/>
                    <w:bidi w:val="0"/>
                    <w:jc w:val="center"/>
                    <w:rPr>
                      <w:rFonts w:hint="default"/>
                      <w:color w:val="4874CB" w:themeColor="accent1"/>
                      <w:lang w:val="en-US" w:eastAsia="zh-CN"/>
                      <w14:textFill>
                        <w14:solidFill>
                          <w14:schemeClr w14:val="accent1"/>
                        </w14:solidFill>
                      </w14:textFill>
                    </w:rPr>
                  </w:pPr>
                </w:p>
              </w:tc>
              <w:tc>
                <w:tcPr>
                  <w:tcW w:w="266" w:type="pct"/>
                  <w:vMerge w:val="restart"/>
                  <w:vAlign w:val="center"/>
                </w:tcPr>
                <w:p w14:paraId="0A2DA90D">
                  <w:pPr>
                    <w:pStyle w:val="24"/>
                    <w:bidi w:val="0"/>
                    <w:jc w:val="center"/>
                    <w:rPr>
                      <w:rFonts w:hint="default" w:cs="Times New Roman"/>
                      <w:color w:val="auto"/>
                      <w:szCs w:val="21"/>
                      <w:u w:val="none" w:color="auto"/>
                      <w:lang w:val="en-US" w:eastAsia="zh-CN"/>
                    </w:rPr>
                  </w:pPr>
                  <w:r>
                    <w:rPr>
                      <w:rFonts w:hint="eastAsia" w:cs="Times New Roman"/>
                      <w:color w:val="auto"/>
                      <w:szCs w:val="21"/>
                      <w:u w:val="none" w:color="auto"/>
                      <w:lang w:val="en-US" w:eastAsia="zh-CN"/>
                    </w:rPr>
                    <w:t>包膜机</w:t>
                  </w:r>
                </w:p>
              </w:tc>
              <w:tc>
                <w:tcPr>
                  <w:tcW w:w="416" w:type="pct"/>
                  <w:vMerge w:val="restart"/>
                  <w:vAlign w:val="center"/>
                </w:tcPr>
                <w:p w14:paraId="1FB8B83D">
                  <w:pPr>
                    <w:pStyle w:val="24"/>
                    <w:bidi w:val="0"/>
                    <w:jc w:val="center"/>
                    <w:rPr>
                      <w:rFonts w:hint="default"/>
                      <w:color w:val="auto"/>
                      <w:lang w:val="en-US" w:eastAsia="zh-CN"/>
                    </w:rPr>
                  </w:pPr>
                  <w:r>
                    <w:rPr>
                      <w:rFonts w:hint="eastAsia"/>
                      <w:color w:val="auto"/>
                      <w:lang w:val="en-US" w:eastAsia="zh-CN"/>
                    </w:rPr>
                    <w:t>75</w:t>
                  </w:r>
                </w:p>
              </w:tc>
              <w:tc>
                <w:tcPr>
                  <w:tcW w:w="304" w:type="pct"/>
                  <w:vMerge w:val="continue"/>
                  <w:vAlign w:val="center"/>
                </w:tcPr>
                <w:p w14:paraId="0BA608A4">
                  <w:pPr>
                    <w:pStyle w:val="24"/>
                    <w:bidi w:val="0"/>
                    <w:jc w:val="center"/>
                    <w:rPr>
                      <w:rFonts w:hint="default"/>
                      <w:color w:val="auto"/>
                      <w:lang w:val="en-US" w:eastAsia="zh-CN"/>
                    </w:rPr>
                  </w:pPr>
                </w:p>
              </w:tc>
              <w:tc>
                <w:tcPr>
                  <w:tcW w:w="399" w:type="pct"/>
                  <w:vMerge w:val="restart"/>
                  <w:vAlign w:val="center"/>
                </w:tcPr>
                <w:p w14:paraId="1BFE5A88">
                  <w:pPr>
                    <w:pStyle w:val="24"/>
                    <w:bidi w:val="0"/>
                    <w:jc w:val="center"/>
                    <w:rPr>
                      <w:rFonts w:hint="eastAsia"/>
                      <w:color w:val="auto"/>
                      <w:lang w:val="en-US" w:eastAsia="zh-CN"/>
                    </w:rPr>
                  </w:pPr>
                  <w:r>
                    <w:rPr>
                      <w:rFonts w:hint="eastAsia"/>
                      <w:color w:val="auto"/>
                      <w:lang w:val="en-US" w:eastAsia="zh-CN"/>
                    </w:rPr>
                    <w:t>26.8</w:t>
                  </w:r>
                </w:p>
              </w:tc>
              <w:tc>
                <w:tcPr>
                  <w:tcW w:w="380" w:type="pct"/>
                  <w:vMerge w:val="restart"/>
                  <w:vAlign w:val="center"/>
                </w:tcPr>
                <w:p w14:paraId="70E7B086">
                  <w:pPr>
                    <w:pStyle w:val="24"/>
                    <w:bidi w:val="0"/>
                    <w:jc w:val="center"/>
                    <w:rPr>
                      <w:rFonts w:hint="default"/>
                      <w:color w:val="auto"/>
                      <w:lang w:val="en-US" w:eastAsia="zh-CN"/>
                    </w:rPr>
                  </w:pPr>
                  <w:r>
                    <w:rPr>
                      <w:rFonts w:hint="eastAsia"/>
                      <w:color w:val="auto"/>
                      <w:lang w:val="en-US" w:eastAsia="zh-CN"/>
                    </w:rPr>
                    <w:t>101</w:t>
                  </w:r>
                </w:p>
              </w:tc>
              <w:tc>
                <w:tcPr>
                  <w:tcW w:w="318" w:type="pct"/>
                  <w:vMerge w:val="restart"/>
                  <w:vAlign w:val="center"/>
                </w:tcPr>
                <w:p w14:paraId="585649B5">
                  <w:pPr>
                    <w:pStyle w:val="24"/>
                    <w:bidi w:val="0"/>
                    <w:jc w:val="center"/>
                    <w:rPr>
                      <w:rFonts w:hint="default"/>
                      <w:color w:val="auto"/>
                      <w:lang w:val="en-US" w:eastAsia="zh-CN"/>
                    </w:rPr>
                  </w:pPr>
                  <w:r>
                    <w:rPr>
                      <w:rFonts w:hint="eastAsia"/>
                      <w:color w:val="auto"/>
                      <w:lang w:val="en-US" w:eastAsia="zh-CN"/>
                    </w:rPr>
                    <w:t>1.2</w:t>
                  </w:r>
                </w:p>
              </w:tc>
              <w:tc>
                <w:tcPr>
                  <w:tcW w:w="267" w:type="pct"/>
                  <w:vAlign w:val="center"/>
                </w:tcPr>
                <w:p w14:paraId="023466FC">
                  <w:pPr>
                    <w:pStyle w:val="24"/>
                    <w:bidi w:val="0"/>
                    <w:ind w:firstLine="0" w:firstLineChars="0"/>
                    <w:jc w:val="center"/>
                    <w:rPr>
                      <w:rFonts w:hint="eastAsia"/>
                      <w:color w:val="auto"/>
                      <w:lang w:val="en-US" w:eastAsia="zh-CN"/>
                    </w:rPr>
                  </w:pPr>
                  <w:r>
                    <w:rPr>
                      <w:rFonts w:hint="eastAsia"/>
                      <w:color w:val="auto"/>
                      <w:lang w:val="en-US" w:eastAsia="zh-CN"/>
                    </w:rPr>
                    <w:t>东</w:t>
                  </w:r>
                </w:p>
              </w:tc>
              <w:tc>
                <w:tcPr>
                  <w:tcW w:w="459" w:type="pct"/>
                  <w:vAlign w:val="center"/>
                </w:tcPr>
                <w:p w14:paraId="03EA8C8E">
                  <w:pPr>
                    <w:pStyle w:val="24"/>
                    <w:bidi w:val="0"/>
                    <w:jc w:val="center"/>
                    <w:rPr>
                      <w:rFonts w:hint="eastAsia"/>
                      <w:color w:val="auto"/>
                      <w:lang w:val="en-US" w:eastAsia="zh-CN"/>
                    </w:rPr>
                  </w:pPr>
                  <w:r>
                    <w:rPr>
                      <w:rFonts w:hint="eastAsia"/>
                      <w:color w:val="auto"/>
                      <w:lang w:val="en-US" w:eastAsia="zh-CN"/>
                    </w:rPr>
                    <w:t>20.8</w:t>
                  </w:r>
                </w:p>
              </w:tc>
              <w:tc>
                <w:tcPr>
                  <w:tcW w:w="503" w:type="pct"/>
                  <w:vAlign w:val="center"/>
                </w:tcPr>
                <w:p w14:paraId="50E0B0A5">
                  <w:pPr>
                    <w:pStyle w:val="24"/>
                    <w:bidi w:val="0"/>
                    <w:jc w:val="center"/>
                    <w:rPr>
                      <w:rFonts w:hint="default"/>
                      <w:color w:val="auto"/>
                      <w:lang w:val="en-US" w:eastAsia="zh-CN"/>
                    </w:rPr>
                  </w:pPr>
                  <w:r>
                    <w:rPr>
                      <w:rFonts w:hint="eastAsia"/>
                      <w:color w:val="auto"/>
                      <w:lang w:val="en-US" w:eastAsia="zh-CN"/>
                    </w:rPr>
                    <w:t>48.6</w:t>
                  </w:r>
                </w:p>
              </w:tc>
              <w:tc>
                <w:tcPr>
                  <w:tcW w:w="287" w:type="pct"/>
                  <w:vMerge w:val="continue"/>
                  <w:vAlign w:val="center"/>
                </w:tcPr>
                <w:p w14:paraId="01268452">
                  <w:pPr>
                    <w:pStyle w:val="24"/>
                    <w:bidi w:val="0"/>
                    <w:jc w:val="center"/>
                    <w:rPr>
                      <w:rFonts w:hint="default"/>
                      <w:color w:val="auto"/>
                      <w:lang w:val="en-US" w:eastAsia="zh-CN"/>
                    </w:rPr>
                  </w:pPr>
                </w:p>
              </w:tc>
              <w:tc>
                <w:tcPr>
                  <w:tcW w:w="362" w:type="pct"/>
                  <w:vMerge w:val="restart"/>
                  <w:vAlign w:val="center"/>
                </w:tcPr>
                <w:p w14:paraId="7A0818EC">
                  <w:pPr>
                    <w:pStyle w:val="24"/>
                    <w:bidi w:val="0"/>
                    <w:jc w:val="center"/>
                    <w:rPr>
                      <w:rFonts w:hint="default"/>
                      <w:color w:val="auto"/>
                      <w:lang w:val="en-US" w:eastAsia="zh-CN"/>
                    </w:rPr>
                  </w:pPr>
                  <w:r>
                    <w:rPr>
                      <w:rFonts w:hint="eastAsia"/>
                      <w:color w:val="auto"/>
                      <w:lang w:val="en-US" w:eastAsia="zh-CN"/>
                    </w:rPr>
                    <w:t>20</w:t>
                  </w:r>
                </w:p>
              </w:tc>
              <w:tc>
                <w:tcPr>
                  <w:tcW w:w="490" w:type="pct"/>
                  <w:vAlign w:val="center"/>
                </w:tcPr>
                <w:p w14:paraId="46139FDC">
                  <w:pPr>
                    <w:pStyle w:val="24"/>
                    <w:bidi w:val="0"/>
                    <w:jc w:val="center"/>
                    <w:rPr>
                      <w:rFonts w:hint="default"/>
                      <w:color w:val="auto"/>
                      <w:lang w:val="en-US" w:eastAsia="zh-CN"/>
                    </w:rPr>
                  </w:pPr>
                  <w:r>
                    <w:rPr>
                      <w:rFonts w:hint="eastAsia"/>
                      <w:color w:val="auto"/>
                      <w:lang w:val="en-US" w:eastAsia="zh-CN"/>
                    </w:rPr>
                    <w:t>28.6</w:t>
                  </w:r>
                </w:p>
              </w:tc>
              <w:tc>
                <w:tcPr>
                  <w:tcW w:w="276" w:type="pct"/>
                  <w:vMerge w:val="restart"/>
                  <w:vAlign w:val="center"/>
                </w:tcPr>
                <w:p w14:paraId="0D63B575">
                  <w:pPr>
                    <w:pStyle w:val="24"/>
                    <w:bidi w:val="0"/>
                    <w:jc w:val="center"/>
                    <w:rPr>
                      <w:rFonts w:hint="default"/>
                      <w:color w:val="auto"/>
                      <w:lang w:val="en-US" w:eastAsia="zh-CN"/>
                    </w:rPr>
                  </w:pPr>
                  <w:r>
                    <w:rPr>
                      <w:rFonts w:hint="eastAsia"/>
                      <w:color w:val="auto"/>
                      <w:lang w:val="en-US" w:eastAsia="zh-CN"/>
                    </w:rPr>
                    <w:t>1</w:t>
                  </w:r>
                </w:p>
              </w:tc>
            </w:tr>
            <w:tr w14:paraId="72103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49751309">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229E7B26">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575DE2DF">
                  <w:pPr>
                    <w:pStyle w:val="24"/>
                    <w:bidi w:val="0"/>
                    <w:jc w:val="center"/>
                    <w:rPr>
                      <w:rFonts w:hint="eastAsia"/>
                      <w:color w:val="auto"/>
                      <w:lang w:val="en-US" w:eastAsia="zh-CN"/>
                    </w:rPr>
                  </w:pPr>
                </w:p>
              </w:tc>
              <w:tc>
                <w:tcPr>
                  <w:tcW w:w="304" w:type="pct"/>
                  <w:vMerge w:val="continue"/>
                  <w:vAlign w:val="center"/>
                </w:tcPr>
                <w:p w14:paraId="09D6B967">
                  <w:pPr>
                    <w:pStyle w:val="24"/>
                    <w:bidi w:val="0"/>
                    <w:jc w:val="center"/>
                    <w:rPr>
                      <w:rFonts w:hint="default"/>
                      <w:color w:val="auto"/>
                      <w:lang w:val="en-US" w:eastAsia="zh-CN"/>
                    </w:rPr>
                  </w:pPr>
                </w:p>
              </w:tc>
              <w:tc>
                <w:tcPr>
                  <w:tcW w:w="399" w:type="pct"/>
                  <w:vMerge w:val="continue"/>
                  <w:vAlign w:val="center"/>
                </w:tcPr>
                <w:p w14:paraId="2043CF5C">
                  <w:pPr>
                    <w:pStyle w:val="24"/>
                    <w:bidi w:val="0"/>
                    <w:jc w:val="center"/>
                    <w:rPr>
                      <w:rFonts w:hint="eastAsia"/>
                      <w:color w:val="auto"/>
                      <w:lang w:val="en-US" w:eastAsia="zh-CN"/>
                    </w:rPr>
                  </w:pPr>
                </w:p>
              </w:tc>
              <w:tc>
                <w:tcPr>
                  <w:tcW w:w="380" w:type="pct"/>
                  <w:vMerge w:val="continue"/>
                  <w:vAlign w:val="center"/>
                </w:tcPr>
                <w:p w14:paraId="58F4C19E">
                  <w:pPr>
                    <w:pStyle w:val="24"/>
                    <w:bidi w:val="0"/>
                    <w:jc w:val="center"/>
                    <w:rPr>
                      <w:rFonts w:hint="eastAsia"/>
                      <w:color w:val="auto"/>
                      <w:lang w:val="en-US" w:eastAsia="zh-CN"/>
                    </w:rPr>
                  </w:pPr>
                </w:p>
              </w:tc>
              <w:tc>
                <w:tcPr>
                  <w:tcW w:w="318" w:type="pct"/>
                  <w:vMerge w:val="continue"/>
                  <w:vAlign w:val="center"/>
                </w:tcPr>
                <w:p w14:paraId="12C317EA">
                  <w:pPr>
                    <w:pStyle w:val="24"/>
                    <w:bidi w:val="0"/>
                    <w:jc w:val="center"/>
                    <w:rPr>
                      <w:rFonts w:hint="eastAsia"/>
                      <w:color w:val="auto"/>
                      <w:lang w:val="en-US" w:eastAsia="zh-CN"/>
                    </w:rPr>
                  </w:pPr>
                </w:p>
              </w:tc>
              <w:tc>
                <w:tcPr>
                  <w:tcW w:w="267" w:type="pct"/>
                  <w:vAlign w:val="center"/>
                </w:tcPr>
                <w:p w14:paraId="47203A49">
                  <w:pPr>
                    <w:pStyle w:val="24"/>
                    <w:bidi w:val="0"/>
                    <w:ind w:firstLine="0" w:firstLineChars="0"/>
                    <w:jc w:val="center"/>
                    <w:rPr>
                      <w:rFonts w:hint="eastAsia"/>
                      <w:color w:val="auto"/>
                      <w:lang w:val="en-US" w:eastAsia="zh-CN"/>
                    </w:rPr>
                  </w:pPr>
                  <w:r>
                    <w:rPr>
                      <w:rFonts w:hint="eastAsia"/>
                      <w:color w:val="auto"/>
                      <w:lang w:val="en-US" w:eastAsia="zh-CN"/>
                    </w:rPr>
                    <w:t>南</w:t>
                  </w:r>
                </w:p>
              </w:tc>
              <w:tc>
                <w:tcPr>
                  <w:tcW w:w="459" w:type="pct"/>
                  <w:vAlign w:val="center"/>
                </w:tcPr>
                <w:p w14:paraId="4D4F61CB">
                  <w:pPr>
                    <w:pStyle w:val="24"/>
                    <w:bidi w:val="0"/>
                    <w:jc w:val="center"/>
                    <w:rPr>
                      <w:rFonts w:hint="default"/>
                      <w:color w:val="auto"/>
                      <w:lang w:val="en-US" w:eastAsia="zh-CN"/>
                    </w:rPr>
                  </w:pPr>
                  <w:r>
                    <w:rPr>
                      <w:rFonts w:hint="eastAsia"/>
                      <w:color w:val="auto"/>
                      <w:lang w:val="en-US" w:eastAsia="zh-CN"/>
                    </w:rPr>
                    <w:t>90</w:t>
                  </w:r>
                </w:p>
              </w:tc>
              <w:tc>
                <w:tcPr>
                  <w:tcW w:w="503" w:type="pct"/>
                  <w:vAlign w:val="center"/>
                </w:tcPr>
                <w:p w14:paraId="6B005C40">
                  <w:pPr>
                    <w:pStyle w:val="24"/>
                    <w:bidi w:val="0"/>
                    <w:jc w:val="center"/>
                    <w:rPr>
                      <w:rFonts w:hint="default"/>
                      <w:color w:val="auto"/>
                      <w:lang w:val="en-US" w:eastAsia="zh-CN"/>
                    </w:rPr>
                  </w:pPr>
                  <w:r>
                    <w:rPr>
                      <w:rFonts w:hint="eastAsia"/>
                      <w:color w:val="auto"/>
                      <w:lang w:val="en-US" w:eastAsia="zh-CN"/>
                    </w:rPr>
                    <w:t>35.9</w:t>
                  </w:r>
                </w:p>
              </w:tc>
              <w:tc>
                <w:tcPr>
                  <w:tcW w:w="287" w:type="pct"/>
                  <w:vMerge w:val="continue"/>
                  <w:vAlign w:val="center"/>
                </w:tcPr>
                <w:p w14:paraId="40078D5C">
                  <w:pPr>
                    <w:pStyle w:val="24"/>
                    <w:bidi w:val="0"/>
                    <w:jc w:val="center"/>
                    <w:rPr>
                      <w:rFonts w:hint="default"/>
                      <w:color w:val="auto"/>
                      <w:lang w:val="en-US" w:eastAsia="zh-CN"/>
                    </w:rPr>
                  </w:pPr>
                </w:p>
              </w:tc>
              <w:tc>
                <w:tcPr>
                  <w:tcW w:w="362" w:type="pct"/>
                  <w:vMerge w:val="continue"/>
                  <w:vAlign w:val="center"/>
                </w:tcPr>
                <w:p w14:paraId="3AAF55CA">
                  <w:pPr>
                    <w:pStyle w:val="24"/>
                    <w:bidi w:val="0"/>
                    <w:jc w:val="center"/>
                    <w:rPr>
                      <w:rFonts w:hint="default"/>
                      <w:color w:val="auto"/>
                      <w:lang w:val="en-US" w:eastAsia="zh-CN"/>
                    </w:rPr>
                  </w:pPr>
                </w:p>
              </w:tc>
              <w:tc>
                <w:tcPr>
                  <w:tcW w:w="490" w:type="pct"/>
                  <w:vAlign w:val="center"/>
                </w:tcPr>
                <w:p w14:paraId="47201E51">
                  <w:pPr>
                    <w:pStyle w:val="24"/>
                    <w:bidi w:val="0"/>
                    <w:jc w:val="center"/>
                    <w:rPr>
                      <w:rFonts w:hint="default"/>
                      <w:color w:val="auto"/>
                      <w:lang w:val="en-US" w:eastAsia="zh-CN"/>
                    </w:rPr>
                  </w:pPr>
                  <w:r>
                    <w:rPr>
                      <w:rFonts w:hint="eastAsia"/>
                      <w:color w:val="auto"/>
                      <w:lang w:val="en-US" w:eastAsia="zh-CN"/>
                    </w:rPr>
                    <w:t>15.9</w:t>
                  </w:r>
                </w:p>
              </w:tc>
              <w:tc>
                <w:tcPr>
                  <w:tcW w:w="276" w:type="pct"/>
                  <w:vMerge w:val="continue"/>
                  <w:vAlign w:val="center"/>
                </w:tcPr>
                <w:p w14:paraId="62C5667A">
                  <w:pPr>
                    <w:pStyle w:val="24"/>
                    <w:bidi w:val="0"/>
                    <w:jc w:val="center"/>
                    <w:rPr>
                      <w:rFonts w:hint="eastAsia"/>
                      <w:color w:val="4874CB" w:themeColor="accent1"/>
                      <w:lang w:val="en-US" w:eastAsia="zh-CN"/>
                      <w14:textFill>
                        <w14:solidFill>
                          <w14:schemeClr w14:val="accent1"/>
                        </w14:solidFill>
                      </w14:textFill>
                    </w:rPr>
                  </w:pPr>
                </w:p>
              </w:tc>
            </w:tr>
            <w:tr w14:paraId="1C1B5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4163D568">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12B4A7D3">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31809A7E">
                  <w:pPr>
                    <w:pStyle w:val="24"/>
                    <w:bidi w:val="0"/>
                    <w:jc w:val="center"/>
                    <w:rPr>
                      <w:rFonts w:hint="eastAsia"/>
                      <w:color w:val="auto"/>
                      <w:lang w:val="en-US" w:eastAsia="zh-CN"/>
                    </w:rPr>
                  </w:pPr>
                </w:p>
              </w:tc>
              <w:tc>
                <w:tcPr>
                  <w:tcW w:w="304" w:type="pct"/>
                  <w:vMerge w:val="continue"/>
                  <w:vAlign w:val="center"/>
                </w:tcPr>
                <w:p w14:paraId="3098727A">
                  <w:pPr>
                    <w:pStyle w:val="24"/>
                    <w:bidi w:val="0"/>
                    <w:jc w:val="center"/>
                    <w:rPr>
                      <w:rFonts w:hint="default"/>
                      <w:color w:val="auto"/>
                      <w:lang w:val="en-US" w:eastAsia="zh-CN"/>
                    </w:rPr>
                  </w:pPr>
                </w:p>
              </w:tc>
              <w:tc>
                <w:tcPr>
                  <w:tcW w:w="399" w:type="pct"/>
                  <w:vMerge w:val="continue"/>
                  <w:vAlign w:val="center"/>
                </w:tcPr>
                <w:p w14:paraId="0270054B">
                  <w:pPr>
                    <w:pStyle w:val="24"/>
                    <w:bidi w:val="0"/>
                    <w:jc w:val="center"/>
                    <w:rPr>
                      <w:rFonts w:hint="eastAsia"/>
                      <w:color w:val="auto"/>
                      <w:lang w:val="en-US" w:eastAsia="zh-CN"/>
                    </w:rPr>
                  </w:pPr>
                </w:p>
              </w:tc>
              <w:tc>
                <w:tcPr>
                  <w:tcW w:w="380" w:type="pct"/>
                  <w:vMerge w:val="continue"/>
                  <w:vAlign w:val="center"/>
                </w:tcPr>
                <w:p w14:paraId="66AFC92A">
                  <w:pPr>
                    <w:pStyle w:val="24"/>
                    <w:bidi w:val="0"/>
                    <w:jc w:val="center"/>
                    <w:rPr>
                      <w:rFonts w:hint="eastAsia"/>
                      <w:color w:val="auto"/>
                      <w:lang w:val="en-US" w:eastAsia="zh-CN"/>
                    </w:rPr>
                  </w:pPr>
                </w:p>
              </w:tc>
              <w:tc>
                <w:tcPr>
                  <w:tcW w:w="318" w:type="pct"/>
                  <w:vMerge w:val="continue"/>
                  <w:vAlign w:val="center"/>
                </w:tcPr>
                <w:p w14:paraId="5808A9D9">
                  <w:pPr>
                    <w:pStyle w:val="24"/>
                    <w:bidi w:val="0"/>
                    <w:jc w:val="center"/>
                    <w:rPr>
                      <w:rFonts w:hint="eastAsia"/>
                      <w:color w:val="auto"/>
                      <w:lang w:val="en-US" w:eastAsia="zh-CN"/>
                    </w:rPr>
                  </w:pPr>
                </w:p>
              </w:tc>
              <w:tc>
                <w:tcPr>
                  <w:tcW w:w="267" w:type="pct"/>
                  <w:vAlign w:val="center"/>
                </w:tcPr>
                <w:p w14:paraId="007B84A2">
                  <w:pPr>
                    <w:pStyle w:val="24"/>
                    <w:bidi w:val="0"/>
                    <w:ind w:firstLine="0" w:firstLineChars="0"/>
                    <w:jc w:val="center"/>
                    <w:rPr>
                      <w:rFonts w:hint="eastAsia"/>
                      <w:color w:val="auto"/>
                      <w:lang w:val="en-US" w:eastAsia="zh-CN"/>
                    </w:rPr>
                  </w:pPr>
                  <w:r>
                    <w:rPr>
                      <w:rFonts w:hint="eastAsia"/>
                      <w:color w:val="auto"/>
                      <w:lang w:val="en-US" w:eastAsia="zh-CN"/>
                    </w:rPr>
                    <w:t>西</w:t>
                  </w:r>
                </w:p>
              </w:tc>
              <w:tc>
                <w:tcPr>
                  <w:tcW w:w="459" w:type="pct"/>
                  <w:vAlign w:val="center"/>
                </w:tcPr>
                <w:p w14:paraId="49F5266A">
                  <w:pPr>
                    <w:pStyle w:val="24"/>
                    <w:bidi w:val="0"/>
                    <w:jc w:val="center"/>
                    <w:rPr>
                      <w:rFonts w:hint="eastAsia"/>
                      <w:color w:val="auto"/>
                      <w:lang w:val="en-US" w:eastAsia="zh-CN"/>
                    </w:rPr>
                  </w:pPr>
                  <w:r>
                    <w:rPr>
                      <w:rFonts w:hint="eastAsia"/>
                      <w:color w:val="auto"/>
                      <w:lang w:val="en-US" w:eastAsia="zh-CN"/>
                    </w:rPr>
                    <w:t>20.8</w:t>
                  </w:r>
                </w:p>
              </w:tc>
              <w:tc>
                <w:tcPr>
                  <w:tcW w:w="503" w:type="pct"/>
                  <w:vAlign w:val="center"/>
                </w:tcPr>
                <w:p w14:paraId="28E6B242">
                  <w:pPr>
                    <w:pStyle w:val="24"/>
                    <w:bidi w:val="0"/>
                    <w:jc w:val="center"/>
                    <w:rPr>
                      <w:rFonts w:hint="default"/>
                      <w:color w:val="auto"/>
                      <w:lang w:val="en-US" w:eastAsia="zh-CN"/>
                    </w:rPr>
                  </w:pPr>
                  <w:r>
                    <w:rPr>
                      <w:rFonts w:hint="eastAsia"/>
                      <w:color w:val="auto"/>
                      <w:lang w:val="en-US" w:eastAsia="zh-CN"/>
                    </w:rPr>
                    <w:t>48.6</w:t>
                  </w:r>
                </w:p>
              </w:tc>
              <w:tc>
                <w:tcPr>
                  <w:tcW w:w="287" w:type="pct"/>
                  <w:vMerge w:val="continue"/>
                  <w:vAlign w:val="center"/>
                </w:tcPr>
                <w:p w14:paraId="6BFE5021">
                  <w:pPr>
                    <w:pStyle w:val="24"/>
                    <w:bidi w:val="0"/>
                    <w:jc w:val="center"/>
                    <w:rPr>
                      <w:rFonts w:hint="default"/>
                      <w:color w:val="auto"/>
                      <w:lang w:val="en-US" w:eastAsia="zh-CN"/>
                    </w:rPr>
                  </w:pPr>
                </w:p>
              </w:tc>
              <w:tc>
                <w:tcPr>
                  <w:tcW w:w="362" w:type="pct"/>
                  <w:vMerge w:val="continue"/>
                  <w:vAlign w:val="center"/>
                </w:tcPr>
                <w:p w14:paraId="5BA4F6D9">
                  <w:pPr>
                    <w:pStyle w:val="24"/>
                    <w:bidi w:val="0"/>
                    <w:jc w:val="center"/>
                    <w:rPr>
                      <w:rFonts w:hint="default"/>
                      <w:color w:val="auto"/>
                      <w:lang w:val="en-US" w:eastAsia="zh-CN"/>
                    </w:rPr>
                  </w:pPr>
                </w:p>
              </w:tc>
              <w:tc>
                <w:tcPr>
                  <w:tcW w:w="490" w:type="pct"/>
                  <w:vAlign w:val="center"/>
                </w:tcPr>
                <w:p w14:paraId="0767D171">
                  <w:pPr>
                    <w:pStyle w:val="24"/>
                    <w:bidi w:val="0"/>
                    <w:jc w:val="center"/>
                    <w:rPr>
                      <w:rFonts w:hint="default"/>
                      <w:color w:val="auto"/>
                      <w:lang w:val="en-US" w:eastAsia="zh-CN"/>
                    </w:rPr>
                  </w:pPr>
                  <w:r>
                    <w:rPr>
                      <w:rFonts w:hint="eastAsia"/>
                      <w:color w:val="auto"/>
                      <w:lang w:val="en-US" w:eastAsia="zh-CN"/>
                    </w:rPr>
                    <w:t>28.6</w:t>
                  </w:r>
                </w:p>
              </w:tc>
              <w:tc>
                <w:tcPr>
                  <w:tcW w:w="276" w:type="pct"/>
                  <w:vMerge w:val="continue"/>
                  <w:vAlign w:val="center"/>
                </w:tcPr>
                <w:p w14:paraId="77E1B4C7">
                  <w:pPr>
                    <w:pStyle w:val="24"/>
                    <w:bidi w:val="0"/>
                    <w:jc w:val="center"/>
                    <w:rPr>
                      <w:rFonts w:hint="eastAsia"/>
                      <w:color w:val="4874CB" w:themeColor="accent1"/>
                      <w:lang w:val="en-US" w:eastAsia="zh-CN"/>
                      <w14:textFill>
                        <w14:solidFill>
                          <w14:schemeClr w14:val="accent1"/>
                        </w14:solidFill>
                      </w14:textFill>
                    </w:rPr>
                  </w:pPr>
                </w:p>
              </w:tc>
            </w:tr>
            <w:tr w14:paraId="3160A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 w:type="pct"/>
                  <w:vMerge w:val="continue"/>
                  <w:vAlign w:val="center"/>
                </w:tcPr>
                <w:p w14:paraId="4D6FE0BA">
                  <w:pPr>
                    <w:pStyle w:val="24"/>
                    <w:bidi w:val="0"/>
                    <w:jc w:val="center"/>
                    <w:rPr>
                      <w:rFonts w:hint="default"/>
                      <w:color w:val="4874CB" w:themeColor="accent1"/>
                      <w:lang w:val="en-US" w:eastAsia="zh-CN"/>
                      <w14:textFill>
                        <w14:solidFill>
                          <w14:schemeClr w14:val="accent1"/>
                        </w14:solidFill>
                      </w14:textFill>
                    </w:rPr>
                  </w:pPr>
                </w:p>
              </w:tc>
              <w:tc>
                <w:tcPr>
                  <w:tcW w:w="266" w:type="pct"/>
                  <w:vMerge w:val="continue"/>
                  <w:vAlign w:val="center"/>
                </w:tcPr>
                <w:p w14:paraId="0B7C1A85">
                  <w:pPr>
                    <w:pStyle w:val="24"/>
                    <w:bidi w:val="0"/>
                    <w:jc w:val="center"/>
                    <w:rPr>
                      <w:rFonts w:hint="eastAsia" w:cs="Times New Roman"/>
                      <w:color w:val="auto"/>
                      <w:szCs w:val="21"/>
                      <w:u w:val="none" w:color="auto"/>
                      <w:lang w:val="en-US" w:eastAsia="zh-CN"/>
                    </w:rPr>
                  </w:pPr>
                </w:p>
              </w:tc>
              <w:tc>
                <w:tcPr>
                  <w:tcW w:w="416" w:type="pct"/>
                  <w:vMerge w:val="continue"/>
                  <w:vAlign w:val="center"/>
                </w:tcPr>
                <w:p w14:paraId="749CB30E">
                  <w:pPr>
                    <w:pStyle w:val="24"/>
                    <w:bidi w:val="0"/>
                    <w:jc w:val="center"/>
                    <w:rPr>
                      <w:rFonts w:hint="eastAsia"/>
                      <w:color w:val="auto"/>
                      <w:lang w:val="en-US" w:eastAsia="zh-CN"/>
                    </w:rPr>
                  </w:pPr>
                </w:p>
              </w:tc>
              <w:tc>
                <w:tcPr>
                  <w:tcW w:w="304" w:type="pct"/>
                  <w:vMerge w:val="continue"/>
                  <w:vAlign w:val="center"/>
                </w:tcPr>
                <w:p w14:paraId="537607A3">
                  <w:pPr>
                    <w:pStyle w:val="24"/>
                    <w:bidi w:val="0"/>
                    <w:jc w:val="center"/>
                    <w:rPr>
                      <w:rFonts w:hint="default"/>
                      <w:color w:val="auto"/>
                      <w:lang w:val="en-US" w:eastAsia="zh-CN"/>
                    </w:rPr>
                  </w:pPr>
                </w:p>
              </w:tc>
              <w:tc>
                <w:tcPr>
                  <w:tcW w:w="399" w:type="pct"/>
                  <w:vMerge w:val="continue"/>
                  <w:vAlign w:val="center"/>
                </w:tcPr>
                <w:p w14:paraId="4ECAF88E">
                  <w:pPr>
                    <w:pStyle w:val="24"/>
                    <w:bidi w:val="0"/>
                    <w:jc w:val="center"/>
                    <w:rPr>
                      <w:rFonts w:hint="eastAsia"/>
                      <w:color w:val="auto"/>
                      <w:lang w:val="en-US" w:eastAsia="zh-CN"/>
                    </w:rPr>
                  </w:pPr>
                </w:p>
              </w:tc>
              <w:tc>
                <w:tcPr>
                  <w:tcW w:w="380" w:type="pct"/>
                  <w:vMerge w:val="continue"/>
                  <w:vAlign w:val="center"/>
                </w:tcPr>
                <w:p w14:paraId="750BA1C9">
                  <w:pPr>
                    <w:pStyle w:val="24"/>
                    <w:bidi w:val="0"/>
                    <w:jc w:val="center"/>
                    <w:rPr>
                      <w:rFonts w:hint="eastAsia"/>
                      <w:color w:val="auto"/>
                      <w:lang w:val="en-US" w:eastAsia="zh-CN"/>
                    </w:rPr>
                  </w:pPr>
                </w:p>
              </w:tc>
              <w:tc>
                <w:tcPr>
                  <w:tcW w:w="318" w:type="pct"/>
                  <w:vMerge w:val="continue"/>
                  <w:vAlign w:val="center"/>
                </w:tcPr>
                <w:p w14:paraId="122CB99D">
                  <w:pPr>
                    <w:pStyle w:val="24"/>
                    <w:bidi w:val="0"/>
                    <w:jc w:val="center"/>
                    <w:rPr>
                      <w:rFonts w:hint="eastAsia"/>
                      <w:color w:val="auto"/>
                      <w:lang w:val="en-US" w:eastAsia="zh-CN"/>
                    </w:rPr>
                  </w:pPr>
                </w:p>
              </w:tc>
              <w:tc>
                <w:tcPr>
                  <w:tcW w:w="267" w:type="pct"/>
                  <w:vAlign w:val="center"/>
                </w:tcPr>
                <w:p w14:paraId="4CF61CD5">
                  <w:pPr>
                    <w:pStyle w:val="24"/>
                    <w:bidi w:val="0"/>
                    <w:ind w:firstLine="0" w:firstLineChars="0"/>
                    <w:jc w:val="center"/>
                    <w:rPr>
                      <w:rFonts w:hint="eastAsia"/>
                      <w:color w:val="auto"/>
                      <w:lang w:val="en-US" w:eastAsia="zh-CN"/>
                    </w:rPr>
                  </w:pPr>
                  <w:r>
                    <w:rPr>
                      <w:rFonts w:hint="eastAsia"/>
                      <w:color w:val="auto"/>
                      <w:lang w:val="en-US" w:eastAsia="zh-CN"/>
                    </w:rPr>
                    <w:t>北</w:t>
                  </w:r>
                </w:p>
              </w:tc>
              <w:tc>
                <w:tcPr>
                  <w:tcW w:w="459" w:type="pct"/>
                  <w:vAlign w:val="center"/>
                </w:tcPr>
                <w:p w14:paraId="3379F077">
                  <w:pPr>
                    <w:pStyle w:val="24"/>
                    <w:bidi w:val="0"/>
                    <w:jc w:val="center"/>
                    <w:rPr>
                      <w:rFonts w:hint="default"/>
                      <w:color w:val="auto"/>
                      <w:lang w:val="en-US" w:eastAsia="zh-CN"/>
                    </w:rPr>
                  </w:pPr>
                  <w:r>
                    <w:rPr>
                      <w:rFonts w:hint="eastAsia"/>
                      <w:color w:val="auto"/>
                      <w:lang w:val="en-US" w:eastAsia="zh-CN"/>
                    </w:rPr>
                    <w:t>11</w:t>
                  </w:r>
                </w:p>
              </w:tc>
              <w:tc>
                <w:tcPr>
                  <w:tcW w:w="503" w:type="pct"/>
                  <w:vAlign w:val="center"/>
                </w:tcPr>
                <w:p w14:paraId="141F586D">
                  <w:pPr>
                    <w:pStyle w:val="24"/>
                    <w:bidi w:val="0"/>
                    <w:jc w:val="center"/>
                    <w:rPr>
                      <w:rFonts w:hint="default"/>
                      <w:color w:val="auto"/>
                      <w:lang w:val="en-US" w:eastAsia="zh-CN"/>
                    </w:rPr>
                  </w:pPr>
                  <w:r>
                    <w:rPr>
                      <w:rFonts w:hint="eastAsia"/>
                      <w:color w:val="auto"/>
                      <w:lang w:val="en-US" w:eastAsia="zh-CN"/>
                    </w:rPr>
                    <w:t>54.2</w:t>
                  </w:r>
                </w:p>
              </w:tc>
              <w:tc>
                <w:tcPr>
                  <w:tcW w:w="287" w:type="pct"/>
                  <w:vMerge w:val="continue"/>
                  <w:vAlign w:val="center"/>
                </w:tcPr>
                <w:p w14:paraId="36662734">
                  <w:pPr>
                    <w:pStyle w:val="24"/>
                    <w:bidi w:val="0"/>
                    <w:jc w:val="center"/>
                    <w:rPr>
                      <w:rFonts w:hint="default"/>
                      <w:color w:val="auto"/>
                      <w:lang w:val="en-US" w:eastAsia="zh-CN"/>
                    </w:rPr>
                  </w:pPr>
                </w:p>
              </w:tc>
              <w:tc>
                <w:tcPr>
                  <w:tcW w:w="362" w:type="pct"/>
                  <w:vMerge w:val="continue"/>
                  <w:vAlign w:val="center"/>
                </w:tcPr>
                <w:p w14:paraId="2F28FDFD">
                  <w:pPr>
                    <w:pStyle w:val="24"/>
                    <w:bidi w:val="0"/>
                    <w:jc w:val="center"/>
                    <w:rPr>
                      <w:rFonts w:hint="default"/>
                      <w:color w:val="auto"/>
                      <w:lang w:val="en-US" w:eastAsia="zh-CN"/>
                    </w:rPr>
                  </w:pPr>
                </w:p>
              </w:tc>
              <w:tc>
                <w:tcPr>
                  <w:tcW w:w="490" w:type="pct"/>
                  <w:vAlign w:val="center"/>
                </w:tcPr>
                <w:p w14:paraId="20ED2A86">
                  <w:pPr>
                    <w:pStyle w:val="24"/>
                    <w:bidi w:val="0"/>
                    <w:jc w:val="center"/>
                    <w:rPr>
                      <w:rFonts w:hint="default"/>
                      <w:color w:val="auto"/>
                      <w:lang w:val="en-US" w:eastAsia="zh-CN"/>
                    </w:rPr>
                  </w:pPr>
                  <w:r>
                    <w:rPr>
                      <w:rFonts w:hint="eastAsia"/>
                      <w:color w:val="auto"/>
                      <w:lang w:val="en-US" w:eastAsia="zh-CN"/>
                    </w:rPr>
                    <w:t>54.2</w:t>
                  </w:r>
                </w:p>
              </w:tc>
              <w:tc>
                <w:tcPr>
                  <w:tcW w:w="276" w:type="pct"/>
                  <w:vMerge w:val="continue"/>
                  <w:vAlign w:val="center"/>
                </w:tcPr>
                <w:p w14:paraId="385DB38F">
                  <w:pPr>
                    <w:pStyle w:val="24"/>
                    <w:bidi w:val="0"/>
                    <w:jc w:val="center"/>
                    <w:rPr>
                      <w:rFonts w:hint="eastAsia"/>
                      <w:color w:val="4874CB" w:themeColor="accent1"/>
                      <w:lang w:val="en-US" w:eastAsia="zh-CN"/>
                      <w14:textFill>
                        <w14:solidFill>
                          <w14:schemeClr w14:val="accent1"/>
                        </w14:solidFill>
                      </w14:textFill>
                    </w:rPr>
                  </w:pPr>
                </w:p>
              </w:tc>
            </w:tr>
          </w:tbl>
          <w:p w14:paraId="3E4FD81F">
            <w:pPr>
              <w:pStyle w:val="24"/>
              <w:jc w:val="left"/>
              <w:rPr>
                <w:color w:val="auto"/>
              </w:rPr>
            </w:pPr>
            <w:r>
              <w:rPr>
                <w:color w:val="auto"/>
              </w:rPr>
              <w:t>注：①采用直角坐标系，以</w:t>
            </w:r>
            <w:r>
              <w:rPr>
                <w:rFonts w:hint="eastAsia"/>
                <w:color w:val="auto"/>
              </w:rPr>
              <w:t>厂区西南角</w:t>
            </w:r>
            <w:r>
              <w:rPr>
                <w:color w:val="auto"/>
              </w:rPr>
              <w:t>为坐标原点（X=0、Y=0、Z=0），</w:t>
            </w:r>
            <w:r>
              <w:rPr>
                <w:rFonts w:hint="eastAsia"/>
                <w:color w:val="auto"/>
              </w:rPr>
              <w:t>东</w:t>
            </w:r>
            <w:r>
              <w:rPr>
                <w:rFonts w:hint="eastAsia"/>
                <w:color w:val="auto"/>
                <w:lang w:val="en-US" w:eastAsia="zh-CN"/>
              </w:rPr>
              <w:t>北</w:t>
            </w:r>
            <w:r>
              <w:rPr>
                <w:color w:val="auto"/>
              </w:rPr>
              <w:t>为X轴正向、</w:t>
            </w:r>
            <w:r>
              <w:rPr>
                <w:rFonts w:hint="eastAsia"/>
                <w:color w:val="auto"/>
              </w:rPr>
              <w:t>西</w:t>
            </w:r>
            <w:r>
              <w:rPr>
                <w:color w:val="auto"/>
              </w:rPr>
              <w:t>北为Y轴正向、垂直向上为Z轴正向。</w:t>
            </w:r>
          </w:p>
          <w:p w14:paraId="79CD2E40">
            <w:pPr>
              <w:pStyle w:val="21"/>
              <w:bidi w:val="0"/>
              <w:rPr>
                <w:rFonts w:hint="default"/>
                <w:color w:val="auto"/>
                <w:lang w:val="en-US" w:eastAsia="zh-CN"/>
              </w:rPr>
            </w:pPr>
            <w:r>
              <w:rPr>
                <w:rFonts w:hint="default"/>
                <w:color w:val="auto"/>
                <w:lang w:val="en-US" w:eastAsia="zh-CN"/>
              </w:rPr>
              <w:t>3.2 噪声预测</w:t>
            </w:r>
          </w:p>
          <w:p w14:paraId="605B2A89">
            <w:pPr>
              <w:pStyle w:val="22"/>
              <w:bidi w:val="0"/>
              <w:rPr>
                <w:rFonts w:hint="default"/>
                <w:b/>
                <w:bCs/>
                <w:color w:val="auto"/>
                <w:lang w:val="en-US" w:eastAsia="zh-CN"/>
              </w:rPr>
            </w:pPr>
            <w:r>
              <w:rPr>
                <w:rFonts w:hint="eastAsia"/>
                <w:b/>
                <w:bCs/>
                <w:color w:val="auto"/>
                <w:lang w:val="en-US" w:eastAsia="zh-CN"/>
              </w:rPr>
              <w:t>3.2.1</w:t>
            </w:r>
            <w:r>
              <w:rPr>
                <w:rFonts w:hint="default"/>
                <w:b/>
                <w:bCs/>
                <w:color w:val="auto"/>
                <w:lang w:val="en-US" w:eastAsia="zh-CN"/>
              </w:rPr>
              <w:t>预测模式</w:t>
            </w:r>
          </w:p>
          <w:p w14:paraId="5E91F5B9">
            <w:pPr>
              <w:pStyle w:val="22"/>
              <w:ind w:firstLine="480"/>
              <w:rPr>
                <w:color w:val="auto"/>
              </w:rPr>
            </w:pPr>
            <w:r>
              <w:rPr>
                <w:color w:val="auto"/>
              </w:rPr>
              <w:t>根据《环境影响评价技术导则 声环境》（HJ 2.4-2021），本次环境噪声影响预测模式如下：</w:t>
            </w:r>
          </w:p>
          <w:p w14:paraId="470A6505">
            <w:pPr>
              <w:pStyle w:val="22"/>
              <w:ind w:firstLine="480"/>
              <w:rPr>
                <w:color w:val="auto"/>
              </w:rPr>
            </w:pPr>
            <w:r>
              <w:rPr>
                <w:rFonts w:hint="eastAsia"/>
                <w:color w:val="auto"/>
              </w:rPr>
              <w:t>（1）</w:t>
            </w:r>
            <w:r>
              <w:rPr>
                <w:color w:val="auto"/>
              </w:rPr>
              <w:t>室内声源</w:t>
            </w:r>
          </w:p>
          <w:p w14:paraId="640F49CE">
            <w:pPr>
              <w:pStyle w:val="22"/>
              <w:ind w:firstLine="480"/>
              <w:rPr>
                <w:color w:val="auto"/>
              </w:rPr>
            </w:pPr>
            <w:r>
              <w:rPr>
                <w:color w:val="auto"/>
              </w:rPr>
              <w:t>①首先计算出某个室内声源靠近围护结构处产生的倍频带声压级或A声级：</w:t>
            </w:r>
          </w:p>
          <w:p w14:paraId="23C9E9F1">
            <w:pPr>
              <w:pStyle w:val="22"/>
              <w:ind w:firstLine="480"/>
              <w:rPr>
                <w:color w:val="auto"/>
              </w:rPr>
            </w:pPr>
            <m:oMathPara>
              <m:oMath>
                <m:sSub>
                  <m:sSubPr>
                    <m:ctrlPr>
                      <w:rPr>
                        <w:rFonts w:ascii="Cambria Math" w:hAnsi="Cambria Math"/>
                        <w:color w:val="auto"/>
                      </w:rPr>
                    </m:ctrlPr>
                  </m:sSubPr>
                  <m:e>
                    <m:r>
                      <m:rPr/>
                      <w:rPr>
                        <w:rFonts w:ascii="Cambria Math" w:hAnsi="Cambria Math"/>
                        <w:color w:val="auto"/>
                      </w:rPr>
                      <m:t>L</m:t>
                    </m:r>
                    <m:ctrlPr>
                      <w:rPr>
                        <w:rFonts w:ascii="Cambria Math" w:hAnsi="Cambria Math"/>
                        <w:color w:val="auto"/>
                      </w:rPr>
                    </m:ctrlPr>
                  </m:e>
                  <m:sub>
                    <m:r>
                      <m:rPr/>
                      <w:rPr>
                        <w:rFonts w:ascii="Cambria Math" w:hAnsi="Cambria Math"/>
                        <w:color w:val="auto"/>
                      </w:rPr>
                      <m:t>P1</m:t>
                    </m:r>
                    <m:ctrlPr>
                      <w:rPr>
                        <w:rFonts w:ascii="Cambria Math" w:hAnsi="Cambria Math"/>
                        <w:color w:val="auto"/>
                      </w:rPr>
                    </m:ctrlPr>
                  </m:sub>
                </m:sSub>
                <m:r>
                  <m:rPr>
                    <m:sty m:val="p"/>
                  </m:rPr>
                  <w:rPr>
                    <w:rFonts w:ascii="Cambria Math" w:hAnsi="Cambria Math"/>
                    <w:color w:val="auto"/>
                  </w:rPr>
                  <m:t>=</m:t>
                </m:r>
                <m:sSub>
                  <m:sSubPr>
                    <m:ctrlPr>
                      <w:rPr>
                        <w:rFonts w:ascii="Cambria Math" w:hAnsi="Cambria Math"/>
                        <w:color w:val="auto"/>
                      </w:rPr>
                    </m:ctrlPr>
                  </m:sSubPr>
                  <m:e>
                    <m:r>
                      <m:rPr/>
                      <w:rPr>
                        <w:rFonts w:ascii="Cambria Math" w:hAnsi="Cambria Math"/>
                        <w:color w:val="auto"/>
                      </w:rPr>
                      <m:t>L</m:t>
                    </m:r>
                    <m:ctrlPr>
                      <w:rPr>
                        <w:rFonts w:ascii="Cambria Math" w:hAnsi="Cambria Math"/>
                        <w:color w:val="auto"/>
                      </w:rPr>
                    </m:ctrlPr>
                  </m:e>
                  <m:sub>
                    <m:r>
                      <m:rPr/>
                      <w:rPr>
                        <w:rFonts w:ascii="Cambria Math" w:hAnsi="Cambria Math"/>
                        <w:color w:val="auto"/>
                      </w:rPr>
                      <m:t>W</m:t>
                    </m:r>
                    <m:ctrlPr>
                      <w:rPr>
                        <w:rFonts w:ascii="Cambria Math" w:hAnsi="Cambria Math"/>
                        <w:color w:val="auto"/>
                      </w:rPr>
                    </m:ctrlPr>
                  </m:sub>
                </m:sSub>
                <m:r>
                  <m:rPr/>
                  <w:rPr>
                    <w:rFonts w:ascii="Cambria Math" w:hAnsi="Cambria Math"/>
                    <w:color w:val="auto"/>
                  </w:rPr>
                  <m:t>+</m:t>
                </m:r>
                <m:r>
                  <m:rPr>
                    <m:sty m:val="p"/>
                  </m:rPr>
                  <w:rPr>
                    <w:rFonts w:ascii="Cambria Math" w:hAnsi="Cambria Math"/>
                    <w:color w:val="auto"/>
                  </w:rPr>
                  <m:t>10lg</m:t>
                </m:r>
                <m:d>
                  <m:dPr>
                    <m:ctrlPr>
                      <w:rPr>
                        <w:rFonts w:ascii="Cambria Math" w:hAnsi="Cambria Math"/>
                        <w:color w:val="auto"/>
                      </w:rPr>
                    </m:ctrlPr>
                  </m:dPr>
                  <m:e>
                    <m:f>
                      <m:fPr>
                        <m:ctrlPr>
                          <w:rPr>
                            <w:rFonts w:ascii="Cambria Math" w:hAnsi="Cambria Math"/>
                            <w:i/>
                            <w:color w:val="auto"/>
                          </w:rPr>
                        </m:ctrlPr>
                      </m:fPr>
                      <m:num>
                        <m:r>
                          <m:rPr/>
                          <w:rPr>
                            <w:rFonts w:ascii="Cambria Math" w:hAnsi="Cambria Math"/>
                            <w:color w:val="auto"/>
                          </w:rPr>
                          <m:t>Q</m:t>
                        </m:r>
                        <m:ctrlPr>
                          <w:rPr>
                            <w:rFonts w:ascii="Cambria Math" w:hAnsi="Cambria Math"/>
                            <w:i/>
                            <w:color w:val="auto"/>
                          </w:rPr>
                        </m:ctrlPr>
                      </m:num>
                      <m:den>
                        <m:r>
                          <m:rPr/>
                          <w:rPr>
                            <w:rFonts w:ascii="Cambria Math" w:hAnsi="Cambria Math"/>
                            <w:color w:val="auto"/>
                          </w:rPr>
                          <m:t>4π</m:t>
                        </m:r>
                        <m:sSup>
                          <m:sSupPr>
                            <m:ctrlPr>
                              <w:rPr>
                                <w:rFonts w:ascii="Cambria Math" w:hAnsi="Cambria Math"/>
                                <w:i/>
                                <w:color w:val="auto"/>
                              </w:rPr>
                            </m:ctrlPr>
                          </m:sSupPr>
                          <m:e>
                            <m:r>
                              <m:rPr/>
                              <w:rPr>
                                <w:rFonts w:ascii="Cambria Math" w:hAnsi="Cambria Math"/>
                                <w:color w:val="auto"/>
                              </w:rPr>
                              <m:t>r</m:t>
                            </m:r>
                            <m:ctrlPr>
                              <w:rPr>
                                <w:rFonts w:ascii="Cambria Math" w:hAnsi="Cambria Math"/>
                                <w:i/>
                                <w:color w:val="auto"/>
                              </w:rPr>
                            </m:ctrlPr>
                          </m:e>
                          <m:sup>
                            <m:r>
                              <m:rPr/>
                              <w:rPr>
                                <w:rFonts w:ascii="Cambria Math" w:hAnsi="Cambria Math"/>
                                <w:color w:val="auto"/>
                              </w:rPr>
                              <m:t>2</m:t>
                            </m:r>
                            <m:ctrlPr>
                              <w:rPr>
                                <w:rFonts w:ascii="Cambria Math" w:hAnsi="Cambria Math"/>
                                <w:i/>
                                <w:color w:val="auto"/>
                              </w:rPr>
                            </m:ctrlPr>
                          </m:sup>
                        </m:sSup>
                        <m:ctrlPr>
                          <w:rPr>
                            <w:rFonts w:ascii="Cambria Math" w:hAnsi="Cambria Math"/>
                            <w:i/>
                            <w:color w:val="auto"/>
                          </w:rPr>
                        </m:ctrlPr>
                      </m:den>
                    </m:f>
                    <m:r>
                      <m:rPr/>
                      <w:rPr>
                        <w:rFonts w:ascii="Cambria Math" w:hAnsi="Cambria Math"/>
                        <w:color w:val="auto"/>
                      </w:rPr>
                      <m:t>+</m:t>
                    </m:r>
                    <m:f>
                      <m:fPr>
                        <m:ctrlPr>
                          <w:rPr>
                            <w:rFonts w:ascii="Cambria Math" w:hAnsi="Cambria Math"/>
                            <w:i/>
                            <w:color w:val="auto"/>
                          </w:rPr>
                        </m:ctrlPr>
                      </m:fPr>
                      <m:num>
                        <m:r>
                          <m:rPr/>
                          <w:rPr>
                            <w:rFonts w:ascii="Cambria Math" w:hAnsi="Cambria Math"/>
                            <w:color w:val="auto"/>
                          </w:rPr>
                          <m:t>4</m:t>
                        </m:r>
                        <m:ctrlPr>
                          <w:rPr>
                            <w:rFonts w:ascii="Cambria Math" w:hAnsi="Cambria Math"/>
                            <w:i/>
                            <w:color w:val="auto"/>
                          </w:rPr>
                        </m:ctrlPr>
                      </m:num>
                      <m:den>
                        <m:r>
                          <m:rPr/>
                          <w:rPr>
                            <w:rFonts w:ascii="Cambria Math" w:hAnsi="Cambria Math"/>
                            <w:color w:val="auto"/>
                          </w:rPr>
                          <m:t>R</m:t>
                        </m:r>
                        <m:ctrlPr>
                          <w:rPr>
                            <w:rFonts w:ascii="Cambria Math" w:hAnsi="Cambria Math"/>
                            <w:i/>
                            <w:color w:val="auto"/>
                          </w:rPr>
                        </m:ctrlPr>
                      </m:den>
                    </m:f>
                    <m:ctrlPr>
                      <w:rPr>
                        <w:rFonts w:ascii="Cambria Math" w:hAnsi="Cambria Math"/>
                        <w:color w:val="auto"/>
                      </w:rPr>
                    </m:ctrlPr>
                  </m:e>
                </m:d>
              </m:oMath>
            </m:oMathPara>
          </w:p>
          <w:p w14:paraId="60944946">
            <w:pPr>
              <w:pStyle w:val="22"/>
              <w:ind w:firstLine="480"/>
              <w:rPr>
                <w:color w:val="auto"/>
              </w:rPr>
            </w:pPr>
            <w:r>
              <w:rPr>
                <w:color w:val="auto"/>
              </w:rPr>
              <w:t>式中：L</w:t>
            </w:r>
            <w:r>
              <w:rPr>
                <w:color w:val="auto"/>
                <w:vertAlign w:val="subscript"/>
              </w:rPr>
              <w:t>p1</w:t>
            </w:r>
            <w:r>
              <w:rPr>
                <w:color w:val="auto"/>
              </w:rPr>
              <w:t>——靠近开口处（或窗户）室内某倍频带的声压级或A声级，dB；</w:t>
            </w:r>
          </w:p>
          <w:p w14:paraId="23D5D906">
            <w:pPr>
              <w:pStyle w:val="22"/>
              <w:ind w:firstLine="1200" w:firstLineChars="500"/>
              <w:rPr>
                <w:color w:val="auto"/>
              </w:rPr>
            </w:pPr>
            <w:r>
              <w:rPr>
                <w:color w:val="auto"/>
              </w:rPr>
              <w:t>L</w:t>
            </w:r>
            <w:r>
              <w:rPr>
                <w:color w:val="auto"/>
                <w:vertAlign w:val="subscript"/>
              </w:rPr>
              <w:t>W</w:t>
            </w:r>
            <w:r>
              <w:rPr>
                <w:color w:val="auto"/>
              </w:rPr>
              <w:t>——点声源声功率级（A计权或倍频带），dB；</w:t>
            </w:r>
          </w:p>
          <w:p w14:paraId="51B70689">
            <w:pPr>
              <w:pStyle w:val="22"/>
              <w:ind w:firstLine="1200" w:firstLineChars="500"/>
              <w:rPr>
                <w:color w:val="auto"/>
              </w:rPr>
            </w:pPr>
            <w:r>
              <w:rPr>
                <w:color w:val="auto"/>
              </w:rPr>
              <w:t>Q——指向性因数；通常对无指向性声源，当声源放在房间中心时，Q=1；当放在一面墙的中心时，Q=2；当放在两面墙夹角处时，Q=4；当放在三面墙夹角处时，Q=8；</w:t>
            </w:r>
          </w:p>
          <w:p w14:paraId="652D82DA">
            <w:pPr>
              <w:pStyle w:val="22"/>
              <w:ind w:firstLine="960" w:firstLineChars="400"/>
              <w:rPr>
                <w:color w:val="auto"/>
              </w:rPr>
            </w:pPr>
            <w:r>
              <w:rPr>
                <w:color w:val="auto"/>
              </w:rPr>
              <w:t>R——房间常数；R=Sα/（1−α），S为房间内表面面积，m²；α为平均吸声系数；</w:t>
            </w:r>
          </w:p>
          <w:p w14:paraId="66629DAE">
            <w:pPr>
              <w:pStyle w:val="22"/>
              <w:ind w:firstLine="960" w:firstLineChars="400"/>
              <w:rPr>
                <w:color w:val="auto"/>
              </w:rPr>
            </w:pPr>
            <w:r>
              <w:rPr>
                <w:color w:val="auto"/>
              </w:rPr>
              <w:t>r——声源到靠近围护结构某点处的距离，m。</w:t>
            </w:r>
          </w:p>
          <w:p w14:paraId="4AFA7B6B">
            <w:pPr>
              <w:pStyle w:val="22"/>
              <w:ind w:firstLine="480"/>
              <w:rPr>
                <w:color w:val="auto"/>
              </w:rPr>
            </w:pPr>
            <w:r>
              <w:rPr>
                <w:color w:val="auto"/>
              </w:rPr>
              <w:t>②计算出所有室内声源在围护结构处产生的i倍频带叠加声压级：</w:t>
            </w:r>
          </w:p>
          <w:p w14:paraId="4BF0E049">
            <w:pPr>
              <w:pStyle w:val="22"/>
              <w:ind w:firstLine="480"/>
              <w:rPr>
                <w:color w:val="auto"/>
              </w:rPr>
            </w:pPr>
            <m:oMathPara>
              <m:oMath>
                <m:sSub>
                  <m:sSubPr>
                    <m:ctrlPr>
                      <w:rPr>
                        <w:rFonts w:ascii="Cambria Math" w:hAnsi="Cambria Math" w:cs="宋体"/>
                        <w:color w:val="auto"/>
                      </w:rPr>
                    </m:ctrlPr>
                  </m:sSubPr>
                  <m:e>
                    <m:r>
                      <m:rPr/>
                      <w:rPr>
                        <w:rFonts w:ascii="Cambria Math" w:hAnsi="Cambria Math" w:cs="宋体"/>
                        <w:color w:val="auto"/>
                      </w:rPr>
                      <m:t>L</m:t>
                    </m:r>
                    <m:ctrlPr>
                      <w:rPr>
                        <w:rFonts w:ascii="Cambria Math" w:hAnsi="Cambria Math" w:cs="宋体"/>
                        <w:color w:val="auto"/>
                      </w:rPr>
                    </m:ctrlPr>
                  </m:e>
                  <m:sub>
                    <m:r>
                      <m:rPr/>
                      <w:rPr>
                        <w:rFonts w:ascii="Cambria Math" w:hAnsi="Cambria Math" w:cs="宋体"/>
                        <w:color w:val="auto"/>
                      </w:rPr>
                      <m:t>P1i</m:t>
                    </m:r>
                    <m:ctrlPr>
                      <w:rPr>
                        <w:rFonts w:ascii="Cambria Math" w:hAnsi="Cambria Math" w:cs="宋体"/>
                        <w:color w:val="auto"/>
                      </w:rPr>
                    </m:ctrlPr>
                  </m:sub>
                </m:sSub>
                <m:d>
                  <m:dPr>
                    <m:ctrlPr>
                      <w:rPr>
                        <w:rFonts w:ascii="Cambria Math" w:hAnsi="Cambria Math" w:cs="宋体"/>
                        <w:color w:val="auto"/>
                      </w:rPr>
                    </m:ctrlPr>
                  </m:dPr>
                  <m:e>
                    <m:r>
                      <m:rPr/>
                      <w:rPr>
                        <w:rFonts w:ascii="Cambria Math" w:hAnsi="Cambria Math" w:cs="宋体"/>
                        <w:color w:val="auto"/>
                      </w:rPr>
                      <m:t>T</m:t>
                    </m:r>
                    <m:ctrlPr>
                      <w:rPr>
                        <w:rFonts w:ascii="Cambria Math" w:hAnsi="Cambria Math" w:cs="宋体"/>
                        <w:color w:val="auto"/>
                      </w:rPr>
                    </m:ctrlPr>
                  </m:e>
                </m:d>
                <m:r>
                  <m:rPr/>
                  <w:rPr>
                    <w:rFonts w:ascii="Cambria Math" w:hAnsi="Cambria Math" w:cs="宋体"/>
                    <w:color w:val="auto"/>
                  </w:rPr>
                  <m:t>=10lg</m:t>
                </m:r>
                <m:d>
                  <m:dPr>
                    <m:ctrlPr>
                      <w:rPr>
                        <w:rFonts w:ascii="Cambria Math" w:hAnsi="Cambria Math" w:cs="宋体"/>
                        <w:i/>
                        <w:color w:val="auto"/>
                      </w:rPr>
                    </m:ctrlPr>
                  </m:dPr>
                  <m:e>
                    <m:nary>
                      <m:naryPr>
                        <m:chr m:val="∑"/>
                        <m:limLoc m:val="undOvr"/>
                        <m:ctrlPr>
                          <w:rPr>
                            <w:rFonts w:ascii="Cambria Math" w:hAnsi="Cambria Math" w:cs="宋体"/>
                            <w:i/>
                            <w:color w:val="auto"/>
                          </w:rPr>
                        </m:ctrlPr>
                      </m:naryPr>
                      <m:sub>
                        <m:r>
                          <m:rPr/>
                          <w:rPr>
                            <w:rFonts w:ascii="Cambria Math" w:hAnsi="Cambria Math" w:cs="宋体"/>
                            <w:color w:val="auto"/>
                          </w:rPr>
                          <m:t>j=1</m:t>
                        </m:r>
                        <m:ctrlPr>
                          <w:rPr>
                            <w:rFonts w:ascii="Cambria Math" w:hAnsi="Cambria Math" w:cs="宋体"/>
                            <w:i/>
                            <w:color w:val="auto"/>
                          </w:rPr>
                        </m:ctrlPr>
                      </m:sub>
                      <m:sup>
                        <m:r>
                          <m:rPr/>
                          <w:rPr>
                            <w:rFonts w:ascii="Cambria Math" w:hAnsi="Cambria Math" w:cs="宋体"/>
                            <w:color w:val="auto"/>
                          </w:rPr>
                          <m:t>N</m:t>
                        </m:r>
                        <m:ctrlPr>
                          <w:rPr>
                            <w:rFonts w:ascii="Cambria Math" w:hAnsi="Cambria Math" w:cs="宋体"/>
                            <w:i/>
                            <w:color w:val="auto"/>
                          </w:rPr>
                        </m:ctrlPr>
                      </m:sup>
                      <m:e>
                        <m:sSup>
                          <m:sSupPr>
                            <m:ctrlPr>
                              <w:rPr>
                                <w:rFonts w:ascii="Cambria Math" w:hAnsi="Cambria Math" w:cs="宋体"/>
                                <w:i/>
                                <w:color w:val="auto"/>
                              </w:rPr>
                            </m:ctrlPr>
                          </m:sSupPr>
                          <m:e>
                            <m:r>
                              <m:rPr/>
                              <w:rPr>
                                <w:rFonts w:ascii="Cambria Math" w:hAnsi="Cambria Math" w:cs="宋体"/>
                                <w:color w:val="auto"/>
                              </w:rPr>
                              <m:t>10</m:t>
                            </m:r>
                            <m:ctrlPr>
                              <w:rPr>
                                <w:rFonts w:ascii="Cambria Math" w:hAnsi="Cambria Math" w:cs="宋体"/>
                                <w:i/>
                                <w:color w:val="auto"/>
                              </w:rPr>
                            </m:ctrlPr>
                          </m:e>
                          <m:sup>
                            <m:r>
                              <m:rPr/>
                              <w:rPr>
                                <w:rFonts w:ascii="Cambria Math" w:hAnsi="Cambria Math" w:cs="宋体"/>
                                <w:color w:val="auto"/>
                              </w:rPr>
                              <m:t>0.1</m:t>
                            </m:r>
                            <m:sSub>
                              <m:sSubPr>
                                <m:ctrlPr>
                                  <w:rPr>
                                    <w:rFonts w:ascii="Cambria Math" w:hAnsi="Cambria Math" w:cs="宋体"/>
                                    <w:i/>
                                    <w:color w:val="auto"/>
                                  </w:rPr>
                                </m:ctrlPr>
                              </m:sSubPr>
                              <m:e>
                                <m:r>
                                  <m:rPr/>
                                  <w:rPr>
                                    <w:rFonts w:ascii="Cambria Math" w:hAnsi="Cambria Math" w:cs="宋体"/>
                                    <w:color w:val="auto"/>
                                  </w:rPr>
                                  <m:t>L</m:t>
                                </m:r>
                                <m:ctrlPr>
                                  <w:rPr>
                                    <w:rFonts w:ascii="Cambria Math" w:hAnsi="Cambria Math" w:cs="宋体"/>
                                    <w:i/>
                                    <w:color w:val="auto"/>
                                  </w:rPr>
                                </m:ctrlPr>
                              </m:e>
                              <m:sub>
                                <m:r>
                                  <m:rPr/>
                                  <w:rPr>
                                    <w:rFonts w:ascii="Cambria Math" w:hAnsi="Cambria Math" w:cs="宋体"/>
                                    <w:color w:val="auto"/>
                                  </w:rPr>
                                  <m:t>P1ij</m:t>
                                </m:r>
                                <m:ctrlPr>
                                  <w:rPr>
                                    <w:rFonts w:ascii="Cambria Math" w:hAnsi="Cambria Math" w:cs="宋体"/>
                                    <w:i/>
                                    <w:color w:val="auto"/>
                                  </w:rPr>
                                </m:ctrlPr>
                              </m:sub>
                            </m:sSub>
                            <m:ctrlPr>
                              <w:rPr>
                                <w:rFonts w:ascii="Cambria Math" w:hAnsi="Cambria Math" w:cs="宋体"/>
                                <w:i/>
                                <w:color w:val="auto"/>
                              </w:rPr>
                            </m:ctrlPr>
                          </m:sup>
                        </m:sSup>
                        <m:ctrlPr>
                          <w:rPr>
                            <w:rFonts w:ascii="Cambria Math" w:hAnsi="Cambria Math" w:cs="宋体"/>
                            <w:i/>
                            <w:color w:val="auto"/>
                          </w:rPr>
                        </m:ctrlPr>
                      </m:e>
                    </m:nary>
                    <m:ctrlPr>
                      <w:rPr>
                        <w:rFonts w:ascii="Cambria Math" w:hAnsi="Cambria Math" w:cs="宋体"/>
                        <w:i/>
                        <w:color w:val="auto"/>
                      </w:rPr>
                    </m:ctrlPr>
                  </m:e>
                </m:d>
              </m:oMath>
            </m:oMathPara>
          </w:p>
          <w:p w14:paraId="1B1C5B83">
            <w:pPr>
              <w:pStyle w:val="22"/>
              <w:ind w:firstLine="480"/>
              <w:rPr>
                <w:color w:val="auto"/>
              </w:rPr>
            </w:pPr>
            <w:r>
              <w:rPr>
                <w:color w:val="auto"/>
              </w:rPr>
              <w:t>式中：L</w:t>
            </w:r>
            <w:r>
              <w:rPr>
                <w:color w:val="auto"/>
                <w:vertAlign w:val="subscript"/>
              </w:rPr>
              <w:t>P1i</w:t>
            </w:r>
            <w:r>
              <w:rPr>
                <w:color w:val="auto"/>
              </w:rPr>
              <w:t>（T）——靠近围护结构处室内N个声源i倍频带的叠加声压级，dB；</w:t>
            </w:r>
          </w:p>
          <w:p w14:paraId="16D2023D">
            <w:pPr>
              <w:pStyle w:val="22"/>
              <w:ind w:firstLine="960" w:firstLineChars="400"/>
              <w:rPr>
                <w:color w:val="auto"/>
              </w:rPr>
            </w:pPr>
            <w:r>
              <w:rPr>
                <w:color w:val="auto"/>
              </w:rPr>
              <w:t>L</w:t>
            </w:r>
            <w:r>
              <w:rPr>
                <w:color w:val="auto"/>
                <w:vertAlign w:val="subscript"/>
              </w:rPr>
              <w:t>P1ij</w:t>
            </w:r>
            <w:r>
              <w:rPr>
                <w:color w:val="auto"/>
              </w:rPr>
              <w:t>（T）——室内j声源i倍频带的声压级，dB；</w:t>
            </w:r>
          </w:p>
          <w:p w14:paraId="2514F4FB">
            <w:pPr>
              <w:pStyle w:val="22"/>
              <w:ind w:firstLine="960" w:firstLineChars="400"/>
              <w:rPr>
                <w:color w:val="auto"/>
              </w:rPr>
            </w:pPr>
            <w:r>
              <w:rPr>
                <w:color w:val="auto"/>
              </w:rPr>
              <w:t>N——室内声源总数。</w:t>
            </w:r>
          </w:p>
          <w:p w14:paraId="3126861C">
            <w:pPr>
              <w:pStyle w:val="22"/>
              <w:ind w:firstLine="480"/>
              <w:rPr>
                <w:color w:val="auto"/>
              </w:rPr>
            </w:pPr>
            <w:r>
              <w:rPr>
                <w:color w:val="auto"/>
              </w:rPr>
              <w:t>③计算室外靠近围护结构处产生的声压级：</w:t>
            </w:r>
          </w:p>
          <w:p w14:paraId="5E763881">
            <w:pPr>
              <w:pStyle w:val="22"/>
              <w:ind w:firstLine="480"/>
              <w:rPr>
                <w:color w:val="auto"/>
              </w:rPr>
            </w:pPr>
            <m:oMathPara>
              <m:oMath>
                <m:sSub>
                  <m:sSubPr>
                    <m:ctrlPr>
                      <w:rPr>
                        <w:rFonts w:ascii="Cambria Math" w:hAnsi="Cambria Math" w:cs="宋体"/>
                        <w:color w:val="auto"/>
                      </w:rPr>
                    </m:ctrlPr>
                  </m:sSubPr>
                  <m:e>
                    <m:r>
                      <m:rPr/>
                      <w:rPr>
                        <w:rFonts w:ascii="Cambria Math" w:hAnsi="Cambria Math" w:cs="宋体"/>
                        <w:color w:val="auto"/>
                      </w:rPr>
                      <m:t>L</m:t>
                    </m:r>
                    <m:ctrlPr>
                      <w:rPr>
                        <w:rFonts w:ascii="Cambria Math" w:hAnsi="Cambria Math" w:cs="宋体"/>
                        <w:color w:val="auto"/>
                      </w:rPr>
                    </m:ctrlPr>
                  </m:e>
                  <m:sub>
                    <m:r>
                      <m:rPr/>
                      <w:rPr>
                        <w:rFonts w:ascii="Cambria Math" w:hAnsi="Cambria Math" w:cs="宋体"/>
                        <w:color w:val="auto"/>
                      </w:rPr>
                      <m:t>P2i</m:t>
                    </m:r>
                    <m:ctrlPr>
                      <w:rPr>
                        <w:rFonts w:ascii="Cambria Math" w:hAnsi="Cambria Math" w:cs="宋体"/>
                        <w:color w:val="auto"/>
                      </w:rPr>
                    </m:ctrlPr>
                  </m:sub>
                </m:sSub>
                <m:d>
                  <m:dPr>
                    <m:ctrlPr>
                      <w:rPr>
                        <w:rFonts w:ascii="Cambria Math" w:hAnsi="Cambria Math" w:cs="宋体"/>
                        <w:color w:val="auto"/>
                      </w:rPr>
                    </m:ctrlPr>
                  </m:dPr>
                  <m:e>
                    <m:r>
                      <m:rPr/>
                      <w:rPr>
                        <w:rFonts w:ascii="Cambria Math" w:hAnsi="Cambria Math" w:cs="宋体"/>
                        <w:color w:val="auto"/>
                      </w:rPr>
                      <m:t>T</m:t>
                    </m:r>
                    <m:ctrlPr>
                      <w:rPr>
                        <w:rFonts w:ascii="Cambria Math" w:hAnsi="Cambria Math" w:cs="宋体"/>
                        <w:color w:val="auto"/>
                      </w:rPr>
                    </m:ctrlPr>
                  </m:e>
                </m:d>
                <m:r>
                  <m:rPr/>
                  <w:rPr>
                    <w:rFonts w:ascii="Cambria Math" w:hAnsi="Cambria Math" w:cs="宋体"/>
                    <w:color w:val="auto"/>
                  </w:rPr>
                  <m:t>=</m:t>
                </m:r>
                <m:sSub>
                  <m:sSubPr>
                    <m:ctrlPr>
                      <w:rPr>
                        <w:rFonts w:ascii="Cambria Math" w:hAnsi="Cambria Math" w:cs="宋体"/>
                        <w:color w:val="auto"/>
                      </w:rPr>
                    </m:ctrlPr>
                  </m:sSubPr>
                  <m:e>
                    <m:r>
                      <m:rPr/>
                      <w:rPr>
                        <w:rFonts w:ascii="Cambria Math" w:hAnsi="Cambria Math" w:cs="宋体"/>
                        <w:color w:val="auto"/>
                      </w:rPr>
                      <m:t>L</m:t>
                    </m:r>
                    <m:ctrlPr>
                      <w:rPr>
                        <w:rFonts w:ascii="Cambria Math" w:hAnsi="Cambria Math" w:cs="宋体"/>
                        <w:color w:val="auto"/>
                      </w:rPr>
                    </m:ctrlPr>
                  </m:e>
                  <m:sub>
                    <m:r>
                      <m:rPr/>
                      <w:rPr>
                        <w:rFonts w:ascii="Cambria Math" w:hAnsi="Cambria Math" w:cs="宋体"/>
                        <w:color w:val="auto"/>
                      </w:rPr>
                      <m:t>P1i</m:t>
                    </m:r>
                    <m:ctrlPr>
                      <w:rPr>
                        <w:rFonts w:ascii="Cambria Math" w:hAnsi="Cambria Math" w:cs="宋体"/>
                        <w:color w:val="auto"/>
                      </w:rPr>
                    </m:ctrlPr>
                  </m:sub>
                </m:sSub>
                <m:d>
                  <m:dPr>
                    <m:ctrlPr>
                      <w:rPr>
                        <w:rFonts w:ascii="Cambria Math" w:hAnsi="Cambria Math" w:cs="宋体"/>
                        <w:color w:val="auto"/>
                      </w:rPr>
                    </m:ctrlPr>
                  </m:dPr>
                  <m:e>
                    <m:r>
                      <m:rPr/>
                      <w:rPr>
                        <w:rFonts w:ascii="Cambria Math" w:hAnsi="Cambria Math" w:cs="宋体"/>
                        <w:color w:val="auto"/>
                      </w:rPr>
                      <m:t>T</m:t>
                    </m:r>
                    <m:ctrlPr>
                      <w:rPr>
                        <w:rFonts w:ascii="Cambria Math" w:hAnsi="Cambria Math" w:cs="宋体"/>
                        <w:color w:val="auto"/>
                      </w:rPr>
                    </m:ctrlPr>
                  </m:e>
                </m:d>
                <m:r>
                  <m:rPr/>
                  <w:rPr>
                    <w:rFonts w:ascii="Cambria Math" w:hAnsi="Cambria Math" w:cs="宋体"/>
                    <w:color w:val="auto"/>
                  </w:rPr>
                  <m:t>−</m:t>
                </m:r>
                <m:d>
                  <m:dPr>
                    <m:ctrlPr>
                      <w:rPr>
                        <w:rFonts w:ascii="Cambria Math" w:hAnsi="Cambria Math" w:cs="宋体"/>
                        <w:color w:val="auto"/>
                      </w:rPr>
                    </m:ctrlPr>
                  </m:dPr>
                  <m:e>
                    <m:r>
                      <m:rPr/>
                      <w:rPr>
                        <w:rFonts w:ascii="Cambria Math" w:hAnsi="Cambria Math" w:cs="宋体"/>
                        <w:color w:val="auto"/>
                      </w:rPr>
                      <m:t>T</m:t>
                    </m:r>
                    <m:sSub>
                      <m:sSubPr>
                        <m:ctrlPr>
                          <w:rPr>
                            <w:rFonts w:ascii="Cambria Math" w:hAnsi="Cambria Math" w:cs="宋体"/>
                            <w:i/>
                            <w:color w:val="auto"/>
                          </w:rPr>
                        </m:ctrlPr>
                      </m:sSubPr>
                      <m:e>
                        <m:r>
                          <m:rPr/>
                          <w:rPr>
                            <w:rFonts w:ascii="Cambria Math" w:hAnsi="Cambria Math" w:cs="宋体"/>
                            <w:color w:val="auto"/>
                          </w:rPr>
                          <m:t>L</m:t>
                        </m:r>
                        <m:ctrlPr>
                          <w:rPr>
                            <w:rFonts w:ascii="Cambria Math" w:hAnsi="Cambria Math" w:cs="宋体"/>
                            <w:i/>
                            <w:color w:val="auto"/>
                          </w:rPr>
                        </m:ctrlPr>
                      </m:e>
                      <m:sub>
                        <m:r>
                          <m:rPr/>
                          <w:rPr>
                            <w:rFonts w:ascii="Cambria Math" w:hAnsi="Cambria Math" w:cs="宋体"/>
                            <w:color w:val="auto"/>
                          </w:rPr>
                          <m:t>i</m:t>
                        </m:r>
                        <m:ctrlPr>
                          <w:rPr>
                            <w:rFonts w:ascii="Cambria Math" w:hAnsi="Cambria Math" w:cs="宋体"/>
                            <w:i/>
                            <w:color w:val="auto"/>
                          </w:rPr>
                        </m:ctrlPr>
                      </m:sub>
                    </m:sSub>
                    <m:r>
                      <m:rPr/>
                      <w:rPr>
                        <w:rFonts w:ascii="Cambria Math" w:hAnsi="Cambria Math" w:cs="宋体"/>
                        <w:color w:val="auto"/>
                      </w:rPr>
                      <m:t>+6</m:t>
                    </m:r>
                    <m:ctrlPr>
                      <w:rPr>
                        <w:rFonts w:ascii="Cambria Math" w:hAnsi="Cambria Math" w:cs="宋体"/>
                        <w:color w:val="auto"/>
                      </w:rPr>
                    </m:ctrlPr>
                  </m:e>
                </m:d>
              </m:oMath>
            </m:oMathPara>
          </w:p>
          <w:p w14:paraId="435C84FE">
            <w:pPr>
              <w:pStyle w:val="22"/>
              <w:ind w:firstLine="480"/>
              <w:rPr>
                <w:color w:val="auto"/>
              </w:rPr>
            </w:pPr>
            <w:r>
              <w:rPr>
                <w:color w:val="auto"/>
              </w:rPr>
              <w:t>式中：L</w:t>
            </w:r>
            <w:r>
              <w:rPr>
                <w:color w:val="auto"/>
                <w:vertAlign w:val="subscript"/>
              </w:rPr>
              <w:t>P2i</w:t>
            </w:r>
            <w:r>
              <w:rPr>
                <w:color w:val="auto"/>
              </w:rPr>
              <w:t>（T）——靠近围护结构处室外N个声源i倍频带的叠加声压级，dB；</w:t>
            </w:r>
          </w:p>
          <w:p w14:paraId="1520F498">
            <w:pPr>
              <w:pStyle w:val="22"/>
              <w:ind w:firstLine="960" w:firstLineChars="400"/>
              <w:rPr>
                <w:color w:val="auto"/>
              </w:rPr>
            </w:pPr>
            <w:r>
              <w:rPr>
                <w:color w:val="auto"/>
              </w:rPr>
              <w:t>L</w:t>
            </w:r>
            <w:r>
              <w:rPr>
                <w:color w:val="auto"/>
                <w:vertAlign w:val="subscript"/>
              </w:rPr>
              <w:t>P1i</w:t>
            </w:r>
            <w:r>
              <w:rPr>
                <w:color w:val="auto"/>
              </w:rPr>
              <w:t>（T）——靠近围护结构处室内N个声源i倍频带的叠加声压级，dB；</w:t>
            </w:r>
          </w:p>
          <w:p w14:paraId="2231E442">
            <w:pPr>
              <w:pStyle w:val="22"/>
              <w:ind w:firstLine="960" w:firstLineChars="400"/>
              <w:rPr>
                <w:color w:val="auto"/>
              </w:rPr>
            </w:pPr>
            <w:r>
              <w:rPr>
                <w:color w:val="auto"/>
              </w:rPr>
              <w:t>TL</w:t>
            </w:r>
            <w:r>
              <w:rPr>
                <w:color w:val="auto"/>
                <w:vertAlign w:val="subscript"/>
              </w:rPr>
              <w:t>i</w:t>
            </w:r>
            <w:r>
              <w:rPr>
                <w:color w:val="auto"/>
              </w:rPr>
              <w:t>——围护结构i倍频带的隔声量，dB。</w:t>
            </w:r>
          </w:p>
          <w:p w14:paraId="465267C4">
            <w:pPr>
              <w:pStyle w:val="22"/>
              <w:ind w:firstLine="480"/>
              <w:rPr>
                <w:color w:val="auto"/>
              </w:rPr>
            </w:pPr>
            <w:r>
              <w:rPr>
                <w:rFonts w:hint="eastAsia"/>
                <w:color w:val="auto"/>
              </w:rPr>
              <w:t>（2）</w:t>
            </w:r>
            <w:r>
              <w:rPr>
                <w:color w:val="auto"/>
              </w:rPr>
              <w:t>户外声传播衰减</w:t>
            </w:r>
          </w:p>
          <w:p w14:paraId="3DF5F33D">
            <w:pPr>
              <w:pStyle w:val="22"/>
              <w:ind w:firstLine="480"/>
              <w:rPr>
                <w:color w:val="auto"/>
              </w:rPr>
            </w:pPr>
            <w:r>
              <w:rPr>
                <w:color w:val="auto"/>
              </w:rPr>
              <w:t>户外声传播衰减包括几何发散（Adiv）、大气吸收（Aatm）、地面效应（Agr）、屏障屏蔽（Abar）、其他多方面效应（Amisc）引起的衰减。</w:t>
            </w:r>
          </w:p>
          <w:p w14:paraId="5EAD17DE">
            <w:pPr>
              <w:pStyle w:val="22"/>
              <w:ind w:firstLine="480"/>
              <w:rPr>
                <w:color w:val="auto"/>
              </w:rPr>
            </w:pPr>
            <w:r>
              <w:rPr>
                <w:color w:val="auto"/>
              </w:rPr>
              <w:t>①根据《环境影响评价技术导则 声环境》（HJ2.4-2021），噪声预测计算的基本公式为：</w:t>
            </w:r>
          </w:p>
          <w:p w14:paraId="0CC486FD">
            <w:pPr>
              <w:pStyle w:val="22"/>
              <w:ind w:firstLine="1200" w:firstLineChars="500"/>
              <w:rPr>
                <w:color w:val="auto"/>
              </w:rPr>
            </w:pPr>
            <w:r>
              <w:rPr>
                <w:color w:val="auto"/>
              </w:rPr>
              <w:t>Lp（r）=Lp（r0）+Dc-（Adiv+Aatm+Agr+Abar+Amisc）</w:t>
            </w:r>
          </w:p>
          <w:p w14:paraId="322204AF">
            <w:pPr>
              <w:pStyle w:val="22"/>
              <w:ind w:firstLine="480"/>
              <w:rPr>
                <w:color w:val="auto"/>
              </w:rPr>
            </w:pPr>
            <w:r>
              <w:rPr>
                <w:color w:val="auto"/>
              </w:rPr>
              <w:t>式中：Lp（r）——预测点处声压级，dB；</w:t>
            </w:r>
          </w:p>
          <w:p w14:paraId="65DAF99C">
            <w:pPr>
              <w:pStyle w:val="22"/>
              <w:ind w:firstLine="1200" w:firstLineChars="500"/>
              <w:rPr>
                <w:color w:val="auto"/>
              </w:rPr>
            </w:pPr>
            <w:r>
              <w:rPr>
                <w:color w:val="auto"/>
              </w:rPr>
              <w:t>Lp（r0）——参考位置r0处的声压级，dB；</w:t>
            </w:r>
          </w:p>
          <w:p w14:paraId="649103B6">
            <w:pPr>
              <w:pStyle w:val="22"/>
              <w:ind w:firstLine="1200" w:firstLineChars="500"/>
              <w:rPr>
                <w:color w:val="auto"/>
              </w:rPr>
            </w:pPr>
            <w:r>
              <w:rPr>
                <w:color w:val="auto"/>
              </w:rPr>
              <w:t>Dc——指向性校正，它描述点声源的等效连续声压级与产生声功率级Lw的全向点声源在规定方向的声级偏差程度，dB；</w:t>
            </w:r>
          </w:p>
          <w:p w14:paraId="69C71F63">
            <w:pPr>
              <w:pStyle w:val="22"/>
              <w:ind w:firstLine="1200" w:firstLineChars="500"/>
              <w:rPr>
                <w:color w:val="auto"/>
              </w:rPr>
            </w:pPr>
            <w:r>
              <w:rPr>
                <w:color w:val="auto"/>
              </w:rPr>
              <w:t>Adiv——几何发散引起的衰减，dB；</w:t>
            </w:r>
          </w:p>
          <w:p w14:paraId="4BF5E2E9">
            <w:pPr>
              <w:pStyle w:val="22"/>
              <w:ind w:firstLine="1200" w:firstLineChars="500"/>
              <w:rPr>
                <w:color w:val="auto"/>
              </w:rPr>
            </w:pPr>
            <w:r>
              <w:rPr>
                <w:color w:val="auto"/>
              </w:rPr>
              <w:t>Aatm——大气吸收引起的衰减，dB；</w:t>
            </w:r>
          </w:p>
          <w:p w14:paraId="33564A3D">
            <w:pPr>
              <w:pStyle w:val="22"/>
              <w:ind w:firstLine="1200" w:firstLineChars="500"/>
              <w:rPr>
                <w:color w:val="auto"/>
              </w:rPr>
            </w:pPr>
            <w:r>
              <w:rPr>
                <w:color w:val="auto"/>
              </w:rPr>
              <w:t>Agr——地面效应引起的衰减，dB；</w:t>
            </w:r>
          </w:p>
          <w:p w14:paraId="4C032E07">
            <w:pPr>
              <w:pStyle w:val="22"/>
              <w:ind w:firstLine="1200" w:firstLineChars="500"/>
              <w:rPr>
                <w:color w:val="auto"/>
              </w:rPr>
            </w:pPr>
            <w:r>
              <w:rPr>
                <w:color w:val="auto"/>
              </w:rPr>
              <w:t>Abar——障碍物屏蔽引起的衰减，dB；</w:t>
            </w:r>
          </w:p>
          <w:p w14:paraId="23BE2AB2">
            <w:pPr>
              <w:pStyle w:val="22"/>
              <w:ind w:firstLine="1200" w:firstLineChars="500"/>
              <w:rPr>
                <w:color w:val="auto"/>
              </w:rPr>
            </w:pPr>
            <w:r>
              <w:rPr>
                <w:color w:val="auto"/>
              </w:rPr>
              <w:t>Amisc——其他多方面效应引起的衰减，dB。</w:t>
            </w:r>
          </w:p>
          <w:p w14:paraId="3B5D7836">
            <w:pPr>
              <w:pStyle w:val="22"/>
              <w:ind w:firstLine="480"/>
              <w:rPr>
                <w:color w:val="auto"/>
              </w:rPr>
            </w:pPr>
            <w:r>
              <w:rPr>
                <w:color w:val="auto"/>
              </w:rPr>
              <w:t>②预测点的A声级L</w:t>
            </w:r>
            <w:r>
              <w:rPr>
                <w:color w:val="auto"/>
                <w:vertAlign w:val="subscript"/>
              </w:rPr>
              <w:t>A</w:t>
            </w:r>
            <w:r>
              <w:rPr>
                <w:color w:val="auto"/>
              </w:rPr>
              <w:t>(r)可按下式计算，即将8个倍频带声压级合成，计算出预测点的声级[L</w:t>
            </w:r>
            <w:r>
              <w:rPr>
                <w:color w:val="auto"/>
                <w:vertAlign w:val="subscript"/>
              </w:rPr>
              <w:t>A</w:t>
            </w:r>
            <w:r>
              <w:rPr>
                <w:color w:val="auto"/>
              </w:rPr>
              <w:t>(r)]。</w:t>
            </w:r>
          </w:p>
          <w:p w14:paraId="52A82331">
            <w:pPr>
              <w:pStyle w:val="22"/>
              <w:ind w:firstLine="480"/>
              <w:rPr>
                <w:color w:val="auto"/>
              </w:rPr>
            </w:pPr>
            <m:oMathPara>
              <m:oMath>
                <m:sSub>
                  <m:sSubPr>
                    <m:ctrlPr>
                      <w:rPr>
                        <w:rFonts w:ascii="Cambria Math" w:hAnsi="Cambria Math"/>
                        <w:color w:val="auto"/>
                      </w:rPr>
                    </m:ctrlPr>
                  </m:sSubPr>
                  <m:e>
                    <m:r>
                      <m:rPr/>
                      <w:rPr>
                        <w:rFonts w:ascii="Cambria Math" w:hAnsi="Cambria Math"/>
                        <w:color w:val="auto"/>
                      </w:rPr>
                      <m:t>L</m:t>
                    </m:r>
                    <m:ctrlPr>
                      <w:rPr>
                        <w:rFonts w:ascii="Cambria Math" w:hAnsi="Cambria Math"/>
                        <w:color w:val="auto"/>
                      </w:rPr>
                    </m:ctrlPr>
                  </m:e>
                  <m:sub>
                    <m:r>
                      <m:rPr/>
                      <w:rPr>
                        <w:rFonts w:ascii="Cambria Math" w:hAnsi="Cambria Math"/>
                        <w:color w:val="auto"/>
                      </w:rPr>
                      <m:t>A</m:t>
                    </m:r>
                    <m:ctrlPr>
                      <w:rPr>
                        <w:rFonts w:ascii="Cambria Math" w:hAnsi="Cambria Math"/>
                        <w:color w:val="auto"/>
                      </w:rPr>
                    </m:ctrlPr>
                  </m:sub>
                </m:sSub>
                <m:r>
                  <m:rPr/>
                  <w:rPr>
                    <w:rFonts w:ascii="Cambria Math" w:hAnsi="Cambria Math"/>
                    <w:color w:val="auto"/>
                  </w:rPr>
                  <m:t>(r)=10lg</m:t>
                </m:r>
                <m:d>
                  <m:dPr>
                    <m:begChr m:val="{"/>
                    <m:endChr m:val="}"/>
                    <m:ctrlPr>
                      <w:rPr>
                        <w:rFonts w:ascii="Cambria Math" w:hAnsi="Cambria Math"/>
                        <w:i/>
                        <w:color w:val="auto"/>
                      </w:rPr>
                    </m:ctrlPr>
                  </m:dPr>
                  <m:e>
                    <m:sSup>
                      <m:sSupPr>
                        <m:ctrlPr>
                          <w:rPr>
                            <w:rFonts w:ascii="Cambria Math" w:hAnsi="Cambria Math"/>
                            <w:i/>
                            <w:color w:val="auto"/>
                          </w:rPr>
                        </m:ctrlPr>
                      </m:sSupPr>
                      <m:e>
                        <m:r>
                          <m:rPr/>
                          <w:rPr>
                            <w:rFonts w:ascii="Cambria Math" w:hAnsi="Cambria Math"/>
                            <w:color w:val="auto"/>
                          </w:rPr>
                          <m:t>10</m:t>
                        </m:r>
                        <m:ctrlPr>
                          <w:rPr>
                            <w:rFonts w:ascii="Cambria Math" w:hAnsi="Cambria Math"/>
                            <w:i/>
                            <w:color w:val="auto"/>
                          </w:rPr>
                        </m:ctrlPr>
                      </m:e>
                      <m:sup>
                        <m:r>
                          <m:rPr/>
                          <w:rPr>
                            <w:rFonts w:ascii="Cambria Math" w:hAnsi="Cambria Math"/>
                            <w:color w:val="auto"/>
                          </w:rPr>
                          <m:t>0.1</m:t>
                        </m:r>
                        <m:d>
                          <m:dPr>
                            <m:begChr m:val="["/>
                            <m:endChr m:val="]"/>
                            <m:ctrlPr>
                              <w:rPr>
                                <w:rFonts w:ascii="Cambria Math" w:hAnsi="Cambria Math"/>
                                <w:i/>
                                <w:color w:val="auto"/>
                              </w:rPr>
                            </m:ctrlPr>
                          </m:dPr>
                          <m:e>
                            <m:sSub>
                              <m:sSubPr>
                                <m:ctrlPr>
                                  <w:rPr>
                                    <w:rFonts w:ascii="Cambria Math" w:hAnsi="Cambria Math"/>
                                    <w:i/>
                                    <w:color w:val="auto"/>
                                  </w:rPr>
                                </m:ctrlPr>
                              </m:sSubPr>
                              <m:e>
                                <m:r>
                                  <m:rPr/>
                                  <w:rPr>
                                    <w:rFonts w:ascii="Cambria Math" w:hAnsi="Cambria Math"/>
                                    <w:color w:val="auto"/>
                                  </w:rPr>
                                  <m:t>L</m:t>
                                </m:r>
                                <m:ctrlPr>
                                  <w:rPr>
                                    <w:rFonts w:ascii="Cambria Math" w:hAnsi="Cambria Math"/>
                                    <w:i/>
                                    <w:color w:val="auto"/>
                                  </w:rPr>
                                </m:ctrlPr>
                              </m:e>
                              <m:sub>
                                <m:r>
                                  <m:rPr/>
                                  <w:rPr>
                                    <w:rFonts w:ascii="Cambria Math" w:hAnsi="Cambria Math"/>
                                    <w:color w:val="auto"/>
                                  </w:rPr>
                                  <m:t>pi</m:t>
                                </m:r>
                                <m:ctrlPr>
                                  <w:rPr>
                                    <w:rFonts w:ascii="Cambria Math" w:hAnsi="Cambria Math"/>
                                    <w:i/>
                                    <w:color w:val="auto"/>
                                  </w:rPr>
                                </m:ctrlPr>
                              </m:sub>
                            </m:sSub>
                            <m:d>
                              <m:dPr>
                                <m:ctrlPr>
                                  <w:rPr>
                                    <w:rFonts w:ascii="Cambria Math" w:hAnsi="Cambria Math"/>
                                    <w:i/>
                                    <w:color w:val="auto"/>
                                  </w:rPr>
                                </m:ctrlPr>
                              </m:dPr>
                              <m:e>
                                <m:r>
                                  <m:rPr/>
                                  <w:rPr>
                                    <w:rFonts w:ascii="Cambria Math" w:hAnsi="Cambria Math"/>
                                    <w:color w:val="auto"/>
                                  </w:rPr>
                                  <m:t>r</m:t>
                                </m:r>
                                <m:ctrlPr>
                                  <w:rPr>
                                    <w:rFonts w:ascii="Cambria Math" w:hAnsi="Cambria Math"/>
                                    <w:i/>
                                    <w:color w:val="auto"/>
                                  </w:rPr>
                                </m:ctrlPr>
                              </m:e>
                            </m:d>
                            <m:r>
                              <m:rPr/>
                              <w:rPr>
                                <w:rFonts w:ascii="Cambria Math" w:hAnsi="Cambria Math"/>
                                <w:color w:val="auto"/>
                              </w:rPr>
                              <m:t>−∆</m:t>
                            </m:r>
                            <m:sSub>
                              <m:sSubPr>
                                <m:ctrlPr>
                                  <w:rPr>
                                    <w:rFonts w:ascii="Cambria Math" w:hAnsi="Cambria Math"/>
                                    <w:i/>
                                    <w:color w:val="auto"/>
                                  </w:rPr>
                                </m:ctrlPr>
                              </m:sSubPr>
                              <m:e>
                                <m:r>
                                  <m:rPr/>
                                  <w:rPr>
                                    <w:rFonts w:ascii="Cambria Math" w:hAnsi="Cambria Math"/>
                                    <w:color w:val="auto"/>
                                  </w:rPr>
                                  <m:t>L</m:t>
                                </m:r>
                                <m:ctrlPr>
                                  <w:rPr>
                                    <w:rFonts w:ascii="Cambria Math" w:hAnsi="Cambria Math"/>
                                    <w:i/>
                                    <w:color w:val="auto"/>
                                  </w:rPr>
                                </m:ctrlPr>
                              </m:e>
                              <m:sub>
                                <m:r>
                                  <m:rPr/>
                                  <w:rPr>
                                    <w:rFonts w:ascii="Cambria Math" w:hAnsi="Cambria Math"/>
                                    <w:color w:val="auto"/>
                                  </w:rPr>
                                  <m:t>i</m:t>
                                </m:r>
                                <m:ctrlPr>
                                  <w:rPr>
                                    <w:rFonts w:ascii="Cambria Math" w:hAnsi="Cambria Math"/>
                                    <w:i/>
                                    <w:color w:val="auto"/>
                                  </w:rPr>
                                </m:ctrlPr>
                              </m:sub>
                            </m:sSub>
                            <m:ctrlPr>
                              <w:rPr>
                                <w:rFonts w:ascii="Cambria Math" w:hAnsi="Cambria Math"/>
                                <w:i/>
                                <w:color w:val="auto"/>
                              </w:rPr>
                            </m:ctrlPr>
                          </m:e>
                        </m:d>
                        <m:ctrlPr>
                          <w:rPr>
                            <w:rFonts w:ascii="Cambria Math" w:hAnsi="Cambria Math"/>
                            <w:i/>
                            <w:color w:val="auto"/>
                          </w:rPr>
                        </m:ctrlPr>
                      </m:sup>
                    </m:sSup>
                    <m:ctrlPr>
                      <w:rPr>
                        <w:rFonts w:ascii="Cambria Math" w:hAnsi="Cambria Math"/>
                        <w:i/>
                        <w:color w:val="auto"/>
                      </w:rPr>
                    </m:ctrlPr>
                  </m:e>
                </m:d>
              </m:oMath>
            </m:oMathPara>
          </w:p>
          <w:p w14:paraId="555DFB94">
            <w:pPr>
              <w:pStyle w:val="22"/>
              <w:ind w:firstLine="480"/>
              <w:rPr>
                <w:color w:val="auto"/>
              </w:rPr>
            </w:pPr>
            <w:r>
              <w:rPr>
                <w:color w:val="auto"/>
              </w:rPr>
              <w:t>式中：L</w:t>
            </w:r>
            <w:r>
              <w:rPr>
                <w:color w:val="auto"/>
                <w:vertAlign w:val="subscript"/>
              </w:rPr>
              <w:t>A</w:t>
            </w:r>
            <w:r>
              <w:rPr>
                <w:color w:val="auto"/>
              </w:rPr>
              <w:t>（r）——距声源r处的A声级，dB(A)；</w:t>
            </w:r>
          </w:p>
          <w:p w14:paraId="1D6A5F74">
            <w:pPr>
              <w:pStyle w:val="22"/>
              <w:ind w:firstLine="1200" w:firstLineChars="500"/>
              <w:rPr>
                <w:color w:val="auto"/>
              </w:rPr>
            </w:pPr>
            <w:r>
              <w:rPr>
                <w:color w:val="auto"/>
              </w:rPr>
              <w:t>L</w:t>
            </w:r>
            <w:r>
              <w:rPr>
                <w:color w:val="auto"/>
                <w:vertAlign w:val="subscript"/>
              </w:rPr>
              <w:t>pi</w:t>
            </w:r>
            <w:r>
              <w:rPr>
                <w:color w:val="auto"/>
              </w:rPr>
              <w:t>（r）——预测点(r)处，第i倍频带声压级，dB；</w:t>
            </w:r>
          </w:p>
          <w:p w14:paraId="4FD0B5CF">
            <w:pPr>
              <w:pStyle w:val="22"/>
              <w:ind w:firstLine="1200" w:firstLineChars="500"/>
              <w:rPr>
                <w:color w:val="auto"/>
              </w:rPr>
            </w:pPr>
            <w:r>
              <w:rPr>
                <w:color w:val="auto"/>
              </w:rPr>
              <w:t>△L</w:t>
            </w:r>
            <w:r>
              <w:rPr>
                <w:color w:val="auto"/>
                <w:vertAlign w:val="subscript"/>
              </w:rPr>
              <w:t>i</w:t>
            </w:r>
            <w:r>
              <w:rPr>
                <w:color w:val="auto"/>
              </w:rPr>
              <w:t>——第i倍频带的A计权网络修正值，dB；</w:t>
            </w:r>
          </w:p>
          <w:p w14:paraId="2A592BE7">
            <w:pPr>
              <w:pStyle w:val="22"/>
              <w:ind w:firstLineChars="300"/>
              <w:rPr>
                <w:color w:val="auto"/>
              </w:rPr>
            </w:pPr>
            <w:r>
              <w:rPr>
                <w:color w:val="auto"/>
              </w:rPr>
              <w:t>③点声源的几何发散衰减的基本公式为：</w:t>
            </w:r>
          </w:p>
          <w:p w14:paraId="39FB162A">
            <w:pPr>
              <w:pStyle w:val="22"/>
              <w:ind w:firstLine="480"/>
              <w:rPr>
                <w:color w:val="auto"/>
              </w:rPr>
            </w:pPr>
            <m:oMathPara>
              <m:oMath>
                <m:sSub>
                  <m:sSubPr>
                    <m:ctrlPr>
                      <w:rPr>
                        <w:rFonts w:ascii="Cambria Math" w:hAnsi="Cambria Math"/>
                        <w:color w:val="auto"/>
                      </w:rPr>
                    </m:ctrlPr>
                  </m:sSubPr>
                  <m:e>
                    <m:r>
                      <m:rPr>
                        <m:sty m:val="p"/>
                      </m:rPr>
                      <w:rPr>
                        <w:rFonts w:ascii="Cambria Math" w:hAnsi="Cambria Math"/>
                        <w:color w:val="auto"/>
                      </w:rPr>
                      <m:t>L</m:t>
                    </m:r>
                    <m:ctrlPr>
                      <w:rPr>
                        <w:rFonts w:ascii="Cambria Math" w:hAnsi="Cambria Math"/>
                        <w:color w:val="auto"/>
                      </w:rPr>
                    </m:ctrlPr>
                  </m:e>
                  <m:sub>
                    <m:r>
                      <m:rPr/>
                      <w:rPr>
                        <w:rFonts w:ascii="Cambria Math" w:hAnsi="Cambria Math"/>
                        <w:color w:val="auto"/>
                      </w:rPr>
                      <m:t>p</m:t>
                    </m:r>
                    <m:ctrlPr>
                      <w:rPr>
                        <w:rFonts w:ascii="Cambria Math" w:hAnsi="Cambria Math"/>
                        <w:color w:val="auto"/>
                      </w:rPr>
                    </m:ctrlPr>
                  </m:sub>
                </m:sSub>
                <m:r>
                  <m:rPr>
                    <m:sty m:val="p"/>
                  </m:rPr>
                  <w:rPr>
                    <w:rFonts w:ascii="Cambria Math" w:hAnsi="Cambria Math"/>
                    <w:color w:val="auto"/>
                  </w:rPr>
                  <m:t>(r)＝</m:t>
                </m:r>
                <m:sSub>
                  <m:sSubPr>
                    <m:ctrlPr>
                      <w:rPr>
                        <w:rFonts w:ascii="Cambria Math" w:hAnsi="Cambria Math"/>
                        <w:color w:val="auto"/>
                      </w:rPr>
                    </m:ctrlPr>
                  </m:sSubPr>
                  <m:e>
                    <m:r>
                      <m:rPr>
                        <m:sty m:val="p"/>
                      </m:rPr>
                      <w:rPr>
                        <w:rFonts w:ascii="Cambria Math" w:hAnsi="Cambria Math"/>
                        <w:color w:val="auto"/>
                      </w:rPr>
                      <m:t>L</m:t>
                    </m:r>
                    <m:ctrlPr>
                      <w:rPr>
                        <w:rFonts w:ascii="Cambria Math" w:hAnsi="Cambria Math"/>
                        <w:color w:val="auto"/>
                      </w:rPr>
                    </m:ctrlPr>
                  </m:e>
                  <m:sub>
                    <m:r>
                      <m:rPr/>
                      <w:rPr>
                        <w:rFonts w:ascii="Cambria Math" w:hAnsi="Cambria Math"/>
                        <w:color w:val="auto"/>
                      </w:rPr>
                      <m:t>p</m:t>
                    </m:r>
                    <m:ctrlPr>
                      <w:rPr>
                        <w:rFonts w:ascii="Cambria Math" w:hAnsi="Cambria Math"/>
                        <w:color w:val="auto"/>
                      </w:rPr>
                    </m:ctrlPr>
                  </m:sub>
                </m:sSub>
                <m:r>
                  <m:rPr>
                    <m:sty m:val="p"/>
                  </m:rPr>
                  <w:rPr>
                    <w:rFonts w:ascii="Cambria Math" w:hAnsi="Cambria Math"/>
                    <w:color w:val="auto"/>
                  </w:rPr>
                  <m:t>(</m:t>
                </m:r>
                <m:sSub>
                  <m:sSubPr>
                    <m:ctrlPr>
                      <w:rPr>
                        <w:rFonts w:ascii="Cambria Math" w:hAnsi="Cambria Math"/>
                        <w:color w:val="auto"/>
                      </w:rPr>
                    </m:ctrlPr>
                  </m:sSubPr>
                  <m:e>
                    <m:r>
                      <m:rPr>
                        <m:sty m:val="p"/>
                      </m:rPr>
                      <w:rPr>
                        <w:rFonts w:ascii="Cambria Math" w:hAnsi="Cambria Math"/>
                        <w:color w:val="auto"/>
                      </w:rPr>
                      <m:t>r</m:t>
                    </m:r>
                    <m:ctrlPr>
                      <w:rPr>
                        <w:rFonts w:ascii="Cambria Math" w:hAnsi="Cambria Math"/>
                        <w:color w:val="auto"/>
                      </w:rPr>
                    </m:ctrlPr>
                  </m:e>
                  <m:sub>
                    <m:r>
                      <m:rPr>
                        <m:sty m:val="p"/>
                      </m:rPr>
                      <w:rPr>
                        <w:rFonts w:ascii="Cambria Math" w:hAnsi="Cambria Math"/>
                        <w:color w:val="auto"/>
                      </w:rPr>
                      <m:t>0</m:t>
                    </m:r>
                    <m:ctrlPr>
                      <w:rPr>
                        <w:rFonts w:ascii="Cambria Math" w:hAnsi="Cambria Math"/>
                        <w:color w:val="auto"/>
                      </w:rPr>
                    </m:ctrlPr>
                  </m:sub>
                </m:sSub>
                <m:r>
                  <m:rPr>
                    <m:sty m:val="p"/>
                  </m:rPr>
                  <w:rPr>
                    <w:rFonts w:ascii="Cambria Math" w:hAnsi="Cambria Math"/>
                    <w:color w:val="auto"/>
                  </w:rPr>
                  <m:t>)−20</m:t>
                </m:r>
                <m:func>
                  <m:funcPr>
                    <m:ctrlPr>
                      <w:rPr>
                        <w:rFonts w:ascii="Cambria Math" w:hAnsi="Cambria Math"/>
                        <w:color w:val="auto"/>
                      </w:rPr>
                    </m:ctrlPr>
                  </m:funcPr>
                  <m:fName>
                    <m:r>
                      <m:rPr>
                        <m:sty m:val="p"/>
                      </m:rPr>
                      <w:rPr>
                        <w:rFonts w:ascii="Cambria Math" w:hAnsi="Cambria Math"/>
                        <w:color w:val="auto"/>
                      </w:rPr>
                      <m:t>log</m:t>
                    </m:r>
                    <m:ctrlPr>
                      <w:rPr>
                        <w:rFonts w:ascii="Cambria Math" w:hAnsi="Cambria Math"/>
                        <w:color w:val="auto"/>
                      </w:rPr>
                    </m:ctrlPr>
                  </m:fName>
                  <m:e>
                    <m:d>
                      <m:dPr>
                        <m:ctrlPr>
                          <w:rPr>
                            <w:rFonts w:ascii="Cambria Math" w:hAnsi="Cambria Math"/>
                            <w:color w:val="auto"/>
                          </w:rPr>
                        </m:ctrlPr>
                      </m:dPr>
                      <m:e>
                        <m:f>
                          <m:fPr>
                            <m:type m:val="skw"/>
                            <m:ctrlPr>
                              <w:rPr>
                                <w:rFonts w:ascii="Cambria Math" w:hAnsi="Cambria Math"/>
                                <w:color w:val="auto"/>
                              </w:rPr>
                            </m:ctrlPr>
                          </m:fPr>
                          <m:num>
                            <m:r>
                              <m:rPr>
                                <m:sty m:val="p"/>
                              </m:rPr>
                              <w:rPr>
                                <w:rFonts w:ascii="Cambria Math" w:hAnsi="Cambria Math"/>
                                <w:color w:val="auto"/>
                              </w:rPr>
                              <m:t>r</m:t>
                            </m:r>
                            <m:ctrlPr>
                              <w:rPr>
                                <w:rFonts w:ascii="Cambria Math" w:hAnsi="Cambria Math"/>
                                <w:color w:val="auto"/>
                              </w:rPr>
                            </m:ctrlPr>
                          </m:num>
                          <m:den>
                            <m:sSub>
                              <m:sSubPr>
                                <m:ctrlPr>
                                  <w:rPr>
                                    <w:rFonts w:ascii="Cambria Math" w:hAnsi="Cambria Math"/>
                                    <w:color w:val="auto"/>
                                  </w:rPr>
                                </m:ctrlPr>
                              </m:sSubPr>
                              <m:e>
                                <m:r>
                                  <m:rPr>
                                    <m:sty m:val="p"/>
                                  </m:rPr>
                                  <w:rPr>
                                    <w:rFonts w:ascii="Cambria Math" w:hAnsi="Cambria Math"/>
                                    <w:color w:val="auto"/>
                                  </w:rPr>
                                  <m:t>r</m:t>
                                </m:r>
                                <m:ctrlPr>
                                  <w:rPr>
                                    <w:rFonts w:ascii="Cambria Math" w:hAnsi="Cambria Math"/>
                                    <w:color w:val="auto"/>
                                  </w:rPr>
                                </m:ctrlPr>
                              </m:e>
                              <m:sub>
                                <m:r>
                                  <m:rPr>
                                    <m:sty m:val="p"/>
                                  </m:rPr>
                                  <w:rPr>
                                    <w:rFonts w:ascii="Cambria Math" w:hAnsi="Cambria Math"/>
                                    <w:color w:val="auto"/>
                                  </w:rPr>
                                  <m:t>0</m:t>
                                </m:r>
                                <m:ctrlPr>
                                  <w:rPr>
                                    <w:rFonts w:ascii="Cambria Math" w:hAnsi="Cambria Math"/>
                                    <w:color w:val="auto"/>
                                  </w:rPr>
                                </m:ctrlPr>
                              </m:sub>
                            </m:sSub>
                            <m:ctrlPr>
                              <w:rPr>
                                <w:rFonts w:ascii="Cambria Math" w:hAnsi="Cambria Math"/>
                                <w:color w:val="auto"/>
                              </w:rPr>
                            </m:ctrlPr>
                          </m:den>
                        </m:f>
                        <m:ctrlPr>
                          <w:rPr>
                            <w:rFonts w:ascii="Cambria Math" w:hAnsi="Cambria Math"/>
                            <w:color w:val="auto"/>
                          </w:rPr>
                        </m:ctrlPr>
                      </m:e>
                    </m:d>
                    <m:ctrlPr>
                      <w:rPr>
                        <w:rFonts w:ascii="Cambria Math" w:hAnsi="Cambria Math"/>
                        <w:color w:val="auto"/>
                      </w:rPr>
                    </m:ctrlPr>
                  </m:e>
                </m:func>
              </m:oMath>
            </m:oMathPara>
          </w:p>
          <w:p w14:paraId="0ED248C5">
            <w:pPr>
              <w:pStyle w:val="22"/>
              <w:ind w:firstLine="480"/>
              <w:rPr>
                <w:color w:val="auto"/>
              </w:rPr>
            </w:pPr>
            <w:r>
              <w:rPr>
                <w:color w:val="auto"/>
              </w:rPr>
              <w:t>式中：L</w:t>
            </w:r>
            <w:r>
              <w:rPr>
                <w:color w:val="auto"/>
                <w:vertAlign w:val="subscript"/>
              </w:rPr>
              <w:t>p</w:t>
            </w:r>
            <w:r>
              <w:rPr>
                <w:color w:val="auto"/>
              </w:rPr>
              <w:t>（r）——预测点处声压级，dB；</w:t>
            </w:r>
          </w:p>
          <w:p w14:paraId="0A1C1F49">
            <w:pPr>
              <w:pStyle w:val="22"/>
              <w:ind w:firstLine="1200" w:firstLineChars="500"/>
              <w:rPr>
                <w:color w:val="auto"/>
              </w:rPr>
            </w:pPr>
            <w:r>
              <w:rPr>
                <w:color w:val="auto"/>
              </w:rPr>
              <w:t>L</w:t>
            </w:r>
            <w:r>
              <w:rPr>
                <w:color w:val="auto"/>
                <w:vertAlign w:val="subscript"/>
              </w:rPr>
              <w:t>p</w:t>
            </w:r>
            <w:r>
              <w:rPr>
                <w:color w:val="auto"/>
              </w:rPr>
              <w:t>（r</w:t>
            </w:r>
            <w:r>
              <w:rPr>
                <w:color w:val="auto"/>
                <w:vertAlign w:val="subscript"/>
              </w:rPr>
              <w:t>0</w:t>
            </w:r>
            <w:r>
              <w:rPr>
                <w:color w:val="auto"/>
              </w:rPr>
              <w:t>）——参考位置r</w:t>
            </w:r>
            <w:r>
              <w:rPr>
                <w:color w:val="auto"/>
                <w:vertAlign w:val="subscript"/>
              </w:rPr>
              <w:t>0</w:t>
            </w:r>
            <w:r>
              <w:rPr>
                <w:color w:val="auto"/>
              </w:rPr>
              <w:t>处的声压级，dB；</w:t>
            </w:r>
          </w:p>
          <w:p w14:paraId="177AD3DD">
            <w:pPr>
              <w:pStyle w:val="22"/>
              <w:ind w:firstLine="1200" w:firstLineChars="500"/>
              <w:rPr>
                <w:color w:val="auto"/>
              </w:rPr>
            </w:pPr>
            <w:r>
              <w:rPr>
                <w:color w:val="auto"/>
              </w:rPr>
              <w:t>r——预测点距声源的距离；</w:t>
            </w:r>
          </w:p>
          <w:p w14:paraId="7AFA4EEB">
            <w:pPr>
              <w:pStyle w:val="22"/>
              <w:ind w:firstLine="1200" w:firstLineChars="500"/>
              <w:rPr>
                <w:color w:val="auto"/>
              </w:rPr>
            </w:pPr>
            <w:r>
              <w:rPr>
                <w:color w:val="auto"/>
              </w:rPr>
              <w:t>r</w:t>
            </w:r>
            <w:r>
              <w:rPr>
                <w:color w:val="auto"/>
                <w:vertAlign w:val="subscript"/>
              </w:rPr>
              <w:t>0</w:t>
            </w:r>
            <w:r>
              <w:rPr>
                <w:color w:val="auto"/>
              </w:rPr>
              <w:t>——参考位置距声源的距离。</w:t>
            </w:r>
          </w:p>
          <w:p w14:paraId="6A01D1D1">
            <w:pPr>
              <w:pStyle w:val="22"/>
              <w:ind w:firstLine="480"/>
              <w:rPr>
                <w:color w:val="auto"/>
              </w:rPr>
            </w:pPr>
            <w:r>
              <w:rPr>
                <w:color w:val="auto"/>
              </w:rPr>
              <w:t>④建设项目声源在预测点产生的等效声级贡献值（L</w:t>
            </w:r>
            <w:r>
              <w:rPr>
                <w:color w:val="auto"/>
                <w:vertAlign w:val="subscript"/>
              </w:rPr>
              <w:t>eqg</w:t>
            </w:r>
            <w:r>
              <w:rPr>
                <w:color w:val="auto"/>
              </w:rPr>
              <w:t>）计算公式：</w:t>
            </w:r>
          </w:p>
          <w:p w14:paraId="56B13D63">
            <w:pPr>
              <w:pStyle w:val="22"/>
              <w:ind w:firstLine="480"/>
              <w:rPr>
                <w:color w:val="auto"/>
              </w:rPr>
            </w:pPr>
            <m:oMathPara>
              <m:oMath>
                <m:sSub>
                  <m:sSubPr>
                    <m:ctrlPr>
                      <w:rPr>
                        <w:rFonts w:ascii="Cambria Math" w:hAnsi="Cambria Math"/>
                        <w:color w:val="auto"/>
                      </w:rPr>
                    </m:ctrlPr>
                  </m:sSubPr>
                  <m:e>
                    <m:r>
                      <m:rPr/>
                      <w:rPr>
                        <w:rFonts w:ascii="Cambria Math" w:hAnsi="Cambria Math"/>
                        <w:color w:val="auto"/>
                      </w:rPr>
                      <m:t>L</m:t>
                    </m:r>
                    <m:ctrlPr>
                      <w:rPr>
                        <w:rFonts w:ascii="Cambria Math" w:hAnsi="Cambria Math"/>
                        <w:color w:val="auto"/>
                      </w:rPr>
                    </m:ctrlPr>
                  </m:e>
                  <m:sub>
                    <m:r>
                      <m:rPr/>
                      <w:rPr>
                        <w:rFonts w:ascii="Cambria Math" w:hAnsi="Cambria Math"/>
                        <w:color w:val="auto"/>
                      </w:rPr>
                      <m:t>eqg</m:t>
                    </m:r>
                    <m:ctrlPr>
                      <w:rPr>
                        <w:rFonts w:ascii="Cambria Math" w:hAnsi="Cambria Math"/>
                        <w:color w:val="auto"/>
                      </w:rPr>
                    </m:ctrlPr>
                  </m:sub>
                </m:sSub>
                <m:r>
                  <m:rPr/>
                  <w:rPr>
                    <w:rFonts w:ascii="Cambria Math" w:hAnsi="Cambria Math"/>
                    <w:color w:val="auto"/>
                  </w:rPr>
                  <m:t>=10lg</m:t>
                </m:r>
                <m:d>
                  <m:dPr>
                    <m:begChr m:val="["/>
                    <m:endChr m:val="]"/>
                    <m:ctrlPr>
                      <w:rPr>
                        <w:rFonts w:ascii="Cambria Math" w:hAnsi="Cambria Math"/>
                        <w:i/>
                        <w:color w:val="auto"/>
                      </w:rPr>
                    </m:ctrlPr>
                  </m:dPr>
                  <m:e>
                    <m:f>
                      <m:fPr>
                        <m:ctrlPr>
                          <w:rPr>
                            <w:rFonts w:ascii="Cambria Math" w:hAnsi="Cambria Math"/>
                            <w:i/>
                            <w:color w:val="auto"/>
                          </w:rPr>
                        </m:ctrlPr>
                      </m:fPr>
                      <m:num>
                        <m:r>
                          <m:rPr/>
                          <w:rPr>
                            <w:rFonts w:ascii="Cambria Math" w:hAnsi="Cambria Math"/>
                            <w:color w:val="auto"/>
                          </w:rPr>
                          <m:t>1</m:t>
                        </m:r>
                        <m:ctrlPr>
                          <w:rPr>
                            <w:rFonts w:ascii="Cambria Math" w:hAnsi="Cambria Math"/>
                            <w:i/>
                            <w:color w:val="auto"/>
                          </w:rPr>
                        </m:ctrlPr>
                      </m:num>
                      <m:den>
                        <m:r>
                          <m:rPr/>
                          <w:rPr>
                            <w:rFonts w:ascii="Cambria Math" w:hAnsi="Cambria Math"/>
                            <w:color w:val="auto"/>
                          </w:rPr>
                          <m:t>T</m:t>
                        </m:r>
                        <m:ctrlPr>
                          <w:rPr>
                            <w:rFonts w:ascii="Cambria Math" w:hAnsi="Cambria Math"/>
                            <w:i/>
                            <w:color w:val="auto"/>
                          </w:rPr>
                        </m:ctrlPr>
                      </m:den>
                    </m:f>
                    <m:d>
                      <m:dPr>
                        <m:ctrlPr>
                          <w:rPr>
                            <w:rFonts w:ascii="Cambria Math" w:hAnsi="Cambria Math"/>
                            <w:i/>
                            <w:color w:val="auto"/>
                          </w:rPr>
                        </m:ctrlPr>
                      </m:dPr>
                      <m:e>
                        <m:nary>
                          <m:naryPr>
                            <m:chr m:val="∑"/>
                            <m:limLoc m:val="undOvr"/>
                            <m:ctrlPr>
                              <w:rPr>
                                <w:rFonts w:ascii="Cambria Math" w:hAnsi="Cambria Math"/>
                                <w:i/>
                                <w:color w:val="auto"/>
                              </w:rPr>
                            </m:ctrlPr>
                          </m:naryPr>
                          <m:sub>
                            <m:r>
                              <m:rPr/>
                              <w:rPr>
                                <w:rFonts w:ascii="Cambria Math" w:hAnsi="Cambria Math"/>
                                <w:color w:val="auto"/>
                              </w:rPr>
                              <m:t>i=1</m:t>
                            </m:r>
                            <m:ctrlPr>
                              <w:rPr>
                                <w:rFonts w:ascii="Cambria Math" w:hAnsi="Cambria Math"/>
                                <w:i/>
                                <w:color w:val="auto"/>
                              </w:rPr>
                            </m:ctrlPr>
                          </m:sub>
                          <m:sup>
                            <m:r>
                              <m:rPr/>
                              <w:rPr>
                                <w:rFonts w:ascii="Cambria Math" w:hAnsi="Cambria Math"/>
                                <w:color w:val="auto"/>
                              </w:rPr>
                              <m:t>N</m:t>
                            </m:r>
                            <m:ctrlPr>
                              <w:rPr>
                                <w:rFonts w:ascii="Cambria Math" w:hAnsi="Cambria Math"/>
                                <w:i/>
                                <w:color w:val="auto"/>
                              </w:rPr>
                            </m:ctrlPr>
                          </m:sup>
                          <m:e>
                            <m:sSup>
                              <m:sSupPr>
                                <m:ctrlPr>
                                  <w:rPr>
                                    <w:rFonts w:ascii="Cambria Math" w:hAnsi="Cambria Math"/>
                                    <w:i/>
                                    <w:color w:val="auto"/>
                                  </w:rPr>
                                </m:ctrlPr>
                              </m:sSupPr>
                              <m:e>
                                <m:sSub>
                                  <m:sSubPr>
                                    <m:ctrlPr>
                                      <w:rPr>
                                        <w:rFonts w:ascii="Cambria Math" w:hAnsi="Cambria Math"/>
                                        <w:i/>
                                        <w:color w:val="auto"/>
                                      </w:rPr>
                                    </m:ctrlPr>
                                  </m:sSubPr>
                                  <m:e>
                                    <m:r>
                                      <m:rPr/>
                                      <w:rPr>
                                        <w:rFonts w:ascii="Cambria Math" w:hAnsi="Cambria Math"/>
                                        <w:color w:val="auto"/>
                                      </w:rPr>
                                      <m:t>t</m:t>
                                    </m:r>
                                    <m:ctrlPr>
                                      <w:rPr>
                                        <w:rFonts w:ascii="Cambria Math" w:hAnsi="Cambria Math"/>
                                        <w:i/>
                                        <w:color w:val="auto"/>
                                      </w:rPr>
                                    </m:ctrlPr>
                                  </m:e>
                                  <m:sub>
                                    <m:r>
                                      <m:rPr/>
                                      <w:rPr>
                                        <w:rFonts w:ascii="Cambria Math" w:hAnsi="Cambria Math"/>
                                        <w:color w:val="auto"/>
                                      </w:rPr>
                                      <m:t>i</m:t>
                                    </m:r>
                                    <m:ctrlPr>
                                      <w:rPr>
                                        <w:rFonts w:ascii="Cambria Math" w:hAnsi="Cambria Math"/>
                                        <w:i/>
                                        <w:color w:val="auto"/>
                                      </w:rPr>
                                    </m:ctrlPr>
                                  </m:sub>
                                </m:sSub>
                                <m:r>
                                  <m:rPr/>
                                  <w:rPr>
                                    <w:rFonts w:ascii="Cambria Math" w:hAnsi="Cambria Math"/>
                                    <w:color w:val="auto"/>
                                  </w:rPr>
                                  <m:t>10</m:t>
                                </m:r>
                                <m:ctrlPr>
                                  <w:rPr>
                                    <w:rFonts w:ascii="Cambria Math" w:hAnsi="Cambria Math"/>
                                    <w:i/>
                                    <w:color w:val="auto"/>
                                  </w:rPr>
                                </m:ctrlPr>
                              </m:e>
                              <m:sup>
                                <m:r>
                                  <m:rPr/>
                                  <w:rPr>
                                    <w:rFonts w:ascii="Cambria Math" w:hAnsi="Cambria Math"/>
                                    <w:color w:val="auto"/>
                                  </w:rPr>
                                  <m:t>0.1</m:t>
                                </m:r>
                                <m:sSub>
                                  <m:sSubPr>
                                    <m:ctrlPr>
                                      <w:rPr>
                                        <w:rFonts w:ascii="Cambria Math" w:hAnsi="Cambria Math"/>
                                        <w:i/>
                                        <w:color w:val="auto"/>
                                      </w:rPr>
                                    </m:ctrlPr>
                                  </m:sSubPr>
                                  <m:e>
                                    <m:r>
                                      <m:rPr/>
                                      <w:rPr>
                                        <w:rFonts w:ascii="Cambria Math" w:hAnsi="Cambria Math"/>
                                        <w:color w:val="auto"/>
                                      </w:rPr>
                                      <m:t>L</m:t>
                                    </m:r>
                                    <m:ctrlPr>
                                      <w:rPr>
                                        <w:rFonts w:ascii="Cambria Math" w:hAnsi="Cambria Math"/>
                                        <w:i/>
                                        <w:color w:val="auto"/>
                                      </w:rPr>
                                    </m:ctrlPr>
                                  </m:e>
                                  <m:sub>
                                    <m:r>
                                      <m:rPr/>
                                      <w:rPr>
                                        <w:rFonts w:ascii="Cambria Math" w:hAnsi="Cambria Math"/>
                                        <w:color w:val="auto"/>
                                      </w:rPr>
                                      <m:t>Ai</m:t>
                                    </m:r>
                                    <m:ctrlPr>
                                      <w:rPr>
                                        <w:rFonts w:ascii="Cambria Math" w:hAnsi="Cambria Math"/>
                                        <w:i/>
                                        <w:color w:val="auto"/>
                                      </w:rPr>
                                    </m:ctrlPr>
                                  </m:sub>
                                </m:sSub>
                                <m:ctrlPr>
                                  <w:rPr>
                                    <w:rFonts w:ascii="Cambria Math" w:hAnsi="Cambria Math"/>
                                    <w:i/>
                                    <w:color w:val="auto"/>
                                  </w:rPr>
                                </m:ctrlPr>
                              </m:sup>
                            </m:sSup>
                            <m:ctrlPr>
                              <w:rPr>
                                <w:rFonts w:ascii="Cambria Math" w:hAnsi="Cambria Math"/>
                                <w:i/>
                                <w:color w:val="auto"/>
                              </w:rPr>
                            </m:ctrlPr>
                          </m:e>
                        </m:nary>
                        <m:r>
                          <m:rPr/>
                          <w:rPr>
                            <w:rFonts w:ascii="Cambria Math" w:hAnsi="Cambria Math"/>
                            <w:color w:val="auto"/>
                          </w:rPr>
                          <m:t>+</m:t>
                        </m:r>
                        <m:nary>
                          <m:naryPr>
                            <m:chr m:val="∑"/>
                            <m:limLoc m:val="undOvr"/>
                            <m:ctrlPr>
                              <w:rPr>
                                <w:rFonts w:ascii="Cambria Math" w:hAnsi="Cambria Math"/>
                                <w:i/>
                                <w:color w:val="auto"/>
                              </w:rPr>
                            </m:ctrlPr>
                          </m:naryPr>
                          <m:sub>
                            <m:r>
                              <m:rPr/>
                              <w:rPr>
                                <w:rFonts w:ascii="Cambria Math" w:hAnsi="Cambria Math"/>
                                <w:color w:val="auto"/>
                              </w:rPr>
                              <m:t>j=1</m:t>
                            </m:r>
                            <m:ctrlPr>
                              <w:rPr>
                                <w:rFonts w:ascii="Cambria Math" w:hAnsi="Cambria Math"/>
                                <w:i/>
                                <w:color w:val="auto"/>
                              </w:rPr>
                            </m:ctrlPr>
                          </m:sub>
                          <m:sup>
                            <m:r>
                              <m:rPr/>
                              <w:rPr>
                                <w:rFonts w:ascii="Cambria Math" w:hAnsi="Cambria Math"/>
                                <w:color w:val="auto"/>
                              </w:rPr>
                              <m:t>M</m:t>
                            </m:r>
                            <m:ctrlPr>
                              <w:rPr>
                                <w:rFonts w:ascii="Cambria Math" w:hAnsi="Cambria Math"/>
                                <w:i/>
                                <w:color w:val="auto"/>
                              </w:rPr>
                            </m:ctrlPr>
                          </m:sup>
                          <m:e>
                            <m:sSup>
                              <m:sSupPr>
                                <m:ctrlPr>
                                  <w:rPr>
                                    <w:rFonts w:ascii="Cambria Math" w:hAnsi="Cambria Math"/>
                                    <w:i/>
                                    <w:color w:val="auto"/>
                                  </w:rPr>
                                </m:ctrlPr>
                              </m:sSupPr>
                              <m:e>
                                <m:sSub>
                                  <m:sSubPr>
                                    <m:ctrlPr>
                                      <w:rPr>
                                        <w:rFonts w:ascii="Cambria Math" w:hAnsi="Cambria Math"/>
                                        <w:i/>
                                        <w:color w:val="auto"/>
                                      </w:rPr>
                                    </m:ctrlPr>
                                  </m:sSubPr>
                                  <m:e>
                                    <m:r>
                                      <m:rPr/>
                                      <w:rPr>
                                        <w:rFonts w:ascii="Cambria Math" w:hAnsi="Cambria Math"/>
                                        <w:color w:val="auto"/>
                                      </w:rPr>
                                      <m:t>t</m:t>
                                    </m:r>
                                    <m:ctrlPr>
                                      <w:rPr>
                                        <w:rFonts w:ascii="Cambria Math" w:hAnsi="Cambria Math"/>
                                        <w:i/>
                                        <w:color w:val="auto"/>
                                      </w:rPr>
                                    </m:ctrlPr>
                                  </m:e>
                                  <m:sub>
                                    <m:r>
                                      <m:rPr/>
                                      <w:rPr>
                                        <w:rFonts w:ascii="Cambria Math" w:hAnsi="Cambria Math"/>
                                        <w:color w:val="auto"/>
                                      </w:rPr>
                                      <m:t>j</m:t>
                                    </m:r>
                                    <m:ctrlPr>
                                      <w:rPr>
                                        <w:rFonts w:ascii="Cambria Math" w:hAnsi="Cambria Math"/>
                                        <w:i/>
                                        <w:color w:val="auto"/>
                                      </w:rPr>
                                    </m:ctrlPr>
                                  </m:sub>
                                </m:sSub>
                                <m:r>
                                  <m:rPr/>
                                  <w:rPr>
                                    <w:rFonts w:ascii="Cambria Math" w:hAnsi="Cambria Math"/>
                                    <w:color w:val="auto"/>
                                  </w:rPr>
                                  <m:t>10</m:t>
                                </m:r>
                                <m:ctrlPr>
                                  <w:rPr>
                                    <w:rFonts w:ascii="Cambria Math" w:hAnsi="Cambria Math"/>
                                    <w:i/>
                                    <w:color w:val="auto"/>
                                  </w:rPr>
                                </m:ctrlPr>
                              </m:e>
                              <m:sup>
                                <m:r>
                                  <m:rPr/>
                                  <w:rPr>
                                    <w:rFonts w:ascii="Cambria Math" w:hAnsi="Cambria Math"/>
                                    <w:color w:val="auto"/>
                                  </w:rPr>
                                  <m:t>0.1</m:t>
                                </m:r>
                                <m:sSub>
                                  <m:sSubPr>
                                    <m:ctrlPr>
                                      <w:rPr>
                                        <w:rFonts w:ascii="Cambria Math" w:hAnsi="Cambria Math"/>
                                        <w:i/>
                                        <w:color w:val="auto"/>
                                      </w:rPr>
                                    </m:ctrlPr>
                                  </m:sSubPr>
                                  <m:e>
                                    <m:r>
                                      <m:rPr/>
                                      <w:rPr>
                                        <w:rFonts w:ascii="Cambria Math" w:hAnsi="Cambria Math"/>
                                        <w:color w:val="auto"/>
                                      </w:rPr>
                                      <m:t>L</m:t>
                                    </m:r>
                                    <m:ctrlPr>
                                      <w:rPr>
                                        <w:rFonts w:ascii="Cambria Math" w:hAnsi="Cambria Math"/>
                                        <w:i/>
                                        <w:color w:val="auto"/>
                                      </w:rPr>
                                    </m:ctrlPr>
                                  </m:e>
                                  <m:sub>
                                    <m:r>
                                      <m:rPr/>
                                      <w:rPr>
                                        <w:rFonts w:ascii="Cambria Math" w:hAnsi="Cambria Math"/>
                                        <w:color w:val="auto"/>
                                      </w:rPr>
                                      <m:t>Aj</m:t>
                                    </m:r>
                                    <m:ctrlPr>
                                      <w:rPr>
                                        <w:rFonts w:ascii="Cambria Math" w:hAnsi="Cambria Math"/>
                                        <w:i/>
                                        <w:color w:val="auto"/>
                                      </w:rPr>
                                    </m:ctrlPr>
                                  </m:sub>
                                </m:sSub>
                                <m:ctrlPr>
                                  <w:rPr>
                                    <w:rFonts w:ascii="Cambria Math" w:hAnsi="Cambria Math"/>
                                    <w:i/>
                                    <w:color w:val="auto"/>
                                  </w:rPr>
                                </m:ctrlPr>
                              </m:sup>
                            </m:sSup>
                            <m:ctrlPr>
                              <w:rPr>
                                <w:rFonts w:ascii="Cambria Math" w:hAnsi="Cambria Math"/>
                                <w:i/>
                                <w:color w:val="auto"/>
                              </w:rPr>
                            </m:ctrlPr>
                          </m:e>
                        </m:nary>
                        <m:ctrlPr>
                          <w:rPr>
                            <w:rFonts w:ascii="Cambria Math" w:hAnsi="Cambria Math"/>
                            <w:i/>
                            <w:color w:val="auto"/>
                          </w:rPr>
                        </m:ctrlPr>
                      </m:e>
                    </m:d>
                    <m:ctrlPr>
                      <w:rPr>
                        <w:rFonts w:ascii="Cambria Math" w:hAnsi="Cambria Math"/>
                        <w:i/>
                        <w:color w:val="auto"/>
                      </w:rPr>
                    </m:ctrlPr>
                  </m:e>
                </m:d>
              </m:oMath>
            </m:oMathPara>
          </w:p>
          <w:p w14:paraId="4374575F">
            <w:pPr>
              <w:pStyle w:val="22"/>
              <w:ind w:firstLine="480"/>
              <w:rPr>
                <w:color w:val="auto"/>
              </w:rPr>
            </w:pPr>
            <w:r>
              <w:rPr>
                <w:color w:val="auto"/>
              </w:rPr>
              <w:t>式中：L</w:t>
            </w:r>
            <w:r>
              <w:rPr>
                <w:color w:val="auto"/>
                <w:vertAlign w:val="subscript"/>
              </w:rPr>
              <w:t>eqg</w:t>
            </w:r>
            <w:r>
              <w:rPr>
                <w:color w:val="auto"/>
              </w:rPr>
              <w:t>——建设项目声源在预测点的噪声贡献值，dB；</w:t>
            </w:r>
          </w:p>
          <w:p w14:paraId="1E1D6393">
            <w:pPr>
              <w:pStyle w:val="22"/>
              <w:ind w:firstLine="1200" w:firstLineChars="500"/>
              <w:rPr>
                <w:color w:val="auto"/>
              </w:rPr>
            </w:pPr>
            <w:r>
              <w:rPr>
                <w:color w:val="auto"/>
              </w:rPr>
              <w:t>T——用于计算等效声级的时间，s；</w:t>
            </w:r>
          </w:p>
          <w:p w14:paraId="7191D483">
            <w:pPr>
              <w:pStyle w:val="22"/>
              <w:ind w:firstLine="1200" w:firstLineChars="500"/>
              <w:rPr>
                <w:color w:val="auto"/>
              </w:rPr>
            </w:pPr>
            <w:r>
              <w:rPr>
                <w:color w:val="auto"/>
              </w:rPr>
              <w:t>N——室外声源个数；</w:t>
            </w:r>
          </w:p>
          <w:p w14:paraId="05FEEB13">
            <w:pPr>
              <w:pStyle w:val="22"/>
              <w:ind w:firstLine="1200" w:firstLineChars="500"/>
              <w:rPr>
                <w:color w:val="auto"/>
              </w:rPr>
            </w:pPr>
            <w:r>
              <w:rPr>
                <w:rFonts w:hint="eastAsia"/>
                <w:color w:val="auto"/>
              </w:rPr>
              <w:t>t</w:t>
            </w:r>
            <w:r>
              <w:rPr>
                <w:color w:val="auto"/>
                <w:vertAlign w:val="subscript"/>
              </w:rPr>
              <w:t>i</w:t>
            </w:r>
            <w:r>
              <w:rPr>
                <w:color w:val="auto"/>
              </w:rPr>
              <w:t>——在T时间内i声源工作时间，s；</w:t>
            </w:r>
          </w:p>
          <w:p w14:paraId="174772A7">
            <w:pPr>
              <w:pStyle w:val="22"/>
              <w:ind w:firstLine="1200" w:firstLineChars="500"/>
              <w:rPr>
                <w:color w:val="auto"/>
              </w:rPr>
            </w:pPr>
            <w:r>
              <w:rPr>
                <w:color w:val="auto"/>
              </w:rPr>
              <w:t>M——等效室外声源个数；</w:t>
            </w:r>
          </w:p>
          <w:p w14:paraId="15E4DE33">
            <w:pPr>
              <w:pStyle w:val="22"/>
              <w:ind w:firstLine="1200" w:firstLineChars="500"/>
              <w:rPr>
                <w:rFonts w:hint="default"/>
                <w:b/>
                <w:bCs/>
                <w:color w:val="auto"/>
                <w:u w:val="none" w:color="auto"/>
                <w:lang w:val="en-US" w:eastAsia="zh-CN"/>
              </w:rPr>
            </w:pPr>
            <w:r>
              <w:rPr>
                <w:color w:val="auto"/>
              </w:rPr>
              <w:t>T</w:t>
            </w:r>
            <w:r>
              <w:rPr>
                <w:color w:val="auto"/>
                <w:vertAlign w:val="subscript"/>
              </w:rPr>
              <w:t>j</w:t>
            </w:r>
            <w:r>
              <w:rPr>
                <w:color w:val="auto"/>
              </w:rPr>
              <w:t>——在T时间内j声源工作时间，s。</w:t>
            </w:r>
          </w:p>
          <w:p w14:paraId="62A93B68">
            <w:pPr>
              <w:pStyle w:val="22"/>
              <w:bidi w:val="0"/>
              <w:rPr>
                <w:rFonts w:hint="default"/>
                <w:b/>
                <w:bCs/>
                <w:color w:val="auto"/>
                <w:u w:val="none" w:color="auto"/>
                <w:lang w:val="en-US" w:eastAsia="zh-CN"/>
              </w:rPr>
            </w:pPr>
            <w:r>
              <w:rPr>
                <w:rFonts w:hint="default"/>
                <w:b/>
                <w:bCs/>
                <w:color w:val="auto"/>
                <w:u w:val="none" w:color="auto"/>
                <w:lang w:val="en-US" w:eastAsia="zh-CN"/>
              </w:rPr>
              <w:t>3</w:t>
            </w:r>
            <w:r>
              <w:rPr>
                <w:rFonts w:hint="eastAsia"/>
                <w:b/>
                <w:bCs/>
                <w:color w:val="auto"/>
                <w:u w:val="none" w:color="auto"/>
                <w:lang w:val="en-US" w:eastAsia="zh-CN"/>
              </w:rPr>
              <w:t>.2.2</w:t>
            </w:r>
            <w:r>
              <w:rPr>
                <w:rFonts w:hint="default"/>
                <w:b/>
                <w:bCs/>
                <w:color w:val="auto"/>
                <w:u w:val="none" w:color="auto"/>
                <w:lang w:val="en-US" w:eastAsia="zh-CN"/>
              </w:rPr>
              <w:t>预测结果</w:t>
            </w:r>
          </w:p>
          <w:p w14:paraId="41846625">
            <w:pPr>
              <w:pStyle w:val="22"/>
              <w:bidi w:val="0"/>
              <w:rPr>
                <w:rFonts w:hint="eastAsia"/>
                <w:color w:val="auto"/>
                <w:u w:val="none" w:color="auto"/>
                <w:lang w:val="en-US" w:eastAsia="zh-CN"/>
              </w:rPr>
            </w:pPr>
            <w:r>
              <w:rPr>
                <w:rFonts w:hint="default"/>
                <w:color w:val="auto"/>
                <w:u w:val="none" w:color="auto"/>
                <w:lang w:val="en-US" w:eastAsia="zh-CN"/>
              </w:rPr>
              <w:t>通过对建设项目噪声源强及噪声的防治措施和衰减特性分析，本项目对各厂界噪声影响结果见下表。</w:t>
            </w:r>
          </w:p>
          <w:p w14:paraId="015CF0D2">
            <w:pPr>
              <w:pStyle w:val="23"/>
              <w:bidi w:val="0"/>
              <w:rPr>
                <w:rFonts w:hint="default"/>
                <w:color w:val="auto"/>
                <w:u w:val="none" w:color="auto"/>
                <w:lang w:val="en-US" w:eastAsia="zh-CN"/>
              </w:rPr>
            </w:pPr>
            <w:r>
              <w:rPr>
                <w:rFonts w:hint="eastAsia"/>
                <w:color w:val="auto"/>
                <w:u w:val="none" w:color="auto"/>
                <w:lang w:val="en-US" w:eastAsia="zh-CN"/>
              </w:rPr>
              <w:t>表4-9  厂界噪声预测结果一览表（单位</w:t>
            </w:r>
            <w:r>
              <w:rPr>
                <w:rFonts w:hint="eastAsia"/>
                <w:color w:val="auto"/>
              </w:rPr>
              <w:t>dB（A）</w:t>
            </w:r>
            <w:r>
              <w:rPr>
                <w:rFonts w:hint="eastAsia"/>
                <w:color w:val="auto"/>
                <w:u w:val="none" w:color="auto"/>
                <w:lang w:val="en-US" w:eastAsia="zh-CN"/>
              </w:rPr>
              <w:t>）</w:t>
            </w:r>
          </w:p>
          <w:tbl>
            <w:tblPr>
              <w:tblStyle w:val="1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2"/>
              <w:gridCol w:w="1827"/>
              <w:gridCol w:w="1545"/>
              <w:gridCol w:w="1428"/>
              <w:gridCol w:w="738"/>
              <w:gridCol w:w="813"/>
            </w:tblGrid>
            <w:tr w14:paraId="7FA3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pct"/>
                  <w:vAlign w:val="center"/>
                </w:tcPr>
                <w:p w14:paraId="32A29045">
                  <w:pPr>
                    <w:pStyle w:val="24"/>
                    <w:jc w:val="center"/>
                    <w:rPr>
                      <w:color w:val="auto"/>
                      <w:u w:val="single"/>
                    </w:rPr>
                  </w:pPr>
                  <w:r>
                    <w:rPr>
                      <w:rFonts w:hint="eastAsia"/>
                      <w:color w:val="auto"/>
                      <w:u w:val="single"/>
                    </w:rPr>
                    <w:t>位置</w:t>
                  </w:r>
                </w:p>
              </w:tc>
              <w:tc>
                <w:tcPr>
                  <w:tcW w:w="1158" w:type="pct"/>
                  <w:vAlign w:val="center"/>
                </w:tcPr>
                <w:p w14:paraId="10A2DFF6">
                  <w:pPr>
                    <w:pStyle w:val="24"/>
                    <w:jc w:val="center"/>
                    <w:rPr>
                      <w:color w:val="auto"/>
                      <w:u w:val="single"/>
                    </w:rPr>
                  </w:pPr>
                  <w:r>
                    <w:rPr>
                      <w:color w:val="auto"/>
                      <w:u w:val="single"/>
                    </w:rPr>
                    <w:t>预测点坐标X/Y/Z（m）</w:t>
                  </w:r>
                </w:p>
              </w:tc>
              <w:tc>
                <w:tcPr>
                  <w:tcW w:w="979" w:type="pct"/>
                  <w:vAlign w:val="center"/>
                </w:tcPr>
                <w:p w14:paraId="66397DD1">
                  <w:pPr>
                    <w:pStyle w:val="24"/>
                    <w:jc w:val="center"/>
                    <w:rPr>
                      <w:color w:val="auto"/>
                      <w:u w:val="single"/>
                    </w:rPr>
                  </w:pPr>
                  <w:r>
                    <w:rPr>
                      <w:color w:val="auto"/>
                      <w:u w:val="single"/>
                    </w:rPr>
                    <w:t>贡献值</w:t>
                  </w:r>
                </w:p>
              </w:tc>
              <w:tc>
                <w:tcPr>
                  <w:tcW w:w="905" w:type="pct"/>
                  <w:vAlign w:val="center"/>
                </w:tcPr>
                <w:p w14:paraId="1A05F329">
                  <w:pPr>
                    <w:pStyle w:val="24"/>
                    <w:jc w:val="center"/>
                    <w:rPr>
                      <w:rFonts w:hint="eastAsia" w:cs="Times New Roman"/>
                      <w:color w:val="auto"/>
                      <w:u w:val="single" w:color="auto"/>
                      <w:lang w:val="en-US" w:eastAsia="zh-CN"/>
                    </w:rPr>
                  </w:pPr>
                  <w:r>
                    <w:rPr>
                      <w:rFonts w:hint="eastAsia" w:cs="Times New Roman"/>
                      <w:color w:val="auto"/>
                      <w:u w:val="single" w:color="auto"/>
                      <w:lang w:val="en-US" w:eastAsia="zh-CN"/>
                    </w:rPr>
                    <w:t>预测值（昼间）</w:t>
                  </w:r>
                </w:p>
              </w:tc>
              <w:tc>
                <w:tcPr>
                  <w:tcW w:w="468" w:type="pct"/>
                  <w:vAlign w:val="center"/>
                </w:tcPr>
                <w:p w14:paraId="77D5097C">
                  <w:pPr>
                    <w:pStyle w:val="24"/>
                    <w:jc w:val="center"/>
                    <w:rPr>
                      <w:color w:val="auto"/>
                      <w:u w:val="single"/>
                    </w:rPr>
                  </w:pPr>
                  <w:r>
                    <w:rPr>
                      <w:rFonts w:hint="eastAsia"/>
                      <w:color w:val="auto"/>
                      <w:u w:val="single"/>
                    </w:rPr>
                    <w:t>标准限值</w:t>
                  </w:r>
                </w:p>
              </w:tc>
              <w:tc>
                <w:tcPr>
                  <w:tcW w:w="515" w:type="pct"/>
                  <w:vAlign w:val="center"/>
                </w:tcPr>
                <w:p w14:paraId="274D6AF2">
                  <w:pPr>
                    <w:pStyle w:val="24"/>
                    <w:jc w:val="center"/>
                    <w:rPr>
                      <w:color w:val="auto"/>
                      <w:u w:val="single"/>
                    </w:rPr>
                  </w:pPr>
                  <w:r>
                    <w:rPr>
                      <w:rFonts w:hint="eastAsia"/>
                      <w:color w:val="auto"/>
                      <w:u w:val="single"/>
                    </w:rPr>
                    <w:t>达标情况</w:t>
                  </w:r>
                </w:p>
              </w:tc>
            </w:tr>
            <w:tr w14:paraId="57746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pct"/>
                  <w:vAlign w:val="center"/>
                </w:tcPr>
                <w:p w14:paraId="7B4BA699">
                  <w:pPr>
                    <w:pStyle w:val="24"/>
                    <w:jc w:val="center"/>
                    <w:rPr>
                      <w:color w:val="auto"/>
                      <w:u w:val="single"/>
                    </w:rPr>
                  </w:pPr>
                  <w:r>
                    <w:rPr>
                      <w:rFonts w:hint="eastAsia"/>
                      <w:color w:val="auto"/>
                      <w:u w:val="single"/>
                    </w:rPr>
                    <w:t>厂界东北侧</w:t>
                  </w:r>
                </w:p>
              </w:tc>
              <w:tc>
                <w:tcPr>
                  <w:tcW w:w="1158" w:type="pct"/>
                  <w:vAlign w:val="center"/>
                </w:tcPr>
                <w:p w14:paraId="3B9F8C97">
                  <w:pPr>
                    <w:pStyle w:val="24"/>
                    <w:jc w:val="center"/>
                    <w:rPr>
                      <w:color w:val="auto"/>
                      <w:u w:val="single"/>
                    </w:rPr>
                  </w:pPr>
                  <w:r>
                    <w:rPr>
                      <w:rFonts w:hint="eastAsia"/>
                      <w:color w:val="auto"/>
                      <w:u w:val="single"/>
                      <w:lang w:val="en-US" w:eastAsia="zh-CN"/>
                    </w:rPr>
                    <w:t>108</w:t>
                  </w:r>
                  <w:r>
                    <w:rPr>
                      <w:rFonts w:hint="eastAsia"/>
                      <w:color w:val="auto"/>
                      <w:u w:val="single"/>
                    </w:rPr>
                    <w:t>/</w:t>
                  </w:r>
                  <w:r>
                    <w:rPr>
                      <w:rFonts w:hint="eastAsia"/>
                      <w:color w:val="auto"/>
                      <w:u w:val="single"/>
                      <w:lang w:val="en-US" w:eastAsia="zh-CN"/>
                    </w:rPr>
                    <w:t>126.5</w:t>
                  </w:r>
                  <w:r>
                    <w:rPr>
                      <w:rFonts w:hint="eastAsia"/>
                      <w:color w:val="auto"/>
                      <w:u w:val="single"/>
                    </w:rPr>
                    <w:t>/1.2</w:t>
                  </w:r>
                </w:p>
              </w:tc>
              <w:tc>
                <w:tcPr>
                  <w:tcW w:w="979" w:type="pct"/>
                  <w:vAlign w:val="center"/>
                </w:tcPr>
                <w:p w14:paraId="08B6A555">
                  <w:pPr>
                    <w:pStyle w:val="24"/>
                    <w:jc w:val="center"/>
                    <w:rPr>
                      <w:rFonts w:hint="default" w:eastAsia="宋体"/>
                      <w:color w:val="auto"/>
                      <w:u w:val="single"/>
                      <w:lang w:val="en-US" w:eastAsia="zh-CN"/>
                    </w:rPr>
                  </w:pPr>
                  <w:r>
                    <w:rPr>
                      <w:rFonts w:hint="eastAsia"/>
                      <w:color w:val="auto"/>
                      <w:u w:val="single"/>
                      <w:lang w:val="en-US" w:eastAsia="zh-CN"/>
                    </w:rPr>
                    <w:t>56.1</w:t>
                  </w:r>
                </w:p>
              </w:tc>
              <w:tc>
                <w:tcPr>
                  <w:tcW w:w="1428" w:type="dxa"/>
                  <w:vAlign w:val="center"/>
                </w:tcPr>
                <w:p w14:paraId="57212192">
                  <w:pPr>
                    <w:pStyle w:val="24"/>
                    <w:ind w:firstLine="0" w:firstLineChars="0"/>
                    <w:jc w:val="center"/>
                    <w:rPr>
                      <w:rFonts w:hint="default"/>
                      <w:color w:val="auto"/>
                      <w:u w:val="single"/>
                      <w:lang w:val="en-US" w:eastAsia="zh-CN"/>
                    </w:rPr>
                  </w:pPr>
                  <w:r>
                    <w:rPr>
                      <w:rFonts w:hint="eastAsia"/>
                      <w:color w:val="auto"/>
                      <w:u w:val="single"/>
                      <w:lang w:val="en-US" w:eastAsia="zh-CN"/>
                    </w:rPr>
                    <w:t>56.1</w:t>
                  </w:r>
                </w:p>
              </w:tc>
              <w:tc>
                <w:tcPr>
                  <w:tcW w:w="468" w:type="pct"/>
                  <w:vAlign w:val="center"/>
                </w:tcPr>
                <w:p w14:paraId="50184AD4">
                  <w:pPr>
                    <w:pStyle w:val="24"/>
                    <w:jc w:val="center"/>
                    <w:rPr>
                      <w:rFonts w:hint="eastAsia" w:eastAsia="宋体"/>
                      <w:color w:val="auto"/>
                      <w:u w:val="single"/>
                      <w:lang w:val="en-US" w:eastAsia="zh-CN"/>
                    </w:rPr>
                  </w:pPr>
                  <w:r>
                    <w:rPr>
                      <w:rFonts w:hint="eastAsia"/>
                      <w:color w:val="auto"/>
                      <w:u w:val="single"/>
                    </w:rPr>
                    <w:t>6</w:t>
                  </w:r>
                  <w:r>
                    <w:rPr>
                      <w:rFonts w:hint="eastAsia"/>
                      <w:color w:val="auto"/>
                      <w:u w:val="single"/>
                      <w:lang w:val="en-US" w:eastAsia="zh-CN"/>
                    </w:rPr>
                    <w:t>5</w:t>
                  </w:r>
                </w:p>
              </w:tc>
              <w:tc>
                <w:tcPr>
                  <w:tcW w:w="515" w:type="pct"/>
                  <w:vAlign w:val="center"/>
                </w:tcPr>
                <w:p w14:paraId="4BA2BC8C">
                  <w:pPr>
                    <w:pStyle w:val="24"/>
                    <w:jc w:val="center"/>
                    <w:rPr>
                      <w:color w:val="auto"/>
                      <w:u w:val="single"/>
                    </w:rPr>
                  </w:pPr>
                  <w:r>
                    <w:rPr>
                      <w:rFonts w:hint="eastAsia"/>
                      <w:color w:val="auto"/>
                      <w:u w:val="single"/>
                    </w:rPr>
                    <w:t>达标</w:t>
                  </w:r>
                </w:p>
              </w:tc>
            </w:tr>
            <w:tr w14:paraId="5B92A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pct"/>
                  <w:vAlign w:val="center"/>
                </w:tcPr>
                <w:p w14:paraId="4981BFE9">
                  <w:pPr>
                    <w:pStyle w:val="24"/>
                    <w:jc w:val="center"/>
                    <w:rPr>
                      <w:color w:val="auto"/>
                      <w:u w:val="single"/>
                    </w:rPr>
                  </w:pPr>
                  <w:r>
                    <w:rPr>
                      <w:color w:val="auto"/>
                      <w:u w:val="single"/>
                    </w:rPr>
                    <w:t>厂界东南侧</w:t>
                  </w:r>
                </w:p>
              </w:tc>
              <w:tc>
                <w:tcPr>
                  <w:tcW w:w="1158" w:type="pct"/>
                  <w:vAlign w:val="center"/>
                </w:tcPr>
                <w:p w14:paraId="71D88E27">
                  <w:pPr>
                    <w:pStyle w:val="24"/>
                    <w:jc w:val="center"/>
                    <w:rPr>
                      <w:color w:val="auto"/>
                      <w:u w:val="single"/>
                    </w:rPr>
                  </w:pPr>
                  <w:r>
                    <w:rPr>
                      <w:rFonts w:hint="eastAsia"/>
                      <w:color w:val="auto"/>
                      <w:u w:val="single"/>
                      <w:lang w:val="en-US" w:eastAsia="zh-CN"/>
                    </w:rPr>
                    <w:t>108</w:t>
                  </w:r>
                  <w:r>
                    <w:rPr>
                      <w:rFonts w:hint="eastAsia"/>
                      <w:color w:val="auto"/>
                      <w:u w:val="single"/>
                    </w:rPr>
                    <w:t>/</w:t>
                  </w:r>
                  <w:r>
                    <w:rPr>
                      <w:rFonts w:hint="eastAsia"/>
                      <w:color w:val="auto"/>
                      <w:u w:val="single"/>
                      <w:lang w:val="en-US" w:eastAsia="zh-CN"/>
                    </w:rPr>
                    <w:t>0</w:t>
                  </w:r>
                  <w:r>
                    <w:rPr>
                      <w:rFonts w:hint="eastAsia"/>
                      <w:color w:val="auto"/>
                      <w:u w:val="single"/>
                    </w:rPr>
                    <w:t>/1.2</w:t>
                  </w:r>
                </w:p>
              </w:tc>
              <w:tc>
                <w:tcPr>
                  <w:tcW w:w="979" w:type="pct"/>
                  <w:vAlign w:val="center"/>
                </w:tcPr>
                <w:p w14:paraId="0D1EB0F9">
                  <w:pPr>
                    <w:pStyle w:val="24"/>
                    <w:jc w:val="center"/>
                    <w:rPr>
                      <w:rFonts w:hint="default" w:eastAsia="宋体"/>
                      <w:color w:val="auto"/>
                      <w:u w:val="single"/>
                      <w:lang w:val="en-US" w:eastAsia="zh-CN"/>
                    </w:rPr>
                  </w:pPr>
                  <w:r>
                    <w:rPr>
                      <w:rFonts w:hint="eastAsia"/>
                      <w:color w:val="auto"/>
                      <w:u w:val="single"/>
                      <w:lang w:val="en-US" w:eastAsia="zh-CN"/>
                    </w:rPr>
                    <w:t>52.3</w:t>
                  </w:r>
                </w:p>
              </w:tc>
              <w:tc>
                <w:tcPr>
                  <w:tcW w:w="1428" w:type="dxa"/>
                  <w:vAlign w:val="center"/>
                </w:tcPr>
                <w:p w14:paraId="51ABEF33">
                  <w:pPr>
                    <w:pStyle w:val="24"/>
                    <w:ind w:firstLine="0" w:firstLineChars="0"/>
                    <w:jc w:val="center"/>
                    <w:rPr>
                      <w:rFonts w:hint="default"/>
                      <w:color w:val="auto"/>
                      <w:u w:val="single"/>
                      <w:lang w:val="en-US" w:eastAsia="zh-CN"/>
                    </w:rPr>
                  </w:pPr>
                  <w:r>
                    <w:rPr>
                      <w:rFonts w:hint="eastAsia"/>
                      <w:color w:val="auto"/>
                      <w:u w:val="single"/>
                      <w:lang w:val="en-US" w:eastAsia="zh-CN"/>
                    </w:rPr>
                    <w:t>52.3</w:t>
                  </w:r>
                </w:p>
              </w:tc>
              <w:tc>
                <w:tcPr>
                  <w:tcW w:w="468" w:type="pct"/>
                  <w:vAlign w:val="center"/>
                </w:tcPr>
                <w:p w14:paraId="27A02E26">
                  <w:pPr>
                    <w:pStyle w:val="24"/>
                    <w:jc w:val="center"/>
                    <w:rPr>
                      <w:rFonts w:hint="eastAsia" w:eastAsia="宋体"/>
                      <w:color w:val="auto"/>
                      <w:u w:val="single"/>
                      <w:lang w:val="en-US" w:eastAsia="zh-CN"/>
                    </w:rPr>
                  </w:pPr>
                  <w:r>
                    <w:rPr>
                      <w:rFonts w:hint="eastAsia"/>
                      <w:color w:val="auto"/>
                      <w:u w:val="single"/>
                    </w:rPr>
                    <w:t>6</w:t>
                  </w:r>
                  <w:r>
                    <w:rPr>
                      <w:rFonts w:hint="eastAsia"/>
                      <w:color w:val="auto"/>
                      <w:u w:val="single"/>
                      <w:lang w:val="en-US" w:eastAsia="zh-CN"/>
                    </w:rPr>
                    <w:t>5</w:t>
                  </w:r>
                </w:p>
              </w:tc>
              <w:tc>
                <w:tcPr>
                  <w:tcW w:w="515" w:type="pct"/>
                  <w:vAlign w:val="center"/>
                </w:tcPr>
                <w:p w14:paraId="35E48EA2">
                  <w:pPr>
                    <w:pStyle w:val="24"/>
                    <w:jc w:val="center"/>
                    <w:rPr>
                      <w:color w:val="auto"/>
                      <w:u w:val="single"/>
                    </w:rPr>
                  </w:pPr>
                  <w:r>
                    <w:rPr>
                      <w:rFonts w:hint="eastAsia"/>
                      <w:color w:val="auto"/>
                      <w:u w:val="single"/>
                    </w:rPr>
                    <w:t>达标</w:t>
                  </w:r>
                </w:p>
              </w:tc>
            </w:tr>
            <w:tr w14:paraId="53FD1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pct"/>
                  <w:vAlign w:val="center"/>
                </w:tcPr>
                <w:p w14:paraId="54B355EF">
                  <w:pPr>
                    <w:pStyle w:val="24"/>
                    <w:jc w:val="center"/>
                    <w:rPr>
                      <w:color w:val="auto"/>
                      <w:u w:val="single"/>
                    </w:rPr>
                  </w:pPr>
                  <w:r>
                    <w:rPr>
                      <w:color w:val="auto"/>
                      <w:u w:val="single"/>
                    </w:rPr>
                    <w:t>厂界西南侧</w:t>
                  </w:r>
                </w:p>
              </w:tc>
              <w:tc>
                <w:tcPr>
                  <w:tcW w:w="1158" w:type="pct"/>
                  <w:vAlign w:val="center"/>
                </w:tcPr>
                <w:p w14:paraId="68622DDD">
                  <w:pPr>
                    <w:pStyle w:val="24"/>
                    <w:jc w:val="center"/>
                    <w:rPr>
                      <w:color w:val="auto"/>
                      <w:u w:val="single"/>
                    </w:rPr>
                  </w:pPr>
                  <w:r>
                    <w:rPr>
                      <w:rFonts w:hint="eastAsia"/>
                      <w:color w:val="auto"/>
                      <w:u w:val="single"/>
                      <w:lang w:val="en-US" w:eastAsia="zh-CN"/>
                    </w:rPr>
                    <w:t>0</w:t>
                  </w:r>
                  <w:r>
                    <w:rPr>
                      <w:rFonts w:hint="eastAsia"/>
                      <w:color w:val="auto"/>
                      <w:u w:val="single"/>
                    </w:rPr>
                    <w:t>/</w:t>
                  </w:r>
                  <w:r>
                    <w:rPr>
                      <w:rFonts w:hint="eastAsia"/>
                      <w:color w:val="auto"/>
                      <w:u w:val="single"/>
                      <w:lang w:val="en-US" w:eastAsia="zh-CN"/>
                    </w:rPr>
                    <w:t>0</w:t>
                  </w:r>
                  <w:r>
                    <w:rPr>
                      <w:rFonts w:hint="eastAsia"/>
                      <w:color w:val="auto"/>
                      <w:u w:val="single"/>
                    </w:rPr>
                    <w:t>/1.2</w:t>
                  </w:r>
                </w:p>
              </w:tc>
              <w:tc>
                <w:tcPr>
                  <w:tcW w:w="979" w:type="pct"/>
                  <w:vAlign w:val="center"/>
                </w:tcPr>
                <w:p w14:paraId="01BD325E">
                  <w:pPr>
                    <w:pStyle w:val="24"/>
                    <w:jc w:val="center"/>
                    <w:rPr>
                      <w:rFonts w:hint="default" w:eastAsia="宋体"/>
                      <w:color w:val="auto"/>
                      <w:u w:val="single"/>
                      <w:lang w:val="en-US" w:eastAsia="zh-CN"/>
                    </w:rPr>
                  </w:pPr>
                  <w:r>
                    <w:rPr>
                      <w:rFonts w:hint="eastAsia"/>
                      <w:color w:val="auto"/>
                      <w:u w:val="single"/>
                      <w:lang w:val="en-US" w:eastAsia="zh-CN"/>
                    </w:rPr>
                    <w:t>55.5</w:t>
                  </w:r>
                </w:p>
              </w:tc>
              <w:tc>
                <w:tcPr>
                  <w:tcW w:w="1428" w:type="dxa"/>
                  <w:vAlign w:val="center"/>
                </w:tcPr>
                <w:p w14:paraId="67B7D688">
                  <w:pPr>
                    <w:pStyle w:val="24"/>
                    <w:ind w:firstLine="0" w:firstLineChars="0"/>
                    <w:jc w:val="center"/>
                    <w:rPr>
                      <w:rFonts w:hint="default" w:eastAsia="宋体"/>
                      <w:color w:val="auto"/>
                      <w:u w:val="single"/>
                      <w:lang w:val="en-US" w:eastAsia="zh-CN"/>
                    </w:rPr>
                  </w:pPr>
                  <w:r>
                    <w:rPr>
                      <w:rFonts w:hint="eastAsia"/>
                      <w:color w:val="auto"/>
                      <w:u w:val="single"/>
                      <w:lang w:val="en-US" w:eastAsia="zh-CN"/>
                    </w:rPr>
                    <w:t>55.5</w:t>
                  </w:r>
                </w:p>
              </w:tc>
              <w:tc>
                <w:tcPr>
                  <w:tcW w:w="468" w:type="pct"/>
                  <w:vAlign w:val="center"/>
                </w:tcPr>
                <w:p w14:paraId="2204FC95">
                  <w:pPr>
                    <w:pStyle w:val="24"/>
                    <w:jc w:val="center"/>
                    <w:rPr>
                      <w:rFonts w:hint="eastAsia" w:eastAsia="宋体"/>
                      <w:color w:val="auto"/>
                      <w:u w:val="single"/>
                      <w:lang w:val="en-US" w:eastAsia="zh-CN"/>
                    </w:rPr>
                  </w:pPr>
                  <w:r>
                    <w:rPr>
                      <w:rFonts w:hint="eastAsia"/>
                      <w:color w:val="auto"/>
                      <w:u w:val="single"/>
                    </w:rPr>
                    <w:t>6</w:t>
                  </w:r>
                  <w:r>
                    <w:rPr>
                      <w:rFonts w:hint="eastAsia"/>
                      <w:color w:val="auto"/>
                      <w:u w:val="single"/>
                      <w:lang w:val="en-US" w:eastAsia="zh-CN"/>
                    </w:rPr>
                    <w:t>5</w:t>
                  </w:r>
                </w:p>
              </w:tc>
              <w:tc>
                <w:tcPr>
                  <w:tcW w:w="515" w:type="pct"/>
                  <w:vAlign w:val="center"/>
                </w:tcPr>
                <w:p w14:paraId="7D64CF63">
                  <w:pPr>
                    <w:pStyle w:val="24"/>
                    <w:jc w:val="center"/>
                    <w:rPr>
                      <w:color w:val="auto"/>
                      <w:u w:val="single"/>
                    </w:rPr>
                  </w:pPr>
                  <w:r>
                    <w:rPr>
                      <w:rFonts w:hint="eastAsia"/>
                      <w:color w:val="auto"/>
                      <w:u w:val="single"/>
                    </w:rPr>
                    <w:t>达标</w:t>
                  </w:r>
                </w:p>
              </w:tc>
            </w:tr>
            <w:tr w14:paraId="746FB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 w:type="pct"/>
                  <w:vAlign w:val="center"/>
                </w:tcPr>
                <w:p w14:paraId="25CDF51D">
                  <w:pPr>
                    <w:pStyle w:val="24"/>
                    <w:jc w:val="center"/>
                    <w:rPr>
                      <w:color w:val="auto"/>
                      <w:u w:val="single"/>
                    </w:rPr>
                  </w:pPr>
                  <w:r>
                    <w:rPr>
                      <w:color w:val="auto"/>
                      <w:u w:val="single"/>
                    </w:rPr>
                    <w:t>厂界西北侧</w:t>
                  </w:r>
                </w:p>
              </w:tc>
              <w:tc>
                <w:tcPr>
                  <w:tcW w:w="1158" w:type="pct"/>
                  <w:vAlign w:val="center"/>
                </w:tcPr>
                <w:p w14:paraId="081B795F">
                  <w:pPr>
                    <w:pStyle w:val="24"/>
                    <w:jc w:val="center"/>
                    <w:rPr>
                      <w:color w:val="auto"/>
                      <w:u w:val="single"/>
                    </w:rPr>
                  </w:pPr>
                  <w:r>
                    <w:rPr>
                      <w:rFonts w:hint="eastAsia"/>
                      <w:color w:val="auto"/>
                      <w:u w:val="single"/>
                    </w:rPr>
                    <w:t>0/</w:t>
                  </w:r>
                  <w:r>
                    <w:rPr>
                      <w:rFonts w:hint="eastAsia"/>
                      <w:color w:val="auto"/>
                      <w:u w:val="single"/>
                      <w:lang w:val="en-US" w:eastAsia="zh-CN"/>
                    </w:rPr>
                    <w:t>126.5</w:t>
                  </w:r>
                  <w:r>
                    <w:rPr>
                      <w:rFonts w:hint="eastAsia"/>
                      <w:color w:val="auto"/>
                      <w:u w:val="single"/>
                    </w:rPr>
                    <w:t>/1.2</w:t>
                  </w:r>
                </w:p>
              </w:tc>
              <w:tc>
                <w:tcPr>
                  <w:tcW w:w="979" w:type="pct"/>
                  <w:vAlign w:val="center"/>
                </w:tcPr>
                <w:p w14:paraId="025F490A">
                  <w:pPr>
                    <w:pStyle w:val="24"/>
                    <w:jc w:val="center"/>
                    <w:rPr>
                      <w:rFonts w:hint="default" w:eastAsia="宋体"/>
                      <w:color w:val="auto"/>
                      <w:u w:val="single"/>
                      <w:lang w:val="en-US" w:eastAsia="zh-CN"/>
                    </w:rPr>
                  </w:pPr>
                  <w:r>
                    <w:rPr>
                      <w:rFonts w:hint="eastAsia"/>
                      <w:color w:val="auto"/>
                      <w:u w:val="single"/>
                      <w:lang w:val="en-US" w:eastAsia="zh-CN"/>
                    </w:rPr>
                    <w:t>55.1</w:t>
                  </w:r>
                </w:p>
              </w:tc>
              <w:tc>
                <w:tcPr>
                  <w:tcW w:w="1428" w:type="dxa"/>
                  <w:vAlign w:val="center"/>
                </w:tcPr>
                <w:p w14:paraId="540E8AB8">
                  <w:pPr>
                    <w:pStyle w:val="24"/>
                    <w:ind w:firstLine="0" w:firstLineChars="0"/>
                    <w:jc w:val="center"/>
                    <w:rPr>
                      <w:rFonts w:hint="default"/>
                      <w:color w:val="auto"/>
                      <w:u w:val="single"/>
                      <w:lang w:val="en-US" w:eastAsia="zh-CN"/>
                    </w:rPr>
                  </w:pPr>
                  <w:r>
                    <w:rPr>
                      <w:rFonts w:hint="eastAsia"/>
                      <w:color w:val="auto"/>
                      <w:u w:val="single"/>
                      <w:lang w:val="en-US" w:eastAsia="zh-CN"/>
                    </w:rPr>
                    <w:t>55.1</w:t>
                  </w:r>
                </w:p>
              </w:tc>
              <w:tc>
                <w:tcPr>
                  <w:tcW w:w="468" w:type="pct"/>
                  <w:vAlign w:val="center"/>
                </w:tcPr>
                <w:p w14:paraId="4E48DB1F">
                  <w:pPr>
                    <w:pStyle w:val="24"/>
                    <w:jc w:val="center"/>
                    <w:rPr>
                      <w:rFonts w:hint="eastAsia" w:eastAsia="宋体"/>
                      <w:color w:val="auto"/>
                      <w:u w:val="single"/>
                      <w:lang w:val="en-US" w:eastAsia="zh-CN"/>
                    </w:rPr>
                  </w:pPr>
                  <w:r>
                    <w:rPr>
                      <w:rFonts w:hint="eastAsia"/>
                      <w:color w:val="auto"/>
                      <w:u w:val="single"/>
                    </w:rPr>
                    <w:t>6</w:t>
                  </w:r>
                  <w:r>
                    <w:rPr>
                      <w:rFonts w:hint="eastAsia"/>
                      <w:color w:val="auto"/>
                      <w:u w:val="single"/>
                      <w:lang w:val="en-US" w:eastAsia="zh-CN"/>
                    </w:rPr>
                    <w:t>5</w:t>
                  </w:r>
                </w:p>
              </w:tc>
              <w:tc>
                <w:tcPr>
                  <w:tcW w:w="515" w:type="pct"/>
                  <w:vAlign w:val="center"/>
                </w:tcPr>
                <w:p w14:paraId="64F30C10">
                  <w:pPr>
                    <w:pStyle w:val="24"/>
                    <w:jc w:val="center"/>
                    <w:rPr>
                      <w:color w:val="auto"/>
                      <w:u w:val="single"/>
                    </w:rPr>
                  </w:pPr>
                  <w:r>
                    <w:rPr>
                      <w:rFonts w:hint="eastAsia"/>
                      <w:color w:val="auto"/>
                      <w:u w:val="single"/>
                    </w:rPr>
                    <w:t>达标</w:t>
                  </w:r>
                </w:p>
              </w:tc>
            </w:tr>
          </w:tbl>
          <w:p w14:paraId="1ADBD96E">
            <w:pPr>
              <w:pStyle w:val="22"/>
              <w:bidi w:val="0"/>
              <w:ind w:left="0" w:leftChars="0" w:firstLine="480" w:firstLineChars="200"/>
              <w:rPr>
                <w:rFonts w:hint="default"/>
                <w:color w:val="auto"/>
                <w:u w:val="none" w:color="auto"/>
                <w:lang w:val="en-US" w:eastAsia="zh-CN"/>
              </w:rPr>
            </w:pPr>
            <w:r>
              <w:rPr>
                <w:rFonts w:hint="default"/>
                <w:color w:val="auto"/>
                <w:u w:val="none" w:color="auto"/>
                <w:lang w:val="en-US" w:eastAsia="zh-CN"/>
              </w:rPr>
              <w:t>由上表可知，正常工况下，项目厂界</w:t>
            </w:r>
            <w:r>
              <w:rPr>
                <w:rFonts w:hint="eastAsia"/>
                <w:color w:val="auto"/>
                <w:u w:val="none" w:color="auto"/>
                <w:lang w:val="en-US" w:eastAsia="zh-CN"/>
              </w:rPr>
              <w:t>四周</w:t>
            </w:r>
            <w:r>
              <w:rPr>
                <w:rFonts w:hint="default"/>
                <w:color w:val="auto"/>
                <w:u w:val="none" w:color="auto"/>
                <w:lang w:val="en-US" w:eastAsia="zh-CN"/>
              </w:rPr>
              <w:t>噪声满足《工业企业厂界环境噪声排放标准》</w:t>
            </w:r>
            <w:r>
              <w:rPr>
                <w:rFonts w:hint="eastAsia"/>
                <w:color w:val="auto"/>
                <w:u w:val="none" w:color="auto"/>
                <w:lang w:val="en-US" w:eastAsia="zh-CN"/>
              </w:rPr>
              <w:t>（</w:t>
            </w:r>
            <w:r>
              <w:rPr>
                <w:rFonts w:hint="default"/>
                <w:color w:val="auto"/>
                <w:u w:val="none" w:color="auto"/>
                <w:lang w:val="en-US" w:eastAsia="zh-CN"/>
              </w:rPr>
              <w:t>GB12348</w:t>
            </w:r>
            <w:r>
              <w:rPr>
                <w:rFonts w:hint="eastAsia"/>
                <w:color w:val="auto"/>
                <w:u w:val="none" w:color="auto"/>
                <w:lang w:val="en-US" w:eastAsia="zh-CN"/>
              </w:rPr>
              <w:t>-</w:t>
            </w:r>
            <w:r>
              <w:rPr>
                <w:rFonts w:hint="default"/>
                <w:color w:val="auto"/>
                <w:u w:val="none" w:color="auto"/>
                <w:lang w:val="en-US" w:eastAsia="zh-CN"/>
              </w:rPr>
              <w:t>2008</w:t>
            </w:r>
            <w:r>
              <w:rPr>
                <w:rFonts w:hint="eastAsia"/>
                <w:color w:val="auto"/>
                <w:u w:val="none" w:color="auto"/>
                <w:lang w:val="en-US" w:eastAsia="zh-CN"/>
              </w:rPr>
              <w:t>）</w:t>
            </w:r>
            <w:r>
              <w:rPr>
                <w:rFonts w:hint="default"/>
                <w:color w:val="auto"/>
                <w:u w:val="none" w:color="auto"/>
                <w:lang w:val="en-US" w:eastAsia="zh-CN"/>
              </w:rPr>
              <w:t>中的</w:t>
            </w:r>
            <w:r>
              <w:rPr>
                <w:rFonts w:hint="eastAsia"/>
                <w:color w:val="auto"/>
                <w:u w:val="none" w:color="auto"/>
                <w:lang w:val="en-US" w:eastAsia="zh-CN"/>
              </w:rPr>
              <w:t>3</w:t>
            </w:r>
            <w:r>
              <w:rPr>
                <w:rFonts w:hint="default"/>
                <w:color w:val="auto"/>
                <w:highlight w:val="none"/>
                <w:u w:val="none" w:color="auto"/>
                <w:lang w:val="en-US" w:eastAsia="zh-CN"/>
              </w:rPr>
              <w:t>类标准</w:t>
            </w:r>
            <w:r>
              <w:rPr>
                <w:rFonts w:hint="default"/>
                <w:color w:val="auto"/>
                <w:u w:val="none" w:color="auto"/>
                <w:lang w:val="en-US" w:eastAsia="zh-CN"/>
              </w:rPr>
              <w:t>。</w:t>
            </w:r>
          </w:p>
          <w:p w14:paraId="328F86A4">
            <w:pPr>
              <w:pStyle w:val="21"/>
              <w:bidi w:val="0"/>
              <w:rPr>
                <w:rFonts w:hint="default"/>
                <w:color w:val="auto"/>
                <w:lang w:val="en-US" w:eastAsia="zh-CN"/>
              </w:rPr>
            </w:pPr>
            <w:r>
              <w:rPr>
                <w:rFonts w:hint="default"/>
                <w:color w:val="auto"/>
                <w:lang w:val="en-US" w:eastAsia="zh-CN"/>
              </w:rPr>
              <w:t>3.</w:t>
            </w:r>
            <w:r>
              <w:rPr>
                <w:rFonts w:hint="eastAsia"/>
                <w:color w:val="auto"/>
                <w:lang w:val="en-US" w:eastAsia="zh-CN"/>
              </w:rPr>
              <w:t xml:space="preserve">3 </w:t>
            </w:r>
            <w:r>
              <w:rPr>
                <w:rFonts w:hint="default"/>
                <w:color w:val="auto"/>
                <w:lang w:val="en-US" w:eastAsia="zh-CN"/>
              </w:rPr>
              <w:t>噪声污染防治措施可行性分析</w:t>
            </w:r>
          </w:p>
          <w:p w14:paraId="753DCCC6">
            <w:pPr>
              <w:pStyle w:val="22"/>
              <w:bidi w:val="0"/>
              <w:rPr>
                <w:rFonts w:hint="default"/>
                <w:color w:val="auto"/>
                <w:lang w:val="en-US" w:eastAsia="zh-CN"/>
              </w:rPr>
            </w:pPr>
            <w:r>
              <w:rPr>
                <w:rFonts w:hint="default"/>
                <w:color w:val="auto"/>
                <w:lang w:val="en-US" w:eastAsia="zh-CN"/>
              </w:rPr>
              <w:t>①加强治理：项目应选用低噪声设备，并设置减震基础，对于输送配套设施设置封闭机房。</w:t>
            </w:r>
          </w:p>
          <w:p w14:paraId="41301E68">
            <w:pPr>
              <w:pStyle w:val="22"/>
              <w:bidi w:val="0"/>
              <w:rPr>
                <w:rFonts w:hint="default"/>
                <w:color w:val="auto"/>
                <w:lang w:val="en-US" w:eastAsia="zh-CN"/>
              </w:rPr>
            </w:pPr>
            <w:r>
              <w:rPr>
                <w:rFonts w:hint="default"/>
                <w:color w:val="auto"/>
                <w:lang w:val="en-US" w:eastAsia="zh-CN"/>
              </w:rPr>
              <w:t>②控制工作制度：项目仅在白天进行生产，夜间不生产。</w:t>
            </w:r>
          </w:p>
          <w:p w14:paraId="534E5EC6">
            <w:pPr>
              <w:pStyle w:val="22"/>
              <w:bidi w:val="0"/>
              <w:rPr>
                <w:rFonts w:hint="default"/>
                <w:color w:val="auto"/>
                <w:lang w:val="en-US" w:eastAsia="zh-CN"/>
              </w:rPr>
            </w:pPr>
            <w:r>
              <w:rPr>
                <w:rFonts w:hint="default"/>
                <w:color w:val="auto"/>
                <w:lang w:val="en-US" w:eastAsia="zh-CN"/>
              </w:rPr>
              <w:t>具体到主要生产设施的防治措施具体如下：</w:t>
            </w:r>
          </w:p>
          <w:p w14:paraId="5866193D">
            <w:pPr>
              <w:pStyle w:val="22"/>
              <w:bidi w:val="0"/>
              <w:rPr>
                <w:rFonts w:hint="default"/>
                <w:color w:val="auto"/>
                <w:lang w:val="en-US" w:eastAsia="zh-CN"/>
              </w:rPr>
            </w:pPr>
            <w:r>
              <w:rPr>
                <w:rFonts w:hint="default"/>
                <w:color w:val="auto"/>
                <w:lang w:val="en-US" w:eastAsia="zh-CN"/>
              </w:rPr>
              <w:t>A）皮带输送机：皮带输送机为输送主要设备，该设备连接各个生产单元，采用动力传控，因此在设备选型时尽量选择噪声低的设备，在生产时定期在滚轴处加润滑油，从而减少摩擦噪声产生。</w:t>
            </w:r>
          </w:p>
          <w:p w14:paraId="3BF5BBFD">
            <w:pPr>
              <w:pStyle w:val="22"/>
              <w:bidi w:val="0"/>
              <w:rPr>
                <w:rFonts w:hint="default"/>
                <w:color w:val="auto"/>
                <w:lang w:val="en-US" w:eastAsia="zh-CN"/>
              </w:rPr>
            </w:pPr>
            <w:r>
              <w:rPr>
                <w:rFonts w:hint="default"/>
                <w:color w:val="auto"/>
                <w:lang w:val="en-US" w:eastAsia="zh-CN"/>
              </w:rPr>
              <w:t>B）运输车辆：根据调查，当车辆在平滑路面行驶时其噪声值较坑洼路面行驶时的噪声值要低15dB（A），因此要求企业修筑平滑路面，尽量减小路面坡度，这样可大大减轻车辆在启动及行驶过程发动机轰鸣噪声。</w:t>
            </w:r>
          </w:p>
          <w:p w14:paraId="39B92600">
            <w:pPr>
              <w:pStyle w:val="22"/>
              <w:bidi w:val="0"/>
              <w:rPr>
                <w:rFonts w:hint="default"/>
                <w:color w:val="auto"/>
                <w:lang w:val="en-US" w:eastAsia="zh-CN"/>
              </w:rPr>
            </w:pPr>
            <w:r>
              <w:rPr>
                <w:rFonts w:hint="default"/>
                <w:color w:val="auto"/>
                <w:lang w:val="en-US" w:eastAsia="zh-CN"/>
              </w:rPr>
              <w:t>③加强管理：建立设备定期维护，保养的管理制度，以防止设备故障形成的非正常生产噪声，同时确保环保措施发挥最佳有效的功能；加强职工环保意识教育，提倡文明生产，防止人为噪声；</w:t>
            </w:r>
            <w:r>
              <w:rPr>
                <w:rFonts w:hint="default"/>
                <w:color w:val="auto"/>
                <w:u w:val="none"/>
                <w:lang w:val="en-US" w:eastAsia="zh-CN"/>
              </w:rPr>
              <w:t>强化行车管理制度，设置降噪标准，</w:t>
            </w:r>
            <w:r>
              <w:rPr>
                <w:rFonts w:hint="eastAsia"/>
                <w:color w:val="auto"/>
                <w:u w:val="none"/>
                <w:lang w:val="en-US" w:eastAsia="zh-CN"/>
              </w:rPr>
              <w:t>降低车速，</w:t>
            </w:r>
            <w:r>
              <w:rPr>
                <w:rFonts w:hint="default"/>
                <w:color w:val="auto"/>
                <w:u w:val="none"/>
                <w:lang w:val="en-US" w:eastAsia="zh-CN"/>
              </w:rPr>
              <w:t>严禁鸣号，进入厂区低速行驶，最大限度减少流动噪声源。</w:t>
            </w:r>
          </w:p>
          <w:p w14:paraId="62EAE5CC">
            <w:pPr>
              <w:pStyle w:val="22"/>
              <w:bidi w:val="0"/>
              <w:rPr>
                <w:rFonts w:hint="default"/>
                <w:color w:val="auto"/>
                <w:lang w:val="en-US" w:eastAsia="zh-CN"/>
              </w:rPr>
            </w:pPr>
            <w:r>
              <w:rPr>
                <w:rFonts w:hint="default"/>
                <w:color w:val="auto"/>
                <w:lang w:val="en-US" w:eastAsia="zh-CN"/>
              </w:rPr>
              <w:t>④加强厂区绿化：在本项目厂内各噪声源与厂界设置隔离带，在隔离带种植花草树木，进行厂区绿化，厂内各噪声源与厂界设置至少1m的隔离带，并建挡墙，以进一步减轻设备噪声对环境的影响。</w:t>
            </w:r>
          </w:p>
          <w:p w14:paraId="181B3A1C">
            <w:pPr>
              <w:pStyle w:val="22"/>
              <w:bidi w:val="0"/>
              <w:rPr>
                <w:rFonts w:hint="default"/>
                <w:color w:val="auto"/>
                <w:lang w:val="en-US" w:eastAsia="zh-CN"/>
              </w:rPr>
            </w:pPr>
            <w:r>
              <w:rPr>
                <w:rFonts w:hint="default"/>
                <w:color w:val="auto"/>
                <w:lang w:val="en-US" w:eastAsia="zh-CN"/>
              </w:rPr>
              <w:t>在实行以上措施后，可以大大减轻生产噪声对周围环境的影响，预计项目生产噪声对周围环境影响不大。</w:t>
            </w:r>
          </w:p>
          <w:p w14:paraId="345D36FB">
            <w:pPr>
              <w:pStyle w:val="21"/>
              <w:bidi w:val="0"/>
              <w:ind w:left="0" w:leftChars="0" w:firstLine="482" w:firstLineChars="200"/>
              <w:rPr>
                <w:rFonts w:hint="default"/>
                <w:color w:val="auto"/>
                <w:lang w:val="en-US" w:eastAsia="zh-CN"/>
              </w:rPr>
            </w:pPr>
            <w:r>
              <w:rPr>
                <w:rFonts w:hint="default"/>
                <w:color w:val="auto"/>
                <w:lang w:val="en-US" w:eastAsia="zh-CN"/>
              </w:rPr>
              <w:t>3.4 噪声监测要求</w:t>
            </w:r>
          </w:p>
          <w:p w14:paraId="3951D662">
            <w:pPr>
              <w:pStyle w:val="22"/>
              <w:bidi w:val="0"/>
              <w:rPr>
                <w:rFonts w:hint="eastAsia"/>
                <w:color w:val="auto"/>
                <w:lang w:val="en-US" w:eastAsia="zh-CN"/>
              </w:rPr>
            </w:pPr>
            <w:r>
              <w:rPr>
                <w:rFonts w:hint="default"/>
                <w:color w:val="auto"/>
                <w:lang w:val="en-US" w:eastAsia="zh-CN"/>
              </w:rPr>
              <w:t>本项目噪声监测计划根据《排污许可证申请与核发技术规范 工业噪声》（HJ1301-2023），具体见下表。</w:t>
            </w:r>
          </w:p>
          <w:p w14:paraId="1305AD66">
            <w:pPr>
              <w:pStyle w:val="23"/>
              <w:bidi w:val="0"/>
              <w:rPr>
                <w:rFonts w:hint="default"/>
                <w:color w:val="auto"/>
                <w:lang w:val="en-US" w:eastAsia="zh-CN"/>
              </w:rPr>
            </w:pPr>
            <w:r>
              <w:rPr>
                <w:rFonts w:hint="eastAsia"/>
                <w:color w:val="auto"/>
                <w:lang w:val="en-US" w:eastAsia="zh-CN"/>
              </w:rPr>
              <w:t>表4-10  噪声监测计划一览表</w:t>
            </w:r>
          </w:p>
          <w:tbl>
            <w:tblPr>
              <w:tblStyle w:val="16"/>
              <w:tblW w:w="7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2"/>
              <w:gridCol w:w="2905"/>
              <w:gridCol w:w="1837"/>
              <w:gridCol w:w="1975"/>
            </w:tblGrid>
            <w:tr w14:paraId="04B11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tcPr>
                <w:p w14:paraId="1BF4E098">
                  <w:pPr>
                    <w:pStyle w:val="24"/>
                    <w:bidi w:val="0"/>
                    <w:rPr>
                      <w:rFonts w:hint="default"/>
                      <w:color w:val="auto"/>
                      <w:lang w:val="en-US" w:eastAsia="zh-CN"/>
                    </w:rPr>
                  </w:pPr>
                  <w:r>
                    <w:rPr>
                      <w:rFonts w:hint="eastAsia"/>
                      <w:color w:val="auto"/>
                      <w:lang w:val="en-US" w:eastAsia="zh-CN"/>
                    </w:rPr>
                    <w:t>监测项目</w:t>
                  </w:r>
                </w:p>
              </w:tc>
              <w:tc>
                <w:tcPr>
                  <w:tcW w:w="2905" w:type="dxa"/>
                </w:tcPr>
                <w:p w14:paraId="5A3C4071">
                  <w:pPr>
                    <w:pStyle w:val="24"/>
                    <w:bidi w:val="0"/>
                    <w:rPr>
                      <w:rFonts w:hint="default"/>
                      <w:color w:val="auto"/>
                      <w:lang w:val="en-US" w:eastAsia="zh-CN"/>
                    </w:rPr>
                  </w:pPr>
                  <w:r>
                    <w:rPr>
                      <w:rFonts w:hint="eastAsia"/>
                      <w:color w:val="auto"/>
                      <w:lang w:val="en-US" w:eastAsia="zh-CN"/>
                    </w:rPr>
                    <w:t>监测点位</w:t>
                  </w:r>
                </w:p>
              </w:tc>
              <w:tc>
                <w:tcPr>
                  <w:tcW w:w="1837" w:type="dxa"/>
                </w:tcPr>
                <w:p w14:paraId="1AE3F22F">
                  <w:pPr>
                    <w:pStyle w:val="24"/>
                    <w:bidi w:val="0"/>
                    <w:rPr>
                      <w:rFonts w:hint="default"/>
                      <w:color w:val="auto"/>
                      <w:lang w:val="en-US" w:eastAsia="zh-CN"/>
                    </w:rPr>
                  </w:pPr>
                  <w:r>
                    <w:rPr>
                      <w:rFonts w:hint="eastAsia"/>
                      <w:color w:val="auto"/>
                      <w:lang w:val="en-US" w:eastAsia="zh-CN"/>
                    </w:rPr>
                    <w:t>监测因子</w:t>
                  </w:r>
                </w:p>
              </w:tc>
              <w:tc>
                <w:tcPr>
                  <w:tcW w:w="1975" w:type="dxa"/>
                </w:tcPr>
                <w:p w14:paraId="2FA7E6C1">
                  <w:pPr>
                    <w:pStyle w:val="24"/>
                    <w:bidi w:val="0"/>
                    <w:rPr>
                      <w:rFonts w:hint="default"/>
                      <w:color w:val="auto"/>
                      <w:lang w:val="en-US" w:eastAsia="zh-CN"/>
                    </w:rPr>
                  </w:pPr>
                  <w:r>
                    <w:rPr>
                      <w:rFonts w:hint="eastAsia"/>
                      <w:color w:val="auto"/>
                      <w:lang w:val="en-US" w:eastAsia="zh-CN"/>
                    </w:rPr>
                    <w:t>监测频次</w:t>
                  </w:r>
                </w:p>
              </w:tc>
            </w:tr>
            <w:tr w14:paraId="385EA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2" w:type="dxa"/>
                </w:tcPr>
                <w:p w14:paraId="46C3AB30">
                  <w:pPr>
                    <w:pStyle w:val="24"/>
                    <w:bidi w:val="0"/>
                    <w:rPr>
                      <w:rFonts w:hint="default"/>
                      <w:color w:val="auto"/>
                      <w:lang w:val="en-US" w:eastAsia="zh-CN"/>
                    </w:rPr>
                  </w:pPr>
                  <w:r>
                    <w:rPr>
                      <w:rFonts w:hint="eastAsia"/>
                      <w:color w:val="auto"/>
                      <w:lang w:val="en-US" w:eastAsia="zh-CN"/>
                    </w:rPr>
                    <w:t>厂界噪声</w:t>
                  </w:r>
                </w:p>
              </w:tc>
              <w:tc>
                <w:tcPr>
                  <w:tcW w:w="2905" w:type="dxa"/>
                </w:tcPr>
                <w:p w14:paraId="79BB145A">
                  <w:pPr>
                    <w:pStyle w:val="24"/>
                    <w:bidi w:val="0"/>
                    <w:rPr>
                      <w:rFonts w:hint="default"/>
                      <w:color w:val="auto"/>
                      <w:lang w:val="en-US" w:eastAsia="zh-CN"/>
                    </w:rPr>
                  </w:pPr>
                  <w:r>
                    <w:rPr>
                      <w:rFonts w:hint="default"/>
                      <w:color w:val="auto"/>
                      <w:lang w:val="en-US" w:eastAsia="zh-CN"/>
                    </w:rPr>
                    <w:t>厂界四周1m处各布设一个点</w:t>
                  </w:r>
                </w:p>
              </w:tc>
              <w:tc>
                <w:tcPr>
                  <w:tcW w:w="1837" w:type="dxa"/>
                </w:tcPr>
                <w:p w14:paraId="74829B98">
                  <w:pPr>
                    <w:pStyle w:val="24"/>
                    <w:bidi w:val="0"/>
                    <w:rPr>
                      <w:rFonts w:hint="default"/>
                      <w:color w:val="auto"/>
                      <w:lang w:val="en-US" w:eastAsia="zh-CN"/>
                    </w:rPr>
                  </w:pPr>
                  <w:r>
                    <w:rPr>
                      <w:rFonts w:hint="default"/>
                      <w:color w:val="auto"/>
                      <w:lang w:val="en-US" w:eastAsia="zh-CN"/>
                    </w:rPr>
                    <w:t>连续等效A声级</w:t>
                  </w:r>
                </w:p>
              </w:tc>
              <w:tc>
                <w:tcPr>
                  <w:tcW w:w="1975" w:type="dxa"/>
                </w:tcPr>
                <w:p w14:paraId="7B6BBF33">
                  <w:pPr>
                    <w:pStyle w:val="24"/>
                    <w:bidi w:val="0"/>
                    <w:rPr>
                      <w:rFonts w:hint="default"/>
                      <w:color w:val="auto"/>
                      <w:lang w:val="en-US" w:eastAsia="zh-CN"/>
                    </w:rPr>
                  </w:pPr>
                  <w:r>
                    <w:rPr>
                      <w:rFonts w:hint="default"/>
                      <w:color w:val="auto"/>
                      <w:lang w:val="en-US" w:eastAsia="zh-CN"/>
                    </w:rPr>
                    <w:t>1次/季度</w:t>
                  </w:r>
                </w:p>
              </w:tc>
            </w:tr>
          </w:tbl>
          <w:p w14:paraId="2129B41B">
            <w:pPr>
              <w:pStyle w:val="21"/>
              <w:bidi w:val="0"/>
              <w:ind w:left="0" w:leftChars="0" w:firstLine="482" w:firstLineChars="200"/>
              <w:rPr>
                <w:rFonts w:hint="default"/>
                <w:color w:val="auto"/>
                <w:lang w:val="en-US" w:eastAsia="zh-CN"/>
              </w:rPr>
            </w:pPr>
          </w:p>
          <w:p w14:paraId="5771B347">
            <w:pPr>
              <w:pStyle w:val="21"/>
              <w:bidi w:val="0"/>
              <w:ind w:left="0" w:leftChars="0" w:firstLine="482" w:firstLineChars="200"/>
              <w:rPr>
                <w:rFonts w:hint="default"/>
                <w:color w:val="auto"/>
                <w:lang w:val="en-US" w:eastAsia="zh-CN"/>
              </w:rPr>
            </w:pPr>
          </w:p>
          <w:p w14:paraId="483C41A1">
            <w:pPr>
              <w:pStyle w:val="21"/>
              <w:bidi w:val="0"/>
              <w:ind w:left="0" w:leftChars="0" w:firstLine="482" w:firstLineChars="200"/>
              <w:rPr>
                <w:rFonts w:hint="default"/>
                <w:color w:val="auto"/>
                <w:lang w:val="en-US" w:eastAsia="zh-CN"/>
              </w:rPr>
            </w:pPr>
            <w:r>
              <w:rPr>
                <w:rFonts w:hint="default"/>
                <w:color w:val="auto"/>
                <w:lang w:val="en-US" w:eastAsia="zh-CN"/>
              </w:rPr>
              <w:t>4、固体废物</w:t>
            </w:r>
          </w:p>
          <w:p w14:paraId="1851DB87">
            <w:pPr>
              <w:pStyle w:val="21"/>
              <w:bidi w:val="0"/>
              <w:rPr>
                <w:rFonts w:hint="default"/>
                <w:color w:val="auto"/>
                <w:lang w:val="en-US" w:eastAsia="zh-CN"/>
              </w:rPr>
            </w:pPr>
            <w:r>
              <w:rPr>
                <w:rFonts w:hint="default"/>
                <w:color w:val="auto"/>
                <w:lang w:val="en-US" w:eastAsia="zh-CN"/>
              </w:rPr>
              <w:t>4.1</w:t>
            </w:r>
            <w:r>
              <w:rPr>
                <w:rFonts w:hint="eastAsia"/>
                <w:color w:val="auto"/>
                <w:lang w:val="en-US" w:eastAsia="zh-CN"/>
              </w:rPr>
              <w:t xml:space="preserve"> </w:t>
            </w:r>
            <w:r>
              <w:rPr>
                <w:rFonts w:hint="default"/>
                <w:color w:val="auto"/>
                <w:lang w:val="en-US" w:eastAsia="zh-CN"/>
              </w:rPr>
              <w:t xml:space="preserve">固废产生情况 </w:t>
            </w:r>
          </w:p>
          <w:p w14:paraId="1116E320">
            <w:pPr>
              <w:pStyle w:val="22"/>
              <w:bidi w:val="0"/>
              <w:rPr>
                <w:rFonts w:hint="default"/>
                <w:color w:val="auto"/>
                <w:u w:val="single"/>
                <w:lang w:val="en-US" w:eastAsia="zh-CN"/>
              </w:rPr>
            </w:pPr>
            <w:r>
              <w:rPr>
                <w:rFonts w:hint="default"/>
                <w:color w:val="auto"/>
                <w:u w:val="single"/>
                <w:lang w:val="en-US" w:eastAsia="zh-CN"/>
              </w:rPr>
              <w:t>运营期产生</w:t>
            </w:r>
            <w:r>
              <w:rPr>
                <w:rFonts w:hint="eastAsia"/>
                <w:color w:val="auto"/>
                <w:u w:val="single"/>
                <w:lang w:val="en-US" w:eastAsia="zh-CN"/>
              </w:rPr>
              <w:t>的一般</w:t>
            </w:r>
            <w:r>
              <w:rPr>
                <w:rFonts w:hint="default"/>
                <w:color w:val="auto"/>
                <w:u w:val="single"/>
                <w:lang w:val="en-US" w:eastAsia="zh-CN"/>
              </w:rPr>
              <w:t>固体废弃物主要为废气除尘系统收集的粉尘、</w:t>
            </w:r>
            <w:r>
              <w:rPr>
                <w:rFonts w:hint="eastAsia" w:ascii="Times New Roman" w:hAnsi="Times New Roman"/>
                <w:sz w:val="24"/>
                <w:u w:val="single" w:color="auto"/>
              </w:rPr>
              <w:t>喷淋沉淀池沉渣</w:t>
            </w:r>
            <w:r>
              <w:rPr>
                <w:rFonts w:hint="eastAsia"/>
                <w:color w:val="auto"/>
                <w:u w:val="single"/>
                <w:lang w:val="en-US" w:eastAsia="zh-CN"/>
              </w:rPr>
              <w:t>、废编织袋以</w:t>
            </w:r>
            <w:r>
              <w:rPr>
                <w:rFonts w:hint="default"/>
                <w:color w:val="auto"/>
                <w:u w:val="single"/>
                <w:lang w:val="en-US" w:eastAsia="zh-CN"/>
              </w:rPr>
              <w:t>及生活垃圾。</w:t>
            </w:r>
            <w:r>
              <w:rPr>
                <w:rFonts w:hint="eastAsia"/>
                <w:color w:val="auto"/>
                <w:u w:val="single"/>
                <w:lang w:val="en-US" w:eastAsia="zh-CN"/>
              </w:rPr>
              <w:t>危险固废包括</w:t>
            </w:r>
            <w:r>
              <w:rPr>
                <w:rFonts w:hint="default"/>
                <w:u w:val="single"/>
                <w:lang w:val="en-US" w:eastAsia="zh-CN"/>
              </w:rPr>
              <w:t>废含油抹布及手套</w:t>
            </w:r>
            <w:r>
              <w:rPr>
                <w:rFonts w:hint="eastAsia"/>
                <w:u w:val="single"/>
                <w:lang w:val="en-US" w:eastAsia="zh-CN"/>
              </w:rPr>
              <w:t>和</w:t>
            </w:r>
            <w:r>
              <w:rPr>
                <w:rFonts w:hint="default"/>
                <w:color w:val="auto"/>
                <w:u w:val="single"/>
                <w:lang w:val="en-US" w:eastAsia="zh-CN"/>
              </w:rPr>
              <w:t>废油</w:t>
            </w:r>
            <w:r>
              <w:rPr>
                <w:rFonts w:hint="eastAsia"/>
                <w:color w:val="auto"/>
                <w:u w:val="single"/>
                <w:lang w:val="en-US" w:eastAsia="zh-CN"/>
              </w:rPr>
              <w:t>及包装桶。</w:t>
            </w:r>
          </w:p>
          <w:p w14:paraId="22E0441A">
            <w:pPr>
              <w:pStyle w:val="22"/>
              <w:numPr>
                <w:ilvl w:val="0"/>
                <w:numId w:val="0"/>
              </w:numPr>
              <w:bidi w:val="0"/>
              <w:ind w:firstLine="480" w:firstLineChars="200"/>
              <w:rPr>
                <w:rFonts w:hint="default" w:ascii="Times New Roman" w:hAnsi="Times New Roman" w:eastAsia="宋体" w:cs="Times New Roman"/>
                <w:color w:val="auto"/>
                <w:kern w:val="2"/>
                <w:sz w:val="24"/>
                <w:szCs w:val="24"/>
                <w:u w:val="single" w:color="auto"/>
                <w:lang w:val="en-US" w:eastAsia="zh-CN" w:bidi="ar-SA"/>
              </w:rPr>
            </w:pPr>
            <w:r>
              <w:rPr>
                <w:rFonts w:hint="default" w:ascii="Times New Roman" w:hAnsi="Times New Roman" w:eastAsia="宋体" w:cs="Times New Roman"/>
                <w:color w:val="auto"/>
                <w:kern w:val="2"/>
                <w:sz w:val="24"/>
                <w:szCs w:val="24"/>
                <w:u w:val="single" w:color="auto"/>
                <w:lang w:val="en-US" w:eastAsia="zh-CN" w:bidi="ar-SA"/>
              </w:rPr>
              <w:t>（1）</w:t>
            </w:r>
            <w:r>
              <w:rPr>
                <w:rFonts w:hint="eastAsia" w:cs="Times New Roman"/>
                <w:color w:val="auto"/>
                <w:kern w:val="2"/>
                <w:sz w:val="24"/>
                <w:szCs w:val="24"/>
                <w:u w:val="single" w:color="auto"/>
                <w:lang w:val="en-US" w:eastAsia="zh-CN" w:bidi="ar-SA"/>
              </w:rPr>
              <w:t>一般固废</w:t>
            </w:r>
          </w:p>
          <w:p w14:paraId="7F9FBD05">
            <w:pPr>
              <w:pStyle w:val="22"/>
              <w:numPr>
                <w:ilvl w:val="0"/>
                <w:numId w:val="0"/>
              </w:numPr>
              <w:bidi w:val="0"/>
              <w:ind w:firstLine="480" w:firstLineChars="200"/>
              <w:rPr>
                <w:rFonts w:ascii="宋体" w:hAnsi="宋体" w:cs="宋体"/>
                <w:kern w:val="0"/>
                <w:sz w:val="24"/>
                <w:u w:val="single" w:color="auto"/>
              </w:rPr>
            </w:pPr>
            <w:r>
              <w:rPr>
                <w:rFonts w:hint="eastAsia"/>
                <w:color w:val="auto"/>
                <w:u w:val="single" w:color="auto"/>
                <w:lang w:val="en-US" w:eastAsia="zh-CN"/>
              </w:rPr>
              <w:t>①</w:t>
            </w:r>
            <w:r>
              <w:rPr>
                <w:rFonts w:hint="default"/>
                <w:color w:val="auto"/>
                <w:u w:val="single" w:color="auto"/>
                <w:lang w:val="en-US" w:eastAsia="zh-CN"/>
              </w:rPr>
              <w:t>废气除尘系统收集的粉尘</w:t>
            </w:r>
            <w:r>
              <w:rPr>
                <w:rFonts w:hint="eastAsia"/>
                <w:color w:val="auto"/>
                <w:u w:val="single" w:color="auto"/>
                <w:lang w:val="en-US" w:eastAsia="zh-CN"/>
              </w:rPr>
              <w:t>：</w:t>
            </w:r>
            <w:r>
              <w:rPr>
                <w:rFonts w:hint="eastAsia" w:ascii="宋体" w:hAnsi="宋体" w:cs="宋体"/>
                <w:kern w:val="0"/>
                <w:sz w:val="24"/>
                <w:u w:val="single" w:color="auto"/>
              </w:rPr>
              <w:t>项目工艺</w:t>
            </w:r>
            <w:r>
              <w:rPr>
                <w:rFonts w:hint="eastAsia" w:ascii="宋体" w:hAnsi="宋体" w:cs="宋体"/>
                <w:kern w:val="0"/>
                <w:sz w:val="24"/>
                <w:u w:val="single" w:color="auto"/>
                <w:lang w:val="en-US" w:eastAsia="zh-CN"/>
              </w:rPr>
              <w:t>粉尘的</w:t>
            </w:r>
            <w:r>
              <w:rPr>
                <w:rFonts w:hint="eastAsia" w:ascii="宋体" w:hAnsi="宋体" w:cs="宋体"/>
                <w:kern w:val="0"/>
                <w:sz w:val="24"/>
                <w:u w:val="single" w:color="auto"/>
              </w:rPr>
              <w:t>产生量为</w:t>
            </w:r>
            <w:r>
              <w:rPr>
                <w:rFonts w:hint="eastAsia" w:ascii="宋体" w:hAnsi="宋体" w:cs="宋体"/>
                <w:kern w:val="0"/>
                <w:sz w:val="24"/>
                <w:u w:val="single" w:color="auto"/>
                <w:lang w:val="en-US" w:eastAsia="zh-CN"/>
              </w:rPr>
              <w:t>454</w:t>
            </w:r>
            <w:r>
              <w:rPr>
                <w:rFonts w:hint="eastAsia" w:ascii="宋体" w:hAnsi="宋体" w:cs="宋体"/>
                <w:kern w:val="0"/>
                <w:sz w:val="24"/>
                <w:u w:val="single" w:color="auto"/>
              </w:rPr>
              <w:t>t/a。经由旋风除尘器</w:t>
            </w:r>
            <w:r>
              <w:rPr>
                <w:rFonts w:hint="eastAsia" w:ascii="宋体" w:hAnsi="宋体" w:cs="宋体"/>
                <w:kern w:val="0"/>
                <w:sz w:val="24"/>
                <w:u w:val="single" w:color="auto"/>
                <w:lang w:val="en-US" w:eastAsia="zh-CN"/>
              </w:rPr>
              <w:t>+袋式除尘处理</w:t>
            </w:r>
            <w:r>
              <w:rPr>
                <w:rFonts w:hint="eastAsia" w:ascii="宋体" w:hAnsi="宋体" w:cs="宋体"/>
                <w:kern w:val="0"/>
                <w:sz w:val="24"/>
                <w:u w:val="single" w:color="auto"/>
              </w:rPr>
              <w:t>，收尘量为</w:t>
            </w:r>
            <w:r>
              <w:rPr>
                <w:rFonts w:hint="eastAsia" w:ascii="宋体" w:hAnsi="宋体" w:cs="宋体"/>
                <w:kern w:val="0"/>
                <w:sz w:val="24"/>
                <w:u w:val="single" w:color="auto"/>
                <w:lang w:val="en-US" w:eastAsia="zh-CN"/>
              </w:rPr>
              <w:t>405.33</w:t>
            </w:r>
            <w:r>
              <w:rPr>
                <w:rFonts w:hint="eastAsia" w:ascii="宋体" w:hAnsi="宋体" w:cs="宋体"/>
                <w:kern w:val="0"/>
                <w:sz w:val="24"/>
                <w:u w:val="single" w:color="auto"/>
              </w:rPr>
              <w:t>t/a。</w:t>
            </w:r>
            <w:r>
              <w:rPr>
                <w:rFonts w:hint="eastAsia" w:ascii="宋体" w:hAnsi="宋体" w:cs="宋体"/>
                <w:kern w:val="0"/>
                <w:sz w:val="24"/>
                <w:u w:val="single" w:color="auto"/>
                <w:lang w:val="en-US" w:eastAsia="zh-CN"/>
              </w:rPr>
              <w:t>收集的</w:t>
            </w:r>
            <w:r>
              <w:rPr>
                <w:rFonts w:ascii="宋体" w:hAnsi="宋体" w:cs="宋体"/>
                <w:kern w:val="0"/>
                <w:sz w:val="24"/>
                <w:u w:val="single" w:color="auto"/>
              </w:rPr>
              <w:t>粉尘全部回用于生产工序，不外排</w:t>
            </w:r>
            <w:r>
              <w:rPr>
                <w:rFonts w:hint="eastAsia" w:ascii="宋体" w:hAnsi="宋体" w:cs="宋体"/>
                <w:kern w:val="0"/>
                <w:sz w:val="24"/>
                <w:u w:val="single" w:color="auto"/>
              </w:rPr>
              <w:t>。</w:t>
            </w:r>
          </w:p>
          <w:p w14:paraId="5A6E42BA">
            <w:pPr>
              <w:pStyle w:val="7"/>
              <w:snapToGrid/>
              <w:spacing w:before="0" w:after="0" w:line="360" w:lineRule="auto"/>
              <w:ind w:right="0" w:firstLine="480" w:firstLineChars="200"/>
              <w:contextualSpacing/>
              <w:jc w:val="left"/>
              <w:rPr>
                <w:rFonts w:hint="default"/>
                <w:color w:val="auto"/>
                <w:u w:val="single" w:color="auto"/>
                <w:lang w:val="en-US" w:eastAsia="zh-CN"/>
              </w:rPr>
            </w:pPr>
            <w:r>
              <w:rPr>
                <w:rFonts w:hint="eastAsia"/>
                <w:color w:val="auto"/>
                <w:u w:val="single" w:color="auto"/>
                <w:lang w:val="en-US" w:eastAsia="zh-CN"/>
              </w:rPr>
              <w:t>②</w:t>
            </w:r>
            <w:r>
              <w:rPr>
                <w:rFonts w:hint="eastAsia" w:ascii="Times New Roman" w:hAnsi="Times New Roman"/>
                <w:sz w:val="24"/>
                <w:u w:val="single" w:color="auto"/>
              </w:rPr>
              <w:t>喷淋沉淀池沉渣：</w:t>
            </w:r>
            <w:r>
              <w:rPr>
                <w:rFonts w:hint="eastAsia" w:ascii="Times New Roman" w:hAnsi="Times New Roman"/>
                <w:sz w:val="24"/>
                <w:u w:val="single" w:color="auto"/>
                <w:lang w:val="en-US" w:eastAsia="zh-CN"/>
              </w:rPr>
              <w:t>工艺废气经</w:t>
            </w:r>
            <w:r>
              <w:rPr>
                <w:rFonts w:hint="eastAsia"/>
                <w:sz w:val="24"/>
                <w:szCs w:val="24"/>
                <w:u w:val="single" w:color="auto"/>
              </w:rPr>
              <w:t>喷淋处理</w:t>
            </w:r>
            <w:r>
              <w:rPr>
                <w:rFonts w:hint="eastAsia"/>
                <w:sz w:val="24"/>
                <w:szCs w:val="24"/>
                <w:u w:val="single" w:color="auto"/>
                <w:lang w:val="en-US" w:eastAsia="zh-CN"/>
              </w:rPr>
              <w:t>后</w:t>
            </w:r>
            <w:r>
              <w:rPr>
                <w:rFonts w:hint="eastAsia"/>
                <w:sz w:val="24"/>
                <w:szCs w:val="24"/>
                <w:u w:val="single" w:color="auto"/>
              </w:rPr>
              <w:t>，废气中大部分尘粒形成沉渣，</w:t>
            </w:r>
            <w:r>
              <w:rPr>
                <w:rFonts w:hint="eastAsia" w:ascii="Times New Roman" w:hAnsi="Times New Roman"/>
                <w:sz w:val="24"/>
                <w:u w:val="single" w:color="auto"/>
              </w:rPr>
              <w:t>产生量预计为</w:t>
            </w:r>
            <w:r>
              <w:rPr>
                <w:rFonts w:hint="eastAsia"/>
                <w:sz w:val="24"/>
                <w:u w:val="single" w:color="auto"/>
                <w:lang w:val="en-US" w:eastAsia="zh-CN"/>
              </w:rPr>
              <w:t>80</w:t>
            </w:r>
            <w:r>
              <w:rPr>
                <w:rFonts w:hint="eastAsia" w:ascii="Times New Roman" w:hAnsi="Times New Roman"/>
                <w:sz w:val="24"/>
                <w:u w:val="single" w:color="auto"/>
              </w:rPr>
              <w:t>t/a，属于一般固体废物中无机废水污泥（代码262</w:t>
            </w:r>
            <w:r>
              <w:rPr>
                <w:rFonts w:ascii="Times New Roman" w:hAnsi="Times New Roman"/>
                <w:sz w:val="24"/>
                <w:u w:val="single" w:color="auto"/>
              </w:rPr>
              <w:t>-999-</w:t>
            </w:r>
            <w:r>
              <w:rPr>
                <w:rFonts w:hint="eastAsia" w:ascii="Times New Roman" w:hAnsi="Times New Roman"/>
                <w:sz w:val="24"/>
                <w:u w:val="single" w:color="auto"/>
              </w:rPr>
              <w:t>61），沉淀池沉渣</w:t>
            </w:r>
            <w:r>
              <w:rPr>
                <w:rFonts w:hint="eastAsia" w:ascii="Times New Roman" w:hAnsi="Times New Roman"/>
                <w:sz w:val="24"/>
                <w:u w:val="single" w:color="auto"/>
                <w:lang w:val="en-US" w:eastAsia="zh-CN"/>
              </w:rPr>
              <w:t>经</w:t>
            </w:r>
            <w:r>
              <w:rPr>
                <w:rFonts w:hint="eastAsia" w:ascii="Times New Roman" w:hAnsi="Times New Roman"/>
                <w:sz w:val="24"/>
                <w:u w:val="single" w:color="auto"/>
              </w:rPr>
              <w:t>收集后返回生产线重新利用。</w:t>
            </w:r>
          </w:p>
          <w:p w14:paraId="5CB9E4B1">
            <w:pPr>
              <w:pStyle w:val="22"/>
              <w:numPr>
                <w:ilvl w:val="0"/>
                <w:numId w:val="0"/>
              </w:numPr>
              <w:bidi w:val="0"/>
              <w:ind w:firstLine="480" w:firstLineChars="200"/>
              <w:rPr>
                <w:rFonts w:hint="default" w:ascii="Times New Roman" w:hAnsi="Times New Roman" w:eastAsia="宋体" w:cs="Times New Roman"/>
                <w:color w:val="auto"/>
                <w:u w:val="single" w:color="auto"/>
                <w:lang w:val="en-US" w:eastAsia="zh-CN"/>
              </w:rPr>
            </w:pPr>
            <w:r>
              <w:rPr>
                <w:rFonts w:hint="eastAsia"/>
                <w:color w:val="auto"/>
                <w:u w:val="single" w:color="auto"/>
                <w:lang w:val="en-US" w:eastAsia="zh-CN"/>
              </w:rPr>
              <w:t>②</w:t>
            </w:r>
            <w:r>
              <w:rPr>
                <w:rFonts w:hint="eastAsia" w:ascii="Times New Roman" w:hAnsi="Times New Roman" w:eastAsia="宋体" w:cs="Times New Roman"/>
                <w:color w:val="auto"/>
                <w:u w:val="single" w:color="auto"/>
                <w:lang w:val="en-US" w:eastAsia="zh-CN"/>
              </w:rPr>
              <w:t>废编织袋：</w:t>
            </w:r>
            <w:r>
              <w:rPr>
                <w:rFonts w:hint="default" w:ascii="Times New Roman" w:hAnsi="Times New Roman" w:eastAsia="宋体" w:cs="Times New Roman"/>
                <w:color w:val="auto"/>
                <w:u w:val="single" w:color="auto"/>
                <w:lang w:val="en-US" w:eastAsia="zh-CN"/>
              </w:rPr>
              <w:t>废编织袋产生量约为</w:t>
            </w:r>
            <w:r>
              <w:rPr>
                <w:rFonts w:hint="eastAsia" w:cs="Times New Roman"/>
                <w:color w:val="auto"/>
                <w:u w:val="single" w:color="auto"/>
                <w:lang w:val="en-US" w:eastAsia="zh-CN"/>
              </w:rPr>
              <w:t>100</w:t>
            </w:r>
            <w:r>
              <w:rPr>
                <w:rFonts w:hint="default" w:ascii="Times New Roman" w:hAnsi="Times New Roman" w:eastAsia="宋体" w:cs="Times New Roman"/>
                <w:color w:val="auto"/>
                <w:u w:val="single" w:color="auto"/>
                <w:lang w:val="en-US" w:eastAsia="zh-CN"/>
              </w:rPr>
              <w:t>万个/a，属于一般固体废物，</w:t>
            </w:r>
            <w:r>
              <w:rPr>
                <w:rFonts w:hint="eastAsia" w:ascii="Times New Roman" w:hAnsi="Times New Roman" w:eastAsia="宋体" w:cs="Times New Roman"/>
                <w:color w:val="auto"/>
                <w:u w:val="single" w:color="auto"/>
                <w:lang w:val="en-US" w:eastAsia="zh-CN"/>
              </w:rPr>
              <w:t>作为</w:t>
            </w:r>
            <w:r>
              <w:rPr>
                <w:rFonts w:hint="default" w:ascii="Times New Roman" w:hAnsi="Times New Roman" w:eastAsia="宋体" w:cs="Times New Roman"/>
                <w:color w:val="auto"/>
                <w:u w:val="single" w:color="auto"/>
                <w:lang w:val="en-US" w:eastAsia="zh-CN"/>
              </w:rPr>
              <w:t>可回收垃圾外售处理。</w:t>
            </w:r>
          </w:p>
          <w:p w14:paraId="198CC236">
            <w:pPr>
              <w:pStyle w:val="22"/>
              <w:numPr>
                <w:ilvl w:val="0"/>
                <w:numId w:val="0"/>
              </w:numPr>
              <w:bidi w:val="0"/>
              <w:ind w:firstLine="480" w:firstLineChars="200"/>
              <w:rPr>
                <w:rFonts w:hint="default"/>
                <w:color w:val="auto"/>
                <w:lang w:val="en-US" w:eastAsia="zh-CN"/>
              </w:rPr>
            </w:pPr>
            <w:r>
              <w:rPr>
                <w:rFonts w:hint="default" w:ascii="Times New Roman" w:hAnsi="Times New Roman" w:eastAsia="宋体" w:cs="Times New Roman"/>
                <w:color w:val="auto"/>
                <w:kern w:val="2"/>
                <w:sz w:val="24"/>
                <w:szCs w:val="24"/>
                <w:u w:color="auto"/>
                <w:lang w:val="en-US" w:eastAsia="zh-CN" w:bidi="ar-SA"/>
              </w:rPr>
              <w:t>（</w:t>
            </w:r>
            <w:r>
              <w:rPr>
                <w:rFonts w:hint="eastAsia" w:ascii="Times New Roman" w:hAnsi="Times New Roman" w:eastAsia="宋体" w:cs="Times New Roman"/>
                <w:color w:val="auto"/>
                <w:kern w:val="2"/>
                <w:sz w:val="24"/>
                <w:szCs w:val="24"/>
                <w:u w:color="auto"/>
                <w:lang w:val="en-US" w:eastAsia="zh-CN" w:bidi="ar-SA"/>
              </w:rPr>
              <w:t>2</w:t>
            </w:r>
            <w:r>
              <w:rPr>
                <w:rFonts w:hint="default" w:ascii="Times New Roman" w:hAnsi="Times New Roman" w:eastAsia="宋体" w:cs="Times New Roman"/>
                <w:color w:val="auto"/>
                <w:kern w:val="2"/>
                <w:sz w:val="24"/>
                <w:szCs w:val="24"/>
                <w:u w:color="auto"/>
                <w:lang w:val="en-US" w:eastAsia="zh-CN" w:bidi="ar-SA"/>
              </w:rPr>
              <w:t>）</w:t>
            </w:r>
            <w:r>
              <w:rPr>
                <w:rFonts w:hint="eastAsia" w:cs="Times New Roman"/>
                <w:color w:val="auto"/>
                <w:kern w:val="2"/>
                <w:sz w:val="24"/>
                <w:szCs w:val="24"/>
                <w:u w:color="auto"/>
                <w:lang w:val="en-US" w:eastAsia="zh-CN" w:bidi="ar-SA"/>
              </w:rPr>
              <w:t>危险废物</w:t>
            </w:r>
          </w:p>
          <w:p w14:paraId="26E0BE7D">
            <w:pPr>
              <w:pStyle w:val="22"/>
              <w:bidi w:val="0"/>
              <w:rPr>
                <w:rFonts w:hint="default"/>
                <w:color w:val="auto"/>
                <w:u w:val="none"/>
                <w:lang w:val="en-US" w:eastAsia="zh-CN"/>
              </w:rPr>
            </w:pPr>
            <w:r>
              <w:rPr>
                <w:rFonts w:hint="eastAsia"/>
                <w:u w:val="none"/>
                <w:lang w:val="en-US" w:eastAsia="zh-CN"/>
              </w:rPr>
              <w:t>①</w:t>
            </w:r>
            <w:r>
              <w:rPr>
                <w:rFonts w:hint="default"/>
                <w:u w:val="none"/>
                <w:lang w:val="en-US" w:eastAsia="zh-CN"/>
              </w:rPr>
              <w:t>废含油抹布及手套：项目生产过</w:t>
            </w:r>
            <w:r>
              <w:rPr>
                <w:rFonts w:hint="eastAsia"/>
                <w:u w:val="none"/>
                <w:lang w:val="en-US" w:eastAsia="zh-CN"/>
              </w:rPr>
              <w:t>程中</w:t>
            </w:r>
            <w:r>
              <w:rPr>
                <w:rFonts w:hint="default"/>
                <w:u w:val="none"/>
                <w:lang w:val="en-US" w:eastAsia="zh-CN"/>
              </w:rPr>
              <w:t>对生产设备进行维护保养，会产生少量的含油废抹布及手套，产生量约为</w:t>
            </w:r>
            <w:r>
              <w:rPr>
                <w:rFonts w:hint="default"/>
                <w:color w:val="auto"/>
                <w:u w:val="none"/>
                <w:lang w:val="en-US" w:eastAsia="zh-CN"/>
              </w:rPr>
              <w:t>0.</w:t>
            </w:r>
            <w:r>
              <w:rPr>
                <w:rFonts w:hint="eastAsia"/>
                <w:color w:val="auto"/>
                <w:u w:val="none"/>
                <w:lang w:val="en-US" w:eastAsia="zh-CN"/>
              </w:rPr>
              <w:t>1</w:t>
            </w:r>
            <w:r>
              <w:rPr>
                <w:rFonts w:hint="default"/>
                <w:color w:val="auto"/>
                <w:u w:val="none"/>
                <w:lang w:val="en-US" w:eastAsia="zh-CN"/>
              </w:rPr>
              <w:t>t/a，属于《国家危险废物名录》（2021年版</w:t>
            </w:r>
            <w:r>
              <w:rPr>
                <w:rFonts w:hint="eastAsia"/>
                <w:color w:val="auto"/>
                <w:u w:val="none"/>
                <w:lang w:val="en-US" w:eastAsia="zh-CN"/>
              </w:rPr>
              <w:t>）</w:t>
            </w:r>
            <w:r>
              <w:rPr>
                <w:rFonts w:hint="default"/>
                <w:color w:val="auto"/>
                <w:u w:val="none"/>
                <w:lang w:val="en-US" w:eastAsia="zh-CN"/>
              </w:rPr>
              <w:t>中危险废物，废物类别为HW49其他废物，废物代码为900-041-49，收集暂存于危废暂存间，定期交由有资质的单位处置。</w:t>
            </w:r>
          </w:p>
          <w:p w14:paraId="7846259E">
            <w:pPr>
              <w:pStyle w:val="22"/>
              <w:bidi w:val="0"/>
              <w:rPr>
                <w:rFonts w:hint="default"/>
                <w:u w:val="none"/>
                <w:lang w:val="en-US" w:eastAsia="zh-CN"/>
              </w:rPr>
            </w:pPr>
            <w:r>
              <w:rPr>
                <w:rFonts w:hint="eastAsia"/>
                <w:color w:val="auto"/>
                <w:u w:val="none"/>
                <w:lang w:val="en-US" w:eastAsia="zh-CN"/>
              </w:rPr>
              <w:t>②</w:t>
            </w:r>
            <w:r>
              <w:rPr>
                <w:rFonts w:hint="default"/>
                <w:color w:val="auto"/>
                <w:u w:val="none"/>
                <w:lang w:val="en-US" w:eastAsia="zh-CN"/>
              </w:rPr>
              <w:t>废油</w:t>
            </w:r>
            <w:r>
              <w:rPr>
                <w:rFonts w:hint="eastAsia"/>
                <w:color w:val="auto"/>
                <w:u w:val="none"/>
                <w:lang w:val="en-US" w:eastAsia="zh-CN"/>
              </w:rPr>
              <w:t>及包装桶</w:t>
            </w:r>
            <w:r>
              <w:rPr>
                <w:rFonts w:hint="default"/>
                <w:color w:val="auto"/>
                <w:u w:val="none"/>
                <w:lang w:val="en-US" w:eastAsia="zh-CN"/>
              </w:rPr>
              <w:t>：</w:t>
            </w:r>
            <w:r>
              <w:rPr>
                <w:rFonts w:hint="eastAsia"/>
                <w:color w:val="auto"/>
                <w:u w:val="none"/>
                <w:lang w:val="en-US" w:eastAsia="zh-CN"/>
              </w:rPr>
              <w:t>生产设备在生产过程中需要使用液压油、齿轮油作为润滑剂</w:t>
            </w:r>
            <w:r>
              <w:rPr>
                <w:rFonts w:hint="default"/>
                <w:color w:val="auto"/>
                <w:u w:val="none"/>
                <w:lang w:val="en-US" w:eastAsia="zh-CN"/>
              </w:rPr>
              <w:t>，</w:t>
            </w:r>
            <w:r>
              <w:rPr>
                <w:rFonts w:hint="eastAsia"/>
                <w:color w:val="auto"/>
                <w:u w:val="none"/>
                <w:lang w:val="en-US" w:eastAsia="zh-CN"/>
              </w:rPr>
              <w:t>会</w:t>
            </w:r>
            <w:r>
              <w:rPr>
                <w:rFonts w:hint="default"/>
                <w:color w:val="auto"/>
                <w:u w:val="none"/>
                <w:lang w:val="en-US" w:eastAsia="zh-CN"/>
              </w:rPr>
              <w:t>产生</w:t>
            </w:r>
            <w:r>
              <w:rPr>
                <w:rFonts w:hint="eastAsia"/>
                <w:color w:val="auto"/>
                <w:u w:val="none"/>
                <w:lang w:val="en-US" w:eastAsia="zh-CN"/>
              </w:rPr>
              <w:t>一定量的废油，</w:t>
            </w:r>
            <w:r>
              <w:rPr>
                <w:rFonts w:hint="default"/>
                <w:color w:val="auto"/>
                <w:u w:val="none"/>
                <w:lang w:val="en-US" w:eastAsia="zh-CN"/>
              </w:rPr>
              <w:t>约为0.</w:t>
            </w:r>
            <w:r>
              <w:rPr>
                <w:rFonts w:hint="eastAsia"/>
                <w:color w:val="auto"/>
                <w:u w:val="none"/>
                <w:lang w:val="en-US" w:eastAsia="zh-CN"/>
              </w:rPr>
              <w:t>1</w:t>
            </w:r>
            <w:r>
              <w:rPr>
                <w:rFonts w:hint="default"/>
                <w:color w:val="auto"/>
                <w:u w:val="none"/>
                <w:lang w:val="en-US" w:eastAsia="zh-CN"/>
              </w:rPr>
              <w:t>t/a</w:t>
            </w:r>
            <w:r>
              <w:rPr>
                <w:rFonts w:hint="default"/>
                <w:u w:val="none"/>
                <w:lang w:val="en-US" w:eastAsia="zh-CN"/>
              </w:rPr>
              <w:t>，废矿物油属于《国家危险废物名录》（2021年版）中危险废物，废物类别为HW08废矿物油与含矿物油废物，废物代码为900-214-08，收集暂存于危废暂存间，定期交由有资质的单位处置。</w:t>
            </w:r>
          </w:p>
          <w:p w14:paraId="35919CDA">
            <w:pPr>
              <w:pStyle w:val="22"/>
              <w:bidi w:val="0"/>
              <w:rPr>
                <w:rFonts w:hint="eastAsia"/>
                <w:u w:val="none"/>
                <w:lang w:val="en-US" w:eastAsia="zh-CN"/>
              </w:rPr>
            </w:pPr>
          </w:p>
          <w:p w14:paraId="060321CD">
            <w:pPr>
              <w:pStyle w:val="22"/>
              <w:numPr>
                <w:ilvl w:val="0"/>
                <w:numId w:val="0"/>
              </w:numPr>
              <w:bidi w:val="0"/>
              <w:ind w:left="0" w:leftChars="0" w:firstLine="480" w:firstLineChars="200"/>
              <w:rPr>
                <w:rFonts w:hint="eastAsia"/>
                <w:color w:val="auto"/>
                <w:lang w:val="en-US" w:eastAsia="zh-CN"/>
              </w:rPr>
            </w:pPr>
            <w:r>
              <w:rPr>
                <w:rFonts w:hint="eastAsia" w:ascii="Times New Roman" w:hAnsi="Times New Roman" w:eastAsia="宋体" w:cs="Times New Roman"/>
                <w:color w:val="auto"/>
                <w:kern w:val="2"/>
                <w:sz w:val="24"/>
                <w:szCs w:val="24"/>
                <w:u w:color="auto"/>
                <w:lang w:val="en-US" w:eastAsia="zh-CN" w:bidi="ar-SA"/>
              </w:rPr>
              <w:t>（</w:t>
            </w:r>
            <w:r>
              <w:rPr>
                <w:rFonts w:hint="eastAsia" w:cs="Times New Roman"/>
                <w:color w:val="auto"/>
                <w:kern w:val="2"/>
                <w:sz w:val="24"/>
                <w:szCs w:val="24"/>
                <w:u w:color="auto"/>
                <w:lang w:val="en-US" w:eastAsia="zh-CN" w:bidi="ar-SA"/>
              </w:rPr>
              <w:t>3</w:t>
            </w:r>
            <w:r>
              <w:rPr>
                <w:rFonts w:hint="eastAsia" w:ascii="Times New Roman" w:hAnsi="Times New Roman" w:eastAsia="宋体" w:cs="Times New Roman"/>
                <w:color w:val="auto"/>
                <w:kern w:val="2"/>
                <w:sz w:val="24"/>
                <w:szCs w:val="24"/>
                <w:u w:color="auto"/>
                <w:lang w:val="en-US" w:eastAsia="zh-CN" w:bidi="ar-SA"/>
              </w:rPr>
              <w:t>）</w:t>
            </w:r>
            <w:r>
              <w:rPr>
                <w:rFonts w:hint="eastAsia"/>
                <w:color w:val="auto"/>
                <w:lang w:val="en-US" w:eastAsia="zh-CN"/>
              </w:rPr>
              <w:t>生活垃圾</w:t>
            </w:r>
          </w:p>
          <w:p w14:paraId="70491509">
            <w:pPr>
              <w:pStyle w:val="22"/>
              <w:numPr>
                <w:ilvl w:val="0"/>
                <w:numId w:val="0"/>
              </w:numPr>
              <w:bidi w:val="0"/>
              <w:ind w:firstLine="480" w:firstLineChars="200"/>
              <w:rPr>
                <w:rFonts w:hint="eastAsia"/>
                <w:color w:val="auto"/>
                <w:lang w:val="en-US" w:eastAsia="zh-CN"/>
              </w:rPr>
            </w:pPr>
            <w:r>
              <w:rPr>
                <w:rFonts w:hint="default"/>
                <w:color w:val="auto"/>
                <w:lang w:val="en-US" w:eastAsia="zh-CN"/>
              </w:rPr>
              <w:t>项目拟聘用项目所在地在周边</w:t>
            </w:r>
            <w:r>
              <w:rPr>
                <w:rFonts w:hint="eastAsia"/>
                <w:color w:val="auto"/>
                <w:lang w:val="en-US" w:eastAsia="zh-CN"/>
              </w:rPr>
              <w:t>20名</w:t>
            </w:r>
            <w:r>
              <w:rPr>
                <w:rFonts w:hint="default"/>
                <w:color w:val="auto"/>
                <w:lang w:val="en-US" w:eastAsia="zh-CN"/>
              </w:rPr>
              <w:t>居民为员工，员工在厂区内</w:t>
            </w:r>
            <w:r>
              <w:rPr>
                <w:rFonts w:hint="eastAsia"/>
                <w:color w:val="auto"/>
                <w:lang w:val="en-US" w:eastAsia="zh-CN"/>
              </w:rPr>
              <w:t>住</w:t>
            </w:r>
            <w:r>
              <w:rPr>
                <w:rFonts w:hint="default"/>
                <w:color w:val="auto"/>
                <w:lang w:val="en-US" w:eastAsia="zh-CN"/>
              </w:rPr>
              <w:t xml:space="preserve">宿，项目生活垃圾产生量按 </w:t>
            </w:r>
            <w:r>
              <w:rPr>
                <w:rFonts w:hint="eastAsia"/>
                <w:color w:val="auto"/>
                <w:lang w:val="en-US" w:eastAsia="zh-CN"/>
              </w:rPr>
              <w:t>1.0</w:t>
            </w:r>
            <w:r>
              <w:rPr>
                <w:rFonts w:hint="default"/>
                <w:color w:val="auto"/>
                <w:lang w:val="en-US" w:eastAsia="zh-CN"/>
              </w:rPr>
              <w:t>kg/人·天计算，</w:t>
            </w:r>
            <w:r>
              <w:rPr>
                <w:rFonts w:hint="eastAsia"/>
                <w:color w:val="auto"/>
                <w:lang w:val="en-US" w:eastAsia="zh-CN"/>
              </w:rPr>
              <w:t>年工作320天，</w:t>
            </w:r>
            <w:r>
              <w:rPr>
                <w:rFonts w:hint="default"/>
                <w:color w:val="auto"/>
                <w:lang w:val="en-US" w:eastAsia="zh-CN"/>
              </w:rPr>
              <w:t xml:space="preserve">则项目生活垃圾产生量为 </w:t>
            </w:r>
            <w:r>
              <w:rPr>
                <w:rFonts w:hint="eastAsia"/>
                <w:color w:val="auto"/>
                <w:lang w:val="en-US" w:eastAsia="zh-CN"/>
              </w:rPr>
              <w:t>6.4</w:t>
            </w:r>
            <w:r>
              <w:rPr>
                <w:rFonts w:hint="default"/>
                <w:color w:val="auto"/>
                <w:lang w:val="en-US" w:eastAsia="zh-CN"/>
              </w:rPr>
              <w:t>t/a。</w:t>
            </w:r>
          </w:p>
          <w:p w14:paraId="19BDC6A7">
            <w:pPr>
              <w:pStyle w:val="23"/>
              <w:bidi w:val="0"/>
              <w:rPr>
                <w:rFonts w:hint="eastAsia"/>
                <w:color w:val="auto"/>
                <w:lang w:val="en-US" w:eastAsia="zh-CN"/>
              </w:rPr>
            </w:pPr>
          </w:p>
          <w:p w14:paraId="29F47301">
            <w:pPr>
              <w:pStyle w:val="23"/>
              <w:bidi w:val="0"/>
              <w:rPr>
                <w:rFonts w:hint="default"/>
                <w:color w:val="auto"/>
                <w:lang w:val="en-US" w:eastAsia="zh-CN"/>
              </w:rPr>
            </w:pPr>
            <w:r>
              <w:rPr>
                <w:rFonts w:hint="eastAsia"/>
                <w:color w:val="auto"/>
                <w:lang w:val="en-US" w:eastAsia="zh-CN"/>
              </w:rPr>
              <w:t>表4-11  固体废物产生、处理情况一览表</w:t>
            </w:r>
          </w:p>
          <w:tbl>
            <w:tblPr>
              <w:tblStyle w:val="16"/>
              <w:tblW w:w="7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017"/>
              <w:gridCol w:w="660"/>
              <w:gridCol w:w="1313"/>
              <w:gridCol w:w="837"/>
              <w:gridCol w:w="653"/>
              <w:gridCol w:w="697"/>
              <w:gridCol w:w="870"/>
              <w:gridCol w:w="1198"/>
            </w:tblGrid>
            <w:tr w14:paraId="025BE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14:paraId="06FF3E10">
                  <w:pPr>
                    <w:pStyle w:val="24"/>
                    <w:bidi w:val="0"/>
                    <w:jc w:val="center"/>
                    <w:rPr>
                      <w:rFonts w:hint="default"/>
                      <w:color w:val="auto"/>
                      <w:u w:val="single"/>
                      <w:lang w:val="en-US" w:eastAsia="zh-CN"/>
                    </w:rPr>
                  </w:pPr>
                  <w:r>
                    <w:rPr>
                      <w:rFonts w:hint="eastAsia"/>
                      <w:color w:val="auto"/>
                      <w:u w:val="single"/>
                      <w:lang w:val="en-US" w:eastAsia="zh-CN"/>
                    </w:rPr>
                    <w:t>属性</w:t>
                  </w:r>
                </w:p>
              </w:tc>
              <w:tc>
                <w:tcPr>
                  <w:tcW w:w="1017" w:type="dxa"/>
                  <w:vAlign w:val="center"/>
                </w:tcPr>
                <w:p w14:paraId="557EC4F4">
                  <w:pPr>
                    <w:pStyle w:val="24"/>
                    <w:bidi w:val="0"/>
                    <w:jc w:val="center"/>
                    <w:rPr>
                      <w:rFonts w:hint="default"/>
                      <w:color w:val="auto"/>
                      <w:u w:val="single"/>
                      <w:lang w:val="en-US" w:eastAsia="zh-CN"/>
                    </w:rPr>
                  </w:pPr>
                  <w:r>
                    <w:rPr>
                      <w:rFonts w:hint="eastAsia"/>
                      <w:color w:val="auto"/>
                      <w:u w:val="single"/>
                      <w:lang w:val="en-US" w:eastAsia="zh-CN"/>
                    </w:rPr>
                    <w:t>污染物</w:t>
                  </w:r>
                </w:p>
              </w:tc>
              <w:tc>
                <w:tcPr>
                  <w:tcW w:w="660" w:type="dxa"/>
                  <w:vAlign w:val="center"/>
                </w:tcPr>
                <w:p w14:paraId="4A363991">
                  <w:pPr>
                    <w:pStyle w:val="24"/>
                    <w:bidi w:val="0"/>
                    <w:jc w:val="center"/>
                    <w:rPr>
                      <w:rFonts w:hint="default"/>
                      <w:color w:val="auto"/>
                      <w:u w:val="single"/>
                      <w:lang w:val="en-US" w:eastAsia="zh-CN"/>
                    </w:rPr>
                  </w:pPr>
                  <w:r>
                    <w:rPr>
                      <w:rFonts w:hint="eastAsia"/>
                      <w:color w:val="auto"/>
                      <w:u w:val="single"/>
                      <w:lang w:val="en-US" w:eastAsia="zh-CN"/>
                    </w:rPr>
                    <w:t>产生环节</w:t>
                  </w:r>
                </w:p>
              </w:tc>
              <w:tc>
                <w:tcPr>
                  <w:tcW w:w="1313" w:type="dxa"/>
                  <w:vAlign w:val="center"/>
                </w:tcPr>
                <w:p w14:paraId="55C7D41B">
                  <w:pPr>
                    <w:pStyle w:val="24"/>
                    <w:bidi w:val="0"/>
                    <w:jc w:val="center"/>
                    <w:rPr>
                      <w:rFonts w:hint="default"/>
                      <w:color w:val="auto"/>
                      <w:u w:val="single"/>
                      <w:lang w:val="en-US" w:eastAsia="zh-CN"/>
                    </w:rPr>
                  </w:pPr>
                  <w:r>
                    <w:rPr>
                      <w:rFonts w:hint="eastAsia"/>
                      <w:color w:val="auto"/>
                      <w:u w:val="single"/>
                      <w:lang w:val="en-US" w:eastAsia="zh-CN"/>
                    </w:rPr>
                    <w:t>编码</w:t>
                  </w:r>
                </w:p>
              </w:tc>
              <w:tc>
                <w:tcPr>
                  <w:tcW w:w="837" w:type="dxa"/>
                  <w:vAlign w:val="center"/>
                </w:tcPr>
                <w:p w14:paraId="00D9082C">
                  <w:pPr>
                    <w:pStyle w:val="24"/>
                    <w:bidi w:val="0"/>
                    <w:jc w:val="center"/>
                    <w:rPr>
                      <w:rFonts w:hint="default"/>
                      <w:color w:val="auto"/>
                      <w:u w:val="single"/>
                      <w:lang w:val="en-US" w:eastAsia="zh-CN"/>
                    </w:rPr>
                  </w:pPr>
                  <w:r>
                    <w:rPr>
                      <w:rFonts w:hint="eastAsia"/>
                      <w:color w:val="auto"/>
                      <w:u w:val="single"/>
                      <w:lang w:val="en-US" w:eastAsia="zh-CN"/>
                    </w:rPr>
                    <w:t>毒害成分</w:t>
                  </w:r>
                </w:p>
              </w:tc>
              <w:tc>
                <w:tcPr>
                  <w:tcW w:w="653" w:type="dxa"/>
                  <w:vAlign w:val="center"/>
                </w:tcPr>
                <w:p w14:paraId="44836C43">
                  <w:pPr>
                    <w:pStyle w:val="24"/>
                    <w:bidi w:val="0"/>
                    <w:jc w:val="center"/>
                    <w:rPr>
                      <w:rFonts w:hint="default"/>
                      <w:color w:val="auto"/>
                      <w:u w:val="single"/>
                      <w:lang w:val="en-US" w:eastAsia="zh-CN"/>
                    </w:rPr>
                  </w:pPr>
                  <w:r>
                    <w:rPr>
                      <w:rFonts w:hint="eastAsia"/>
                      <w:color w:val="auto"/>
                      <w:u w:val="single"/>
                      <w:lang w:val="en-US" w:eastAsia="zh-CN"/>
                    </w:rPr>
                    <w:t>形态</w:t>
                  </w:r>
                </w:p>
              </w:tc>
              <w:tc>
                <w:tcPr>
                  <w:tcW w:w="697" w:type="dxa"/>
                  <w:vAlign w:val="center"/>
                </w:tcPr>
                <w:p w14:paraId="2BD33FDE">
                  <w:pPr>
                    <w:pStyle w:val="24"/>
                    <w:bidi w:val="0"/>
                    <w:jc w:val="center"/>
                    <w:rPr>
                      <w:rFonts w:hint="default"/>
                      <w:color w:val="auto"/>
                      <w:u w:val="single"/>
                      <w:lang w:val="en-US" w:eastAsia="zh-CN"/>
                    </w:rPr>
                  </w:pPr>
                  <w:r>
                    <w:rPr>
                      <w:rFonts w:hint="eastAsia"/>
                      <w:color w:val="auto"/>
                      <w:u w:val="single"/>
                      <w:lang w:val="en-US" w:eastAsia="zh-CN"/>
                    </w:rPr>
                    <w:t>危险特性</w:t>
                  </w:r>
                </w:p>
              </w:tc>
              <w:tc>
                <w:tcPr>
                  <w:tcW w:w="870" w:type="dxa"/>
                  <w:vAlign w:val="center"/>
                </w:tcPr>
                <w:p w14:paraId="42067C2B">
                  <w:pPr>
                    <w:pStyle w:val="24"/>
                    <w:bidi w:val="0"/>
                    <w:jc w:val="center"/>
                    <w:rPr>
                      <w:rFonts w:hint="default"/>
                      <w:color w:val="auto"/>
                      <w:u w:val="single"/>
                      <w:lang w:val="en-US" w:eastAsia="zh-CN"/>
                    </w:rPr>
                  </w:pPr>
                  <w:r>
                    <w:rPr>
                      <w:rFonts w:hint="eastAsia"/>
                      <w:color w:val="auto"/>
                      <w:u w:val="single"/>
                      <w:lang w:val="en-US" w:eastAsia="zh-CN"/>
                    </w:rPr>
                    <w:t>产生量（t/a）</w:t>
                  </w:r>
                </w:p>
              </w:tc>
              <w:tc>
                <w:tcPr>
                  <w:tcW w:w="1198" w:type="dxa"/>
                  <w:vAlign w:val="center"/>
                </w:tcPr>
                <w:p w14:paraId="62CEBED0">
                  <w:pPr>
                    <w:pStyle w:val="24"/>
                    <w:bidi w:val="0"/>
                    <w:jc w:val="center"/>
                    <w:rPr>
                      <w:rFonts w:hint="default"/>
                      <w:color w:val="auto"/>
                      <w:u w:val="single"/>
                      <w:lang w:val="en-US" w:eastAsia="zh-CN"/>
                    </w:rPr>
                  </w:pPr>
                  <w:r>
                    <w:rPr>
                      <w:rFonts w:hint="eastAsia"/>
                      <w:color w:val="auto"/>
                      <w:u w:val="single"/>
                      <w:lang w:val="en-US" w:eastAsia="zh-CN"/>
                    </w:rPr>
                    <w:t>处置措施</w:t>
                  </w:r>
                </w:p>
              </w:tc>
            </w:tr>
            <w:tr w14:paraId="17F55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vAlign w:val="center"/>
                </w:tcPr>
                <w:p w14:paraId="461A5155">
                  <w:pPr>
                    <w:pStyle w:val="24"/>
                    <w:bidi w:val="0"/>
                    <w:jc w:val="center"/>
                    <w:rPr>
                      <w:rFonts w:hint="default"/>
                      <w:color w:val="auto"/>
                      <w:u w:val="single"/>
                      <w:lang w:val="en-US" w:eastAsia="zh-CN"/>
                    </w:rPr>
                  </w:pPr>
                  <w:r>
                    <w:rPr>
                      <w:rFonts w:hint="eastAsia"/>
                      <w:color w:val="auto"/>
                      <w:u w:val="single"/>
                      <w:lang w:val="en-US" w:eastAsia="zh-CN"/>
                    </w:rPr>
                    <w:t>一般固废</w:t>
                  </w:r>
                </w:p>
              </w:tc>
              <w:tc>
                <w:tcPr>
                  <w:tcW w:w="1017" w:type="dxa"/>
                  <w:vAlign w:val="center"/>
                </w:tcPr>
                <w:p w14:paraId="76640939">
                  <w:pPr>
                    <w:pStyle w:val="24"/>
                    <w:bidi w:val="0"/>
                    <w:jc w:val="center"/>
                    <w:rPr>
                      <w:rFonts w:hint="default"/>
                      <w:color w:val="auto"/>
                      <w:u w:val="single"/>
                      <w:lang w:val="en-US" w:eastAsia="zh-CN"/>
                    </w:rPr>
                  </w:pPr>
                  <w:r>
                    <w:rPr>
                      <w:rFonts w:hint="default"/>
                      <w:color w:val="auto"/>
                      <w:u w:val="single"/>
                      <w:lang w:val="en-US" w:eastAsia="zh-CN"/>
                    </w:rPr>
                    <w:t>废气除尘系统收集的粉尘</w:t>
                  </w:r>
                </w:p>
              </w:tc>
              <w:tc>
                <w:tcPr>
                  <w:tcW w:w="660" w:type="dxa"/>
                  <w:vAlign w:val="center"/>
                </w:tcPr>
                <w:p w14:paraId="3379B9F1">
                  <w:pPr>
                    <w:pStyle w:val="24"/>
                    <w:bidi w:val="0"/>
                    <w:jc w:val="center"/>
                    <w:rPr>
                      <w:rFonts w:hint="default"/>
                      <w:color w:val="auto"/>
                      <w:u w:val="single"/>
                      <w:lang w:val="en-US" w:eastAsia="zh-CN"/>
                    </w:rPr>
                  </w:pPr>
                  <w:r>
                    <w:rPr>
                      <w:rFonts w:hint="eastAsia"/>
                      <w:color w:val="auto"/>
                      <w:u w:val="single"/>
                      <w:lang w:val="en-US" w:eastAsia="zh-CN"/>
                    </w:rPr>
                    <w:t>废气处理</w:t>
                  </w:r>
                </w:p>
              </w:tc>
              <w:tc>
                <w:tcPr>
                  <w:tcW w:w="1313" w:type="dxa"/>
                  <w:vAlign w:val="center"/>
                </w:tcPr>
                <w:p w14:paraId="3321F873">
                  <w:pPr>
                    <w:pStyle w:val="24"/>
                    <w:bidi w:val="0"/>
                    <w:jc w:val="center"/>
                    <w:rPr>
                      <w:rFonts w:hint="default"/>
                      <w:color w:val="auto"/>
                      <w:u w:val="single"/>
                      <w:lang w:val="en-US" w:eastAsia="zh-CN"/>
                    </w:rPr>
                  </w:pPr>
                  <w:r>
                    <w:rPr>
                      <w:rFonts w:hint="eastAsia" w:ascii="Times New Roman" w:hAnsi="Times New Roman"/>
                      <w:sz w:val="24"/>
                      <w:u w:val="single"/>
                    </w:rPr>
                    <w:t>262</w:t>
                  </w:r>
                  <w:r>
                    <w:rPr>
                      <w:rFonts w:ascii="Times New Roman" w:hAnsi="Times New Roman"/>
                      <w:sz w:val="24"/>
                      <w:u w:val="single"/>
                    </w:rPr>
                    <w:t>-999-</w:t>
                  </w:r>
                  <w:r>
                    <w:rPr>
                      <w:rFonts w:hint="eastAsia" w:ascii="Times New Roman" w:hAnsi="Times New Roman"/>
                      <w:sz w:val="24"/>
                      <w:u w:val="single"/>
                    </w:rPr>
                    <w:t>66</w:t>
                  </w:r>
                </w:p>
              </w:tc>
              <w:tc>
                <w:tcPr>
                  <w:tcW w:w="837" w:type="dxa"/>
                  <w:vAlign w:val="center"/>
                </w:tcPr>
                <w:p w14:paraId="36016D43">
                  <w:pPr>
                    <w:pStyle w:val="24"/>
                    <w:bidi w:val="0"/>
                    <w:jc w:val="center"/>
                    <w:rPr>
                      <w:rFonts w:hint="default"/>
                      <w:color w:val="auto"/>
                      <w:u w:val="single"/>
                      <w:lang w:val="en-US" w:eastAsia="zh-CN"/>
                    </w:rPr>
                  </w:pPr>
                  <w:r>
                    <w:rPr>
                      <w:rFonts w:hint="eastAsia"/>
                      <w:color w:val="auto"/>
                      <w:u w:val="single"/>
                      <w:lang w:val="en-US" w:eastAsia="zh-CN"/>
                    </w:rPr>
                    <w:t>/</w:t>
                  </w:r>
                </w:p>
              </w:tc>
              <w:tc>
                <w:tcPr>
                  <w:tcW w:w="653" w:type="dxa"/>
                  <w:vAlign w:val="center"/>
                </w:tcPr>
                <w:p w14:paraId="3B43F22B">
                  <w:pPr>
                    <w:pStyle w:val="24"/>
                    <w:bidi w:val="0"/>
                    <w:jc w:val="center"/>
                    <w:rPr>
                      <w:rFonts w:hint="default"/>
                      <w:color w:val="auto"/>
                      <w:u w:val="single"/>
                      <w:lang w:val="en-US" w:eastAsia="zh-CN"/>
                    </w:rPr>
                  </w:pPr>
                  <w:r>
                    <w:rPr>
                      <w:rFonts w:hint="eastAsia"/>
                      <w:color w:val="auto"/>
                      <w:u w:val="single"/>
                      <w:lang w:val="en-US" w:eastAsia="zh-CN"/>
                    </w:rPr>
                    <w:t>固</w:t>
                  </w:r>
                </w:p>
              </w:tc>
              <w:tc>
                <w:tcPr>
                  <w:tcW w:w="697" w:type="dxa"/>
                  <w:vAlign w:val="center"/>
                </w:tcPr>
                <w:p w14:paraId="5564FDEE">
                  <w:pPr>
                    <w:pStyle w:val="24"/>
                    <w:bidi w:val="0"/>
                    <w:jc w:val="center"/>
                    <w:rPr>
                      <w:rFonts w:hint="default"/>
                      <w:color w:val="auto"/>
                      <w:u w:val="single"/>
                      <w:lang w:val="en-US" w:eastAsia="zh-CN"/>
                    </w:rPr>
                  </w:pPr>
                  <w:r>
                    <w:rPr>
                      <w:rFonts w:hint="eastAsia"/>
                      <w:color w:val="auto"/>
                      <w:u w:val="single"/>
                      <w:lang w:val="en-US" w:eastAsia="zh-CN"/>
                    </w:rPr>
                    <w:t>/</w:t>
                  </w:r>
                </w:p>
              </w:tc>
              <w:tc>
                <w:tcPr>
                  <w:tcW w:w="870" w:type="dxa"/>
                  <w:vAlign w:val="center"/>
                </w:tcPr>
                <w:p w14:paraId="247F6F12">
                  <w:pPr>
                    <w:pStyle w:val="24"/>
                    <w:bidi w:val="0"/>
                    <w:jc w:val="center"/>
                    <w:rPr>
                      <w:rFonts w:hint="default"/>
                      <w:color w:val="auto"/>
                      <w:u w:val="single"/>
                      <w:lang w:val="en-US" w:eastAsia="zh-CN"/>
                    </w:rPr>
                  </w:pPr>
                  <w:r>
                    <w:rPr>
                      <w:rFonts w:hint="eastAsia"/>
                      <w:color w:val="auto"/>
                      <w:u w:val="single"/>
                      <w:lang w:val="en-US" w:eastAsia="zh-CN"/>
                    </w:rPr>
                    <w:t>405.33</w:t>
                  </w:r>
                </w:p>
              </w:tc>
              <w:tc>
                <w:tcPr>
                  <w:tcW w:w="1198" w:type="dxa"/>
                  <w:vAlign w:val="center"/>
                </w:tcPr>
                <w:p w14:paraId="39085250">
                  <w:pPr>
                    <w:pStyle w:val="24"/>
                    <w:bidi w:val="0"/>
                    <w:jc w:val="center"/>
                    <w:rPr>
                      <w:rFonts w:hint="default"/>
                      <w:color w:val="auto"/>
                      <w:u w:val="single"/>
                      <w:lang w:val="en-US" w:eastAsia="zh-CN"/>
                    </w:rPr>
                  </w:pPr>
                  <w:r>
                    <w:rPr>
                      <w:rFonts w:hint="eastAsia"/>
                      <w:color w:val="auto"/>
                      <w:u w:val="single"/>
                      <w:lang w:val="en-US" w:eastAsia="zh-CN"/>
                    </w:rPr>
                    <w:t>回用于生产</w:t>
                  </w:r>
                </w:p>
              </w:tc>
            </w:tr>
            <w:tr w14:paraId="020B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 w:hRule="atLeast"/>
              </w:trPr>
              <w:tc>
                <w:tcPr>
                  <w:tcW w:w="654" w:type="dxa"/>
                  <w:vMerge w:val="continue"/>
                  <w:vAlign w:val="center"/>
                </w:tcPr>
                <w:p w14:paraId="3EFEB6C8">
                  <w:pPr>
                    <w:pStyle w:val="24"/>
                    <w:bidi w:val="0"/>
                    <w:jc w:val="center"/>
                    <w:rPr>
                      <w:rFonts w:hint="eastAsia"/>
                      <w:color w:val="auto"/>
                      <w:u w:val="single"/>
                      <w:lang w:val="en-US" w:eastAsia="zh-CN"/>
                    </w:rPr>
                  </w:pPr>
                </w:p>
              </w:tc>
              <w:tc>
                <w:tcPr>
                  <w:tcW w:w="1017" w:type="dxa"/>
                  <w:vAlign w:val="center"/>
                </w:tcPr>
                <w:p w14:paraId="09C316D1">
                  <w:pPr>
                    <w:pStyle w:val="24"/>
                    <w:bidi w:val="0"/>
                    <w:jc w:val="center"/>
                    <w:rPr>
                      <w:rFonts w:hint="default"/>
                      <w:color w:val="auto"/>
                      <w:u w:val="single"/>
                      <w:lang w:val="en-US" w:eastAsia="zh-CN"/>
                    </w:rPr>
                  </w:pPr>
                  <w:r>
                    <w:rPr>
                      <w:rFonts w:hint="eastAsia" w:ascii="Times New Roman" w:hAnsi="Times New Roman"/>
                      <w:sz w:val="24"/>
                      <w:u w:val="single" w:color="auto"/>
                    </w:rPr>
                    <w:t>喷淋沉淀池沉渣</w:t>
                  </w:r>
                </w:p>
              </w:tc>
              <w:tc>
                <w:tcPr>
                  <w:tcW w:w="660" w:type="dxa"/>
                  <w:vAlign w:val="center"/>
                </w:tcPr>
                <w:p w14:paraId="0C2AF4B2">
                  <w:pPr>
                    <w:pStyle w:val="24"/>
                    <w:bidi w:val="0"/>
                    <w:jc w:val="center"/>
                    <w:rPr>
                      <w:rFonts w:hint="default"/>
                      <w:color w:val="auto"/>
                      <w:u w:val="single"/>
                      <w:lang w:val="en-US" w:eastAsia="zh-CN"/>
                    </w:rPr>
                  </w:pPr>
                  <w:r>
                    <w:rPr>
                      <w:rFonts w:hint="eastAsia"/>
                      <w:color w:val="auto"/>
                      <w:u w:val="single"/>
                      <w:lang w:val="en-US" w:eastAsia="zh-CN"/>
                    </w:rPr>
                    <w:t>废气处理</w:t>
                  </w:r>
                </w:p>
              </w:tc>
              <w:tc>
                <w:tcPr>
                  <w:tcW w:w="1313" w:type="dxa"/>
                  <w:vAlign w:val="center"/>
                </w:tcPr>
                <w:p w14:paraId="706E2681">
                  <w:pPr>
                    <w:pStyle w:val="24"/>
                    <w:bidi w:val="0"/>
                    <w:jc w:val="center"/>
                    <w:rPr>
                      <w:rFonts w:hint="eastAsia" w:ascii="Times New Roman" w:hAnsi="Times New Roman"/>
                      <w:sz w:val="24"/>
                      <w:u w:val="single"/>
                    </w:rPr>
                  </w:pPr>
                  <w:r>
                    <w:rPr>
                      <w:rFonts w:hint="eastAsia" w:ascii="Times New Roman" w:hAnsi="Times New Roman"/>
                      <w:sz w:val="24"/>
                      <w:u w:val="single" w:color="auto"/>
                    </w:rPr>
                    <w:t>262</w:t>
                  </w:r>
                  <w:r>
                    <w:rPr>
                      <w:rFonts w:ascii="Times New Roman" w:hAnsi="Times New Roman"/>
                      <w:sz w:val="24"/>
                      <w:u w:val="single" w:color="auto"/>
                    </w:rPr>
                    <w:t>-999-</w:t>
                  </w:r>
                  <w:r>
                    <w:rPr>
                      <w:rFonts w:hint="eastAsia" w:ascii="Times New Roman" w:hAnsi="Times New Roman"/>
                      <w:sz w:val="24"/>
                      <w:u w:val="single" w:color="auto"/>
                    </w:rPr>
                    <w:t>61</w:t>
                  </w:r>
                </w:p>
              </w:tc>
              <w:tc>
                <w:tcPr>
                  <w:tcW w:w="837" w:type="dxa"/>
                  <w:vAlign w:val="center"/>
                </w:tcPr>
                <w:p w14:paraId="7A86E058">
                  <w:pPr>
                    <w:pStyle w:val="24"/>
                    <w:bidi w:val="0"/>
                    <w:jc w:val="center"/>
                    <w:rPr>
                      <w:rFonts w:hint="eastAsia"/>
                      <w:color w:val="auto"/>
                      <w:u w:val="single"/>
                      <w:lang w:val="en-US" w:eastAsia="zh-CN"/>
                    </w:rPr>
                  </w:pPr>
                  <w:r>
                    <w:rPr>
                      <w:rFonts w:hint="eastAsia"/>
                      <w:color w:val="auto"/>
                      <w:u w:val="single"/>
                      <w:lang w:val="en-US" w:eastAsia="zh-CN"/>
                    </w:rPr>
                    <w:t>/</w:t>
                  </w:r>
                </w:p>
              </w:tc>
              <w:tc>
                <w:tcPr>
                  <w:tcW w:w="653" w:type="dxa"/>
                  <w:vAlign w:val="center"/>
                </w:tcPr>
                <w:p w14:paraId="33151D38">
                  <w:pPr>
                    <w:pStyle w:val="24"/>
                    <w:bidi w:val="0"/>
                    <w:ind w:firstLine="0" w:firstLineChars="0"/>
                    <w:jc w:val="center"/>
                    <w:rPr>
                      <w:rFonts w:hint="eastAsia"/>
                      <w:color w:val="auto"/>
                      <w:u w:val="single"/>
                      <w:lang w:val="en-US" w:eastAsia="zh-CN"/>
                    </w:rPr>
                  </w:pPr>
                  <w:r>
                    <w:rPr>
                      <w:rFonts w:hint="eastAsia"/>
                      <w:color w:val="auto"/>
                      <w:u w:val="single"/>
                      <w:lang w:val="en-US" w:eastAsia="zh-CN"/>
                    </w:rPr>
                    <w:t>固</w:t>
                  </w:r>
                </w:p>
              </w:tc>
              <w:tc>
                <w:tcPr>
                  <w:tcW w:w="697" w:type="dxa"/>
                  <w:vAlign w:val="center"/>
                </w:tcPr>
                <w:p w14:paraId="13C8758F">
                  <w:pPr>
                    <w:pStyle w:val="24"/>
                    <w:bidi w:val="0"/>
                    <w:ind w:firstLine="0" w:firstLineChars="0"/>
                    <w:jc w:val="center"/>
                    <w:rPr>
                      <w:rFonts w:hint="eastAsia"/>
                      <w:color w:val="auto"/>
                      <w:u w:val="single"/>
                      <w:lang w:val="en-US" w:eastAsia="zh-CN"/>
                    </w:rPr>
                  </w:pPr>
                  <w:r>
                    <w:rPr>
                      <w:rFonts w:hint="eastAsia"/>
                      <w:color w:val="auto"/>
                      <w:u w:val="single"/>
                      <w:lang w:val="en-US" w:eastAsia="zh-CN"/>
                    </w:rPr>
                    <w:t>/</w:t>
                  </w:r>
                </w:p>
              </w:tc>
              <w:tc>
                <w:tcPr>
                  <w:tcW w:w="870" w:type="dxa"/>
                  <w:vAlign w:val="center"/>
                </w:tcPr>
                <w:p w14:paraId="5186338F">
                  <w:pPr>
                    <w:pStyle w:val="24"/>
                    <w:bidi w:val="0"/>
                    <w:jc w:val="center"/>
                    <w:rPr>
                      <w:rFonts w:hint="default"/>
                      <w:color w:val="auto"/>
                      <w:u w:val="single"/>
                      <w:lang w:val="en-US" w:eastAsia="zh-CN"/>
                    </w:rPr>
                  </w:pPr>
                  <w:r>
                    <w:rPr>
                      <w:rFonts w:hint="eastAsia"/>
                      <w:color w:val="auto"/>
                      <w:u w:val="single"/>
                      <w:lang w:val="en-US" w:eastAsia="zh-CN"/>
                    </w:rPr>
                    <w:t>80</w:t>
                  </w:r>
                </w:p>
              </w:tc>
              <w:tc>
                <w:tcPr>
                  <w:tcW w:w="1198" w:type="dxa"/>
                  <w:vAlign w:val="center"/>
                </w:tcPr>
                <w:p w14:paraId="78A1685D">
                  <w:pPr>
                    <w:pStyle w:val="24"/>
                    <w:bidi w:val="0"/>
                    <w:jc w:val="center"/>
                    <w:rPr>
                      <w:rFonts w:hint="eastAsia"/>
                      <w:color w:val="auto"/>
                      <w:u w:val="single"/>
                      <w:lang w:val="en-US" w:eastAsia="zh-CN"/>
                    </w:rPr>
                  </w:pPr>
                  <w:r>
                    <w:rPr>
                      <w:rFonts w:hint="eastAsia"/>
                      <w:color w:val="auto"/>
                      <w:u w:val="single"/>
                      <w:lang w:val="en-US" w:eastAsia="zh-CN"/>
                    </w:rPr>
                    <w:t>回用于生产</w:t>
                  </w:r>
                </w:p>
              </w:tc>
            </w:tr>
            <w:tr w14:paraId="73F55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21E07D20">
                  <w:pPr>
                    <w:pStyle w:val="24"/>
                    <w:bidi w:val="0"/>
                    <w:jc w:val="center"/>
                    <w:rPr>
                      <w:rFonts w:hint="default"/>
                      <w:color w:val="auto"/>
                      <w:u w:val="single"/>
                      <w:lang w:val="en-US" w:eastAsia="zh-CN"/>
                    </w:rPr>
                  </w:pPr>
                </w:p>
              </w:tc>
              <w:tc>
                <w:tcPr>
                  <w:tcW w:w="1017" w:type="dxa"/>
                  <w:vAlign w:val="center"/>
                </w:tcPr>
                <w:p w14:paraId="6C008704">
                  <w:pPr>
                    <w:pStyle w:val="24"/>
                    <w:bidi w:val="0"/>
                    <w:jc w:val="center"/>
                    <w:rPr>
                      <w:rFonts w:hint="default"/>
                      <w:color w:val="auto"/>
                      <w:u w:val="single"/>
                      <w:lang w:val="en-US" w:eastAsia="zh-CN"/>
                    </w:rPr>
                  </w:pPr>
                  <w:r>
                    <w:rPr>
                      <w:rFonts w:hint="default"/>
                      <w:color w:val="auto"/>
                      <w:u w:val="single"/>
                      <w:lang w:val="en-US" w:eastAsia="zh-CN"/>
                    </w:rPr>
                    <w:t>废编织袋</w:t>
                  </w:r>
                </w:p>
              </w:tc>
              <w:tc>
                <w:tcPr>
                  <w:tcW w:w="660" w:type="dxa"/>
                  <w:vAlign w:val="center"/>
                </w:tcPr>
                <w:p w14:paraId="2C097C6A">
                  <w:pPr>
                    <w:pStyle w:val="24"/>
                    <w:bidi w:val="0"/>
                    <w:jc w:val="center"/>
                    <w:rPr>
                      <w:rFonts w:hint="default"/>
                      <w:color w:val="auto"/>
                      <w:u w:val="single"/>
                      <w:lang w:val="en-US" w:eastAsia="zh-CN"/>
                    </w:rPr>
                  </w:pPr>
                  <w:r>
                    <w:rPr>
                      <w:rFonts w:hint="eastAsia"/>
                      <w:color w:val="auto"/>
                      <w:u w:val="single"/>
                      <w:lang w:val="en-US" w:eastAsia="zh-CN"/>
                    </w:rPr>
                    <w:t>生产操作</w:t>
                  </w:r>
                </w:p>
              </w:tc>
              <w:tc>
                <w:tcPr>
                  <w:tcW w:w="1313" w:type="dxa"/>
                  <w:vAlign w:val="center"/>
                </w:tcPr>
                <w:p w14:paraId="4C182066">
                  <w:pPr>
                    <w:pStyle w:val="24"/>
                    <w:bidi w:val="0"/>
                    <w:jc w:val="center"/>
                    <w:rPr>
                      <w:rFonts w:hint="eastAsia"/>
                      <w:color w:val="auto"/>
                      <w:u w:val="single"/>
                      <w:lang w:val="en-US" w:eastAsia="zh-CN"/>
                    </w:rPr>
                  </w:pPr>
                  <w:r>
                    <w:rPr>
                      <w:rFonts w:hint="eastAsia"/>
                      <w:color w:val="auto"/>
                      <w:u w:val="single"/>
                      <w:lang w:val="en-US" w:eastAsia="zh-CN"/>
                    </w:rPr>
                    <w:t>/</w:t>
                  </w:r>
                </w:p>
              </w:tc>
              <w:tc>
                <w:tcPr>
                  <w:tcW w:w="837" w:type="dxa"/>
                  <w:vAlign w:val="center"/>
                </w:tcPr>
                <w:p w14:paraId="4D90A265">
                  <w:pPr>
                    <w:pStyle w:val="24"/>
                    <w:bidi w:val="0"/>
                    <w:jc w:val="center"/>
                    <w:rPr>
                      <w:rFonts w:hint="eastAsia"/>
                      <w:color w:val="auto"/>
                      <w:u w:val="single"/>
                      <w:lang w:val="en-US" w:eastAsia="zh-CN"/>
                    </w:rPr>
                  </w:pPr>
                  <w:r>
                    <w:rPr>
                      <w:rFonts w:hint="eastAsia"/>
                      <w:color w:val="auto"/>
                      <w:u w:val="single"/>
                      <w:lang w:val="en-US" w:eastAsia="zh-CN"/>
                    </w:rPr>
                    <w:t>/</w:t>
                  </w:r>
                </w:p>
              </w:tc>
              <w:tc>
                <w:tcPr>
                  <w:tcW w:w="653" w:type="dxa"/>
                  <w:vAlign w:val="center"/>
                </w:tcPr>
                <w:p w14:paraId="7B245C43">
                  <w:pPr>
                    <w:pStyle w:val="24"/>
                    <w:bidi w:val="0"/>
                    <w:jc w:val="center"/>
                    <w:rPr>
                      <w:rFonts w:hint="default"/>
                      <w:color w:val="auto"/>
                      <w:u w:val="single"/>
                      <w:lang w:val="en-US" w:eastAsia="zh-CN"/>
                    </w:rPr>
                  </w:pPr>
                  <w:r>
                    <w:rPr>
                      <w:rFonts w:hint="eastAsia"/>
                      <w:color w:val="auto"/>
                      <w:u w:val="single"/>
                      <w:lang w:val="en-US" w:eastAsia="zh-CN"/>
                    </w:rPr>
                    <w:t>固</w:t>
                  </w:r>
                </w:p>
              </w:tc>
              <w:tc>
                <w:tcPr>
                  <w:tcW w:w="697" w:type="dxa"/>
                  <w:vAlign w:val="center"/>
                </w:tcPr>
                <w:p w14:paraId="1CBF4C47">
                  <w:pPr>
                    <w:pStyle w:val="24"/>
                    <w:bidi w:val="0"/>
                    <w:jc w:val="center"/>
                    <w:rPr>
                      <w:rFonts w:hint="eastAsia"/>
                      <w:color w:val="auto"/>
                      <w:u w:val="single"/>
                      <w:lang w:val="en-US" w:eastAsia="zh-CN"/>
                    </w:rPr>
                  </w:pPr>
                  <w:r>
                    <w:rPr>
                      <w:rFonts w:hint="eastAsia"/>
                      <w:color w:val="auto"/>
                      <w:u w:val="single"/>
                      <w:lang w:val="en-US" w:eastAsia="zh-CN"/>
                    </w:rPr>
                    <w:t>/</w:t>
                  </w:r>
                </w:p>
              </w:tc>
              <w:tc>
                <w:tcPr>
                  <w:tcW w:w="870" w:type="dxa"/>
                  <w:vAlign w:val="center"/>
                </w:tcPr>
                <w:p w14:paraId="42ED3F23">
                  <w:pPr>
                    <w:pStyle w:val="24"/>
                    <w:bidi w:val="0"/>
                    <w:jc w:val="center"/>
                    <w:rPr>
                      <w:rFonts w:hint="default"/>
                      <w:color w:val="auto"/>
                      <w:u w:val="single"/>
                      <w:lang w:val="en-US" w:eastAsia="zh-CN"/>
                    </w:rPr>
                  </w:pPr>
                  <w:r>
                    <w:rPr>
                      <w:rFonts w:hint="eastAsia"/>
                      <w:color w:val="auto"/>
                      <w:u w:val="single"/>
                      <w:lang w:val="en-US" w:eastAsia="zh-CN"/>
                    </w:rPr>
                    <w:t>100（万</w:t>
                  </w:r>
                  <w:r>
                    <w:rPr>
                      <w:rFonts w:hint="default"/>
                      <w:color w:val="auto"/>
                      <w:u w:val="single"/>
                      <w:lang w:val="en-US" w:eastAsia="zh-CN"/>
                    </w:rPr>
                    <w:t>个/a</w:t>
                  </w:r>
                  <w:r>
                    <w:rPr>
                      <w:rFonts w:hint="eastAsia"/>
                      <w:color w:val="auto"/>
                      <w:u w:val="single"/>
                      <w:lang w:val="en-US" w:eastAsia="zh-CN"/>
                    </w:rPr>
                    <w:t>）</w:t>
                  </w:r>
                </w:p>
              </w:tc>
              <w:tc>
                <w:tcPr>
                  <w:tcW w:w="1198" w:type="dxa"/>
                  <w:vAlign w:val="center"/>
                </w:tcPr>
                <w:p w14:paraId="36C8F805">
                  <w:pPr>
                    <w:pStyle w:val="24"/>
                    <w:bidi w:val="0"/>
                    <w:jc w:val="center"/>
                    <w:rPr>
                      <w:rFonts w:hint="default"/>
                      <w:color w:val="auto"/>
                      <w:u w:val="single"/>
                      <w:lang w:val="en-US" w:eastAsia="zh-CN"/>
                    </w:rPr>
                  </w:pPr>
                  <w:r>
                    <w:rPr>
                      <w:rFonts w:hint="eastAsia"/>
                      <w:color w:val="auto"/>
                      <w:u w:val="single"/>
                      <w:lang w:val="en-US" w:eastAsia="zh-CN"/>
                    </w:rPr>
                    <w:t>外售</w:t>
                  </w:r>
                </w:p>
              </w:tc>
            </w:tr>
            <w:tr w14:paraId="5B46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restart"/>
                  <w:vAlign w:val="center"/>
                </w:tcPr>
                <w:p w14:paraId="0A2A1BEA">
                  <w:pPr>
                    <w:pStyle w:val="24"/>
                    <w:bidi w:val="0"/>
                    <w:ind w:firstLine="0" w:firstLineChars="0"/>
                    <w:jc w:val="center"/>
                    <w:rPr>
                      <w:rFonts w:hint="default"/>
                      <w:color w:val="auto"/>
                      <w:u w:val="single"/>
                      <w:lang w:val="en-US" w:eastAsia="zh-CN"/>
                    </w:rPr>
                  </w:pPr>
                  <w:r>
                    <w:rPr>
                      <w:rFonts w:hint="eastAsia"/>
                      <w:u w:val="single" w:color="auto"/>
                      <w:lang w:val="en-US" w:eastAsia="zh-CN"/>
                    </w:rPr>
                    <w:t>危险废物</w:t>
                  </w:r>
                </w:p>
              </w:tc>
              <w:tc>
                <w:tcPr>
                  <w:tcW w:w="1017" w:type="dxa"/>
                  <w:vAlign w:val="center"/>
                </w:tcPr>
                <w:p w14:paraId="47381635">
                  <w:pPr>
                    <w:pStyle w:val="24"/>
                    <w:bidi w:val="0"/>
                    <w:ind w:firstLine="0" w:firstLineChars="0"/>
                    <w:jc w:val="center"/>
                    <w:rPr>
                      <w:rFonts w:hint="default"/>
                      <w:color w:val="auto"/>
                      <w:u w:val="single"/>
                      <w:lang w:val="en-US" w:eastAsia="zh-CN"/>
                    </w:rPr>
                  </w:pPr>
                  <w:r>
                    <w:rPr>
                      <w:rFonts w:hint="eastAsia"/>
                      <w:u w:val="single" w:color="auto"/>
                      <w:lang w:val="en-US" w:eastAsia="zh-CN"/>
                    </w:rPr>
                    <w:t>废矿物油及包装桶</w:t>
                  </w:r>
                </w:p>
              </w:tc>
              <w:tc>
                <w:tcPr>
                  <w:tcW w:w="660" w:type="dxa"/>
                  <w:vMerge w:val="restart"/>
                  <w:vAlign w:val="center"/>
                </w:tcPr>
                <w:p w14:paraId="51946BA0">
                  <w:pPr>
                    <w:pStyle w:val="24"/>
                    <w:bidi w:val="0"/>
                    <w:ind w:firstLine="0" w:firstLineChars="0"/>
                    <w:jc w:val="center"/>
                    <w:rPr>
                      <w:rFonts w:hint="eastAsia"/>
                      <w:color w:val="auto"/>
                      <w:u w:val="single"/>
                      <w:lang w:val="en-US" w:eastAsia="zh-CN"/>
                    </w:rPr>
                  </w:pPr>
                  <w:r>
                    <w:rPr>
                      <w:rFonts w:hint="eastAsia"/>
                      <w:u w:val="single" w:color="auto"/>
                      <w:lang w:val="en-US" w:eastAsia="zh-CN"/>
                    </w:rPr>
                    <w:t>生产操作</w:t>
                  </w:r>
                </w:p>
              </w:tc>
              <w:tc>
                <w:tcPr>
                  <w:tcW w:w="1313" w:type="dxa"/>
                  <w:vAlign w:val="center"/>
                </w:tcPr>
                <w:p w14:paraId="6671F59A">
                  <w:pPr>
                    <w:pStyle w:val="24"/>
                    <w:bidi w:val="0"/>
                    <w:jc w:val="center"/>
                    <w:rPr>
                      <w:rFonts w:hint="default"/>
                      <w:u w:val="single" w:color="auto"/>
                      <w:lang w:val="en-US" w:eastAsia="zh-CN"/>
                    </w:rPr>
                  </w:pPr>
                  <w:r>
                    <w:rPr>
                      <w:rFonts w:hint="default"/>
                      <w:u w:val="single" w:color="auto"/>
                      <w:lang w:val="en-US" w:eastAsia="zh-CN"/>
                    </w:rPr>
                    <w:t>HW08</w:t>
                  </w:r>
                </w:p>
                <w:p w14:paraId="1D99EEF9">
                  <w:pPr>
                    <w:pStyle w:val="24"/>
                    <w:bidi w:val="0"/>
                    <w:ind w:firstLine="0" w:firstLineChars="0"/>
                    <w:jc w:val="center"/>
                    <w:rPr>
                      <w:rFonts w:hint="eastAsia"/>
                      <w:color w:val="auto"/>
                      <w:u w:val="single"/>
                      <w:lang w:val="en-US" w:eastAsia="zh-CN"/>
                    </w:rPr>
                  </w:pPr>
                  <w:r>
                    <w:rPr>
                      <w:rFonts w:hint="default"/>
                      <w:u w:val="single" w:color="auto"/>
                      <w:lang w:val="en-US" w:eastAsia="zh-CN"/>
                    </w:rPr>
                    <w:t>900-214-08</w:t>
                  </w:r>
                </w:p>
              </w:tc>
              <w:tc>
                <w:tcPr>
                  <w:tcW w:w="837" w:type="dxa"/>
                  <w:vMerge w:val="restart"/>
                  <w:vAlign w:val="center"/>
                </w:tcPr>
                <w:p w14:paraId="292405E8">
                  <w:pPr>
                    <w:pStyle w:val="24"/>
                    <w:bidi w:val="0"/>
                    <w:ind w:firstLine="0" w:firstLineChars="0"/>
                    <w:jc w:val="center"/>
                    <w:rPr>
                      <w:rFonts w:hint="eastAsia"/>
                      <w:color w:val="auto"/>
                      <w:u w:val="single"/>
                      <w:lang w:val="en-US" w:eastAsia="zh-CN"/>
                    </w:rPr>
                  </w:pPr>
                  <w:r>
                    <w:rPr>
                      <w:rFonts w:hint="default"/>
                      <w:u w:val="single" w:color="auto"/>
                      <w:lang w:val="en-US" w:eastAsia="zh-CN"/>
                    </w:rPr>
                    <w:t>废矿物油</w:t>
                  </w:r>
                </w:p>
              </w:tc>
              <w:tc>
                <w:tcPr>
                  <w:tcW w:w="653" w:type="dxa"/>
                  <w:vAlign w:val="center"/>
                </w:tcPr>
                <w:p w14:paraId="08FCD78B">
                  <w:pPr>
                    <w:pStyle w:val="24"/>
                    <w:bidi w:val="0"/>
                    <w:ind w:firstLine="0" w:firstLineChars="0"/>
                    <w:jc w:val="center"/>
                    <w:rPr>
                      <w:rFonts w:hint="eastAsia"/>
                      <w:color w:val="auto"/>
                      <w:u w:val="single"/>
                      <w:lang w:val="en-US" w:eastAsia="zh-CN"/>
                    </w:rPr>
                  </w:pPr>
                  <w:r>
                    <w:rPr>
                      <w:rFonts w:hint="eastAsia"/>
                      <w:u w:val="single" w:color="auto"/>
                      <w:lang w:val="en-US" w:eastAsia="zh-CN"/>
                    </w:rPr>
                    <w:t>液、固</w:t>
                  </w:r>
                </w:p>
              </w:tc>
              <w:tc>
                <w:tcPr>
                  <w:tcW w:w="697" w:type="dxa"/>
                  <w:vAlign w:val="center"/>
                </w:tcPr>
                <w:p w14:paraId="53F02B25">
                  <w:pPr>
                    <w:pStyle w:val="24"/>
                    <w:bidi w:val="0"/>
                    <w:ind w:firstLine="0" w:firstLineChars="0"/>
                    <w:jc w:val="center"/>
                    <w:rPr>
                      <w:rFonts w:hint="eastAsia"/>
                      <w:color w:val="auto"/>
                      <w:u w:val="single"/>
                      <w:lang w:val="en-US" w:eastAsia="zh-CN"/>
                    </w:rPr>
                  </w:pPr>
                  <w:r>
                    <w:rPr>
                      <w:rFonts w:hint="default"/>
                      <w:u w:val="single" w:color="auto"/>
                      <w:lang w:val="en-US" w:eastAsia="zh-CN"/>
                    </w:rPr>
                    <w:t>T，I</w:t>
                  </w:r>
                </w:p>
              </w:tc>
              <w:tc>
                <w:tcPr>
                  <w:tcW w:w="870" w:type="dxa"/>
                  <w:vAlign w:val="center"/>
                </w:tcPr>
                <w:p w14:paraId="47DFAECF">
                  <w:pPr>
                    <w:pStyle w:val="24"/>
                    <w:bidi w:val="0"/>
                    <w:ind w:firstLine="0" w:firstLineChars="0"/>
                    <w:jc w:val="center"/>
                    <w:rPr>
                      <w:rFonts w:hint="eastAsia"/>
                      <w:color w:val="auto"/>
                      <w:u w:val="single"/>
                      <w:lang w:val="en-US" w:eastAsia="zh-CN"/>
                    </w:rPr>
                  </w:pPr>
                  <w:r>
                    <w:rPr>
                      <w:rFonts w:hint="eastAsia"/>
                      <w:color w:val="auto"/>
                      <w:u w:val="single" w:color="auto"/>
                      <w:lang w:val="en-US" w:eastAsia="zh-CN"/>
                    </w:rPr>
                    <w:t>0.1</w:t>
                  </w:r>
                </w:p>
              </w:tc>
              <w:tc>
                <w:tcPr>
                  <w:tcW w:w="1198" w:type="dxa"/>
                  <w:vMerge w:val="restart"/>
                  <w:vAlign w:val="center"/>
                </w:tcPr>
                <w:p w14:paraId="7D680073">
                  <w:pPr>
                    <w:pStyle w:val="24"/>
                    <w:bidi w:val="0"/>
                    <w:jc w:val="center"/>
                    <w:rPr>
                      <w:rFonts w:hint="eastAsia"/>
                      <w:color w:val="auto"/>
                      <w:u w:val="single"/>
                      <w:lang w:val="en-US" w:eastAsia="zh-CN"/>
                    </w:rPr>
                  </w:pPr>
                  <w:r>
                    <w:rPr>
                      <w:rFonts w:hint="default"/>
                      <w:u w:val="single" w:color="auto"/>
                      <w:lang w:val="en-US" w:eastAsia="zh-CN"/>
                    </w:rPr>
                    <w:t>定期交由有资质的单位处置</w:t>
                  </w:r>
                </w:p>
              </w:tc>
            </w:tr>
            <w:tr w14:paraId="43FA3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Merge w:val="continue"/>
                  <w:vAlign w:val="center"/>
                </w:tcPr>
                <w:p w14:paraId="74577242">
                  <w:pPr>
                    <w:pStyle w:val="24"/>
                    <w:bidi w:val="0"/>
                    <w:ind w:firstLine="0" w:firstLineChars="0"/>
                    <w:jc w:val="center"/>
                    <w:rPr>
                      <w:rFonts w:hint="default"/>
                      <w:color w:val="auto"/>
                      <w:u w:val="single"/>
                      <w:lang w:val="en-US" w:eastAsia="zh-CN"/>
                    </w:rPr>
                  </w:pPr>
                </w:p>
              </w:tc>
              <w:tc>
                <w:tcPr>
                  <w:tcW w:w="1017" w:type="dxa"/>
                  <w:vAlign w:val="center"/>
                </w:tcPr>
                <w:p w14:paraId="5ED0993A">
                  <w:pPr>
                    <w:pStyle w:val="24"/>
                    <w:bidi w:val="0"/>
                    <w:ind w:firstLine="0" w:firstLineChars="0"/>
                    <w:jc w:val="center"/>
                    <w:rPr>
                      <w:rFonts w:hint="default"/>
                      <w:color w:val="auto"/>
                      <w:u w:val="single"/>
                      <w:lang w:val="en-US" w:eastAsia="zh-CN"/>
                    </w:rPr>
                  </w:pPr>
                  <w:r>
                    <w:rPr>
                      <w:rFonts w:hint="default"/>
                      <w:u w:val="single" w:color="auto"/>
                      <w:lang w:val="en-US" w:eastAsia="zh-CN"/>
                    </w:rPr>
                    <w:t>废含油抹布及手套</w:t>
                  </w:r>
                </w:p>
              </w:tc>
              <w:tc>
                <w:tcPr>
                  <w:tcW w:w="660" w:type="dxa"/>
                  <w:vMerge w:val="continue"/>
                  <w:vAlign w:val="center"/>
                </w:tcPr>
                <w:p w14:paraId="0389C029">
                  <w:pPr>
                    <w:pStyle w:val="24"/>
                    <w:bidi w:val="0"/>
                    <w:ind w:firstLine="0" w:firstLineChars="0"/>
                    <w:jc w:val="center"/>
                    <w:rPr>
                      <w:rFonts w:hint="eastAsia"/>
                      <w:color w:val="auto"/>
                      <w:u w:val="single"/>
                      <w:lang w:val="en-US" w:eastAsia="zh-CN"/>
                    </w:rPr>
                  </w:pPr>
                </w:p>
              </w:tc>
              <w:tc>
                <w:tcPr>
                  <w:tcW w:w="1313" w:type="dxa"/>
                  <w:vAlign w:val="center"/>
                </w:tcPr>
                <w:p w14:paraId="7DE1D9E7">
                  <w:pPr>
                    <w:pStyle w:val="24"/>
                    <w:bidi w:val="0"/>
                    <w:jc w:val="center"/>
                    <w:rPr>
                      <w:rFonts w:hint="default"/>
                      <w:u w:val="single" w:color="auto"/>
                      <w:lang w:val="en-US" w:eastAsia="zh-CN"/>
                    </w:rPr>
                  </w:pPr>
                  <w:r>
                    <w:rPr>
                      <w:rFonts w:hint="default"/>
                      <w:u w:val="single" w:color="auto"/>
                      <w:lang w:val="en-US" w:eastAsia="zh-CN"/>
                    </w:rPr>
                    <w:t>HW49</w:t>
                  </w:r>
                </w:p>
                <w:p w14:paraId="444B0AC0">
                  <w:pPr>
                    <w:pStyle w:val="24"/>
                    <w:bidi w:val="0"/>
                    <w:ind w:firstLine="0" w:firstLineChars="0"/>
                    <w:jc w:val="center"/>
                    <w:rPr>
                      <w:rFonts w:hint="eastAsia"/>
                      <w:color w:val="auto"/>
                      <w:u w:val="single"/>
                      <w:lang w:val="en-US" w:eastAsia="zh-CN"/>
                    </w:rPr>
                  </w:pPr>
                  <w:r>
                    <w:rPr>
                      <w:rFonts w:hint="default"/>
                      <w:u w:val="single" w:color="auto"/>
                      <w:lang w:val="en-US" w:eastAsia="zh-CN"/>
                    </w:rPr>
                    <w:t>900-041-49</w:t>
                  </w:r>
                </w:p>
              </w:tc>
              <w:tc>
                <w:tcPr>
                  <w:tcW w:w="837" w:type="dxa"/>
                  <w:vMerge w:val="continue"/>
                  <w:vAlign w:val="center"/>
                </w:tcPr>
                <w:p w14:paraId="42954D37">
                  <w:pPr>
                    <w:pStyle w:val="24"/>
                    <w:bidi w:val="0"/>
                    <w:ind w:firstLine="0" w:firstLineChars="0"/>
                    <w:jc w:val="center"/>
                    <w:rPr>
                      <w:rFonts w:hint="eastAsia"/>
                      <w:color w:val="auto"/>
                      <w:u w:val="single"/>
                      <w:lang w:val="en-US" w:eastAsia="zh-CN"/>
                    </w:rPr>
                  </w:pPr>
                </w:p>
              </w:tc>
              <w:tc>
                <w:tcPr>
                  <w:tcW w:w="653" w:type="dxa"/>
                  <w:vAlign w:val="center"/>
                </w:tcPr>
                <w:p w14:paraId="7562691B">
                  <w:pPr>
                    <w:pStyle w:val="24"/>
                    <w:bidi w:val="0"/>
                    <w:ind w:firstLine="0" w:firstLineChars="0"/>
                    <w:jc w:val="center"/>
                    <w:rPr>
                      <w:rFonts w:hint="eastAsia"/>
                      <w:color w:val="auto"/>
                      <w:u w:val="single"/>
                      <w:lang w:val="en-US" w:eastAsia="zh-CN"/>
                    </w:rPr>
                  </w:pPr>
                  <w:r>
                    <w:rPr>
                      <w:rFonts w:hint="eastAsia"/>
                      <w:u w:val="single" w:color="auto"/>
                      <w:lang w:val="en-US" w:eastAsia="zh-CN"/>
                    </w:rPr>
                    <w:t>固</w:t>
                  </w:r>
                </w:p>
              </w:tc>
              <w:tc>
                <w:tcPr>
                  <w:tcW w:w="697" w:type="dxa"/>
                  <w:vAlign w:val="center"/>
                </w:tcPr>
                <w:p w14:paraId="560737FF">
                  <w:pPr>
                    <w:pStyle w:val="24"/>
                    <w:bidi w:val="0"/>
                    <w:ind w:firstLine="0" w:firstLineChars="0"/>
                    <w:jc w:val="center"/>
                    <w:rPr>
                      <w:rFonts w:hint="eastAsia"/>
                      <w:color w:val="auto"/>
                      <w:u w:val="single"/>
                      <w:lang w:val="en-US" w:eastAsia="zh-CN"/>
                    </w:rPr>
                  </w:pPr>
                  <w:r>
                    <w:rPr>
                      <w:rFonts w:hint="default"/>
                      <w:u w:val="single" w:color="auto"/>
                      <w:lang w:val="en-US" w:eastAsia="zh-CN"/>
                    </w:rPr>
                    <w:t>T/In</w:t>
                  </w:r>
                </w:p>
              </w:tc>
              <w:tc>
                <w:tcPr>
                  <w:tcW w:w="870" w:type="dxa"/>
                  <w:vAlign w:val="center"/>
                </w:tcPr>
                <w:p w14:paraId="5E075967">
                  <w:pPr>
                    <w:pStyle w:val="24"/>
                    <w:bidi w:val="0"/>
                    <w:ind w:firstLine="0" w:firstLineChars="0"/>
                    <w:jc w:val="center"/>
                    <w:rPr>
                      <w:rFonts w:hint="eastAsia"/>
                      <w:color w:val="auto"/>
                      <w:u w:val="single"/>
                      <w:lang w:val="en-US" w:eastAsia="zh-CN"/>
                    </w:rPr>
                  </w:pPr>
                  <w:r>
                    <w:rPr>
                      <w:rFonts w:hint="eastAsia"/>
                      <w:color w:val="auto"/>
                      <w:u w:val="single" w:color="auto"/>
                      <w:lang w:val="en-US" w:eastAsia="zh-CN"/>
                    </w:rPr>
                    <w:t>0.1</w:t>
                  </w:r>
                </w:p>
              </w:tc>
              <w:tc>
                <w:tcPr>
                  <w:tcW w:w="1198" w:type="dxa"/>
                  <w:vMerge w:val="continue"/>
                  <w:vAlign w:val="center"/>
                </w:tcPr>
                <w:p w14:paraId="70660D61">
                  <w:pPr>
                    <w:pStyle w:val="24"/>
                    <w:bidi w:val="0"/>
                    <w:jc w:val="center"/>
                    <w:rPr>
                      <w:rFonts w:hint="eastAsia"/>
                      <w:color w:val="auto"/>
                      <w:u w:val="single"/>
                      <w:lang w:val="en-US" w:eastAsia="zh-CN"/>
                    </w:rPr>
                  </w:pPr>
                </w:p>
              </w:tc>
            </w:tr>
            <w:tr w14:paraId="0A508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4" w:type="dxa"/>
                  <w:vAlign w:val="center"/>
                </w:tcPr>
                <w:p w14:paraId="13D1E261">
                  <w:pPr>
                    <w:pStyle w:val="24"/>
                    <w:bidi w:val="0"/>
                    <w:jc w:val="center"/>
                    <w:rPr>
                      <w:rFonts w:hint="default"/>
                      <w:color w:val="auto"/>
                      <w:u w:val="single"/>
                      <w:lang w:val="en-US" w:eastAsia="zh-CN"/>
                    </w:rPr>
                  </w:pPr>
                  <w:r>
                    <w:rPr>
                      <w:rFonts w:hint="eastAsia"/>
                      <w:color w:val="auto"/>
                      <w:u w:val="single"/>
                      <w:lang w:val="en-US" w:eastAsia="zh-CN"/>
                    </w:rPr>
                    <w:t>生活垃圾</w:t>
                  </w:r>
                </w:p>
              </w:tc>
              <w:tc>
                <w:tcPr>
                  <w:tcW w:w="1017" w:type="dxa"/>
                  <w:vAlign w:val="center"/>
                </w:tcPr>
                <w:p w14:paraId="5118B7CB">
                  <w:pPr>
                    <w:pStyle w:val="24"/>
                    <w:bidi w:val="0"/>
                    <w:jc w:val="center"/>
                    <w:rPr>
                      <w:rFonts w:hint="default"/>
                      <w:color w:val="auto"/>
                      <w:u w:val="single"/>
                      <w:lang w:val="en-US" w:eastAsia="zh-CN"/>
                    </w:rPr>
                  </w:pPr>
                  <w:r>
                    <w:rPr>
                      <w:rFonts w:hint="eastAsia"/>
                      <w:color w:val="auto"/>
                      <w:u w:val="single"/>
                      <w:lang w:val="en-US" w:eastAsia="zh-CN"/>
                    </w:rPr>
                    <w:t>生活垃圾</w:t>
                  </w:r>
                </w:p>
              </w:tc>
              <w:tc>
                <w:tcPr>
                  <w:tcW w:w="660" w:type="dxa"/>
                  <w:vAlign w:val="center"/>
                </w:tcPr>
                <w:p w14:paraId="6EF267F4">
                  <w:pPr>
                    <w:pStyle w:val="24"/>
                    <w:bidi w:val="0"/>
                    <w:jc w:val="center"/>
                    <w:rPr>
                      <w:rFonts w:hint="default"/>
                      <w:color w:val="auto"/>
                      <w:u w:val="single"/>
                      <w:lang w:val="en-US" w:eastAsia="zh-CN"/>
                    </w:rPr>
                  </w:pPr>
                  <w:r>
                    <w:rPr>
                      <w:rFonts w:hint="eastAsia"/>
                      <w:color w:val="auto"/>
                      <w:u w:val="single"/>
                      <w:lang w:val="en-US" w:eastAsia="zh-CN"/>
                    </w:rPr>
                    <w:t>员工生活</w:t>
                  </w:r>
                </w:p>
              </w:tc>
              <w:tc>
                <w:tcPr>
                  <w:tcW w:w="1313" w:type="dxa"/>
                  <w:vAlign w:val="center"/>
                </w:tcPr>
                <w:p w14:paraId="19D74DE0">
                  <w:pPr>
                    <w:pStyle w:val="24"/>
                    <w:bidi w:val="0"/>
                    <w:jc w:val="center"/>
                    <w:rPr>
                      <w:rFonts w:hint="default"/>
                      <w:color w:val="auto"/>
                      <w:u w:val="single"/>
                      <w:lang w:val="en-US" w:eastAsia="zh-CN"/>
                    </w:rPr>
                  </w:pPr>
                  <w:r>
                    <w:rPr>
                      <w:rFonts w:hint="eastAsia"/>
                      <w:color w:val="auto"/>
                      <w:u w:val="single"/>
                      <w:lang w:val="en-US" w:eastAsia="zh-CN"/>
                    </w:rPr>
                    <w:t>SW61 900-002-S60</w:t>
                  </w:r>
                </w:p>
              </w:tc>
              <w:tc>
                <w:tcPr>
                  <w:tcW w:w="837" w:type="dxa"/>
                  <w:vAlign w:val="center"/>
                </w:tcPr>
                <w:p w14:paraId="37C31CA3">
                  <w:pPr>
                    <w:pStyle w:val="24"/>
                    <w:bidi w:val="0"/>
                    <w:jc w:val="center"/>
                    <w:rPr>
                      <w:rFonts w:hint="default"/>
                      <w:color w:val="auto"/>
                      <w:u w:val="single"/>
                      <w:lang w:val="en-US" w:eastAsia="zh-CN"/>
                    </w:rPr>
                  </w:pPr>
                  <w:r>
                    <w:rPr>
                      <w:rFonts w:hint="eastAsia"/>
                      <w:color w:val="auto"/>
                      <w:u w:val="single"/>
                      <w:lang w:val="en-US" w:eastAsia="zh-CN"/>
                    </w:rPr>
                    <w:t>/</w:t>
                  </w:r>
                </w:p>
              </w:tc>
              <w:tc>
                <w:tcPr>
                  <w:tcW w:w="653" w:type="dxa"/>
                  <w:vAlign w:val="center"/>
                </w:tcPr>
                <w:p w14:paraId="7FE4F1C0">
                  <w:pPr>
                    <w:pStyle w:val="24"/>
                    <w:bidi w:val="0"/>
                    <w:jc w:val="center"/>
                    <w:rPr>
                      <w:rFonts w:hint="default"/>
                      <w:color w:val="auto"/>
                      <w:u w:val="single"/>
                      <w:lang w:val="en-US" w:eastAsia="zh-CN"/>
                    </w:rPr>
                  </w:pPr>
                  <w:r>
                    <w:rPr>
                      <w:rFonts w:hint="eastAsia"/>
                      <w:color w:val="auto"/>
                      <w:u w:val="single"/>
                      <w:lang w:val="en-US" w:eastAsia="zh-CN"/>
                    </w:rPr>
                    <w:t>固</w:t>
                  </w:r>
                </w:p>
              </w:tc>
              <w:tc>
                <w:tcPr>
                  <w:tcW w:w="697" w:type="dxa"/>
                  <w:vAlign w:val="center"/>
                </w:tcPr>
                <w:p w14:paraId="543FD3FA">
                  <w:pPr>
                    <w:pStyle w:val="24"/>
                    <w:bidi w:val="0"/>
                    <w:jc w:val="center"/>
                    <w:rPr>
                      <w:rFonts w:hint="default"/>
                      <w:color w:val="auto"/>
                      <w:u w:val="single"/>
                      <w:lang w:val="en-US" w:eastAsia="zh-CN"/>
                    </w:rPr>
                  </w:pPr>
                  <w:r>
                    <w:rPr>
                      <w:rFonts w:hint="eastAsia"/>
                      <w:color w:val="auto"/>
                      <w:u w:val="single"/>
                      <w:lang w:val="en-US" w:eastAsia="zh-CN"/>
                    </w:rPr>
                    <w:t>/</w:t>
                  </w:r>
                </w:p>
              </w:tc>
              <w:tc>
                <w:tcPr>
                  <w:tcW w:w="870" w:type="dxa"/>
                  <w:vAlign w:val="center"/>
                </w:tcPr>
                <w:p w14:paraId="086A3F39">
                  <w:pPr>
                    <w:pStyle w:val="24"/>
                    <w:bidi w:val="0"/>
                    <w:jc w:val="center"/>
                    <w:rPr>
                      <w:rFonts w:hint="default"/>
                      <w:color w:val="auto"/>
                      <w:u w:val="single"/>
                      <w:lang w:val="en-US" w:eastAsia="zh-CN"/>
                    </w:rPr>
                  </w:pPr>
                  <w:r>
                    <w:rPr>
                      <w:rFonts w:hint="eastAsia"/>
                      <w:color w:val="auto"/>
                      <w:u w:val="single"/>
                      <w:lang w:val="en-US" w:eastAsia="zh-CN"/>
                    </w:rPr>
                    <w:t>6.4</w:t>
                  </w:r>
                </w:p>
              </w:tc>
              <w:tc>
                <w:tcPr>
                  <w:tcW w:w="1198" w:type="dxa"/>
                  <w:vAlign w:val="center"/>
                </w:tcPr>
                <w:p w14:paraId="096F05BF">
                  <w:pPr>
                    <w:pStyle w:val="24"/>
                    <w:bidi w:val="0"/>
                    <w:jc w:val="center"/>
                    <w:rPr>
                      <w:rFonts w:hint="default"/>
                      <w:color w:val="auto"/>
                      <w:u w:val="single"/>
                      <w:lang w:val="en-US" w:eastAsia="zh-CN"/>
                    </w:rPr>
                  </w:pPr>
                  <w:r>
                    <w:rPr>
                      <w:rFonts w:hint="default"/>
                      <w:color w:val="auto"/>
                      <w:u w:val="single"/>
                      <w:lang w:val="en-US" w:eastAsia="zh-CN"/>
                    </w:rPr>
                    <w:t>交由环卫部门处置</w:t>
                  </w:r>
                </w:p>
              </w:tc>
            </w:tr>
          </w:tbl>
          <w:p w14:paraId="505867E0">
            <w:pPr>
              <w:pStyle w:val="21"/>
              <w:bidi w:val="0"/>
              <w:ind w:left="0" w:leftChars="0" w:firstLine="482" w:firstLineChars="200"/>
              <w:rPr>
                <w:rFonts w:hint="default"/>
                <w:color w:val="auto"/>
                <w:lang w:val="en-US" w:eastAsia="zh-CN"/>
              </w:rPr>
            </w:pPr>
            <w:r>
              <w:rPr>
                <w:rFonts w:hint="default"/>
                <w:color w:val="auto"/>
                <w:lang w:val="en-US" w:eastAsia="zh-CN"/>
              </w:rPr>
              <w:t>4.2</w:t>
            </w:r>
            <w:r>
              <w:rPr>
                <w:rFonts w:hint="eastAsia"/>
                <w:color w:val="auto"/>
                <w:lang w:val="en-US" w:eastAsia="zh-CN"/>
              </w:rPr>
              <w:t xml:space="preserve"> </w:t>
            </w:r>
            <w:r>
              <w:rPr>
                <w:rFonts w:hint="default"/>
                <w:color w:val="auto"/>
                <w:lang w:val="en-US" w:eastAsia="zh-CN"/>
              </w:rPr>
              <w:t>固体废物管理要求</w:t>
            </w:r>
          </w:p>
          <w:p w14:paraId="230D1BA5">
            <w:pPr>
              <w:pStyle w:val="22"/>
              <w:bidi w:val="0"/>
              <w:rPr>
                <w:rFonts w:hint="default"/>
                <w:color w:val="auto"/>
                <w:lang w:val="en-US" w:eastAsia="zh-CN"/>
              </w:rPr>
            </w:pPr>
            <w:r>
              <w:rPr>
                <w:rFonts w:hint="default"/>
                <w:color w:val="auto"/>
                <w:lang w:val="en-US" w:eastAsia="zh-CN"/>
              </w:rPr>
              <w:t>（1）危废暂存间</w:t>
            </w:r>
          </w:p>
          <w:p w14:paraId="765A6028">
            <w:pPr>
              <w:pStyle w:val="22"/>
              <w:bidi w:val="0"/>
              <w:rPr>
                <w:rFonts w:hint="default"/>
                <w:color w:val="auto"/>
                <w:lang w:val="en-US" w:eastAsia="zh-CN"/>
              </w:rPr>
            </w:pPr>
            <w:r>
              <w:rPr>
                <w:rFonts w:hint="default"/>
                <w:color w:val="auto"/>
                <w:lang w:val="en-US" w:eastAsia="zh-CN"/>
              </w:rPr>
              <w:t>项目营运过程中废矿物油</w:t>
            </w:r>
            <w:r>
              <w:rPr>
                <w:rFonts w:hint="eastAsia"/>
                <w:color w:val="auto"/>
                <w:lang w:val="en-US" w:eastAsia="zh-CN"/>
              </w:rPr>
              <w:t>及包装桶</w:t>
            </w:r>
            <w:r>
              <w:rPr>
                <w:rFonts w:hint="default"/>
                <w:color w:val="auto"/>
                <w:lang w:val="en-US" w:eastAsia="zh-CN"/>
              </w:rPr>
              <w:t>、废含油抹布及手套属于危险废物，收集暂存于</w:t>
            </w:r>
            <w:r>
              <w:rPr>
                <w:rFonts w:hint="eastAsia"/>
                <w:color w:val="auto"/>
                <w:lang w:val="en-US" w:eastAsia="zh-CN"/>
              </w:rPr>
              <w:t>生产车间西侧的</w:t>
            </w:r>
            <w:r>
              <w:rPr>
                <w:rFonts w:hint="default"/>
                <w:color w:val="auto"/>
                <w:lang w:val="en-US" w:eastAsia="zh-CN"/>
              </w:rPr>
              <w:t>危废暂存间</w:t>
            </w:r>
            <w:r>
              <w:rPr>
                <w:rFonts w:hint="eastAsia"/>
                <w:color w:val="auto"/>
                <w:lang w:val="en-US" w:eastAsia="zh-CN"/>
              </w:rPr>
              <w:t>（约5m</w:t>
            </w:r>
            <w:r>
              <w:rPr>
                <w:rFonts w:hint="eastAsia"/>
                <w:color w:val="auto"/>
                <w:vertAlign w:val="superscript"/>
                <w:lang w:val="en-US" w:eastAsia="zh-CN"/>
              </w:rPr>
              <w:t>2</w:t>
            </w:r>
            <w:r>
              <w:rPr>
                <w:rFonts w:hint="eastAsia"/>
                <w:color w:val="auto"/>
                <w:lang w:val="en-US" w:eastAsia="zh-CN"/>
              </w:rPr>
              <w:t>）</w:t>
            </w:r>
            <w:r>
              <w:rPr>
                <w:rFonts w:hint="default"/>
                <w:color w:val="4874CB" w:themeColor="accent1"/>
                <w:lang w:val="en-US" w:eastAsia="zh-CN"/>
                <w14:textFill>
                  <w14:solidFill>
                    <w14:schemeClr w14:val="accent1"/>
                  </w14:solidFill>
                </w14:textFill>
              </w:rPr>
              <w:t>，</w:t>
            </w:r>
            <w:r>
              <w:rPr>
                <w:rFonts w:hint="default"/>
                <w:color w:val="auto"/>
                <w:lang w:val="en-US" w:eastAsia="zh-CN"/>
              </w:rPr>
              <w:t>定期交由有资质的单位处置。项目危废暂存间的建设必须满足《危险废物贮存污染控制标准》（GB18597-2023）的相关要求。</w:t>
            </w:r>
          </w:p>
          <w:p w14:paraId="75E380E1">
            <w:pPr>
              <w:pStyle w:val="22"/>
              <w:bidi w:val="0"/>
              <w:rPr>
                <w:rFonts w:hint="default"/>
                <w:color w:val="auto"/>
                <w:lang w:val="en-US" w:eastAsia="zh-CN"/>
              </w:rPr>
            </w:pPr>
            <w:r>
              <w:rPr>
                <w:rFonts w:hint="default"/>
                <w:color w:val="auto"/>
                <w:lang w:val="en-US" w:eastAsia="zh-CN"/>
              </w:rPr>
              <w:t>危险废物处理处置过程中的环境管理要求：</w:t>
            </w:r>
          </w:p>
          <w:p w14:paraId="211EE0AB">
            <w:pPr>
              <w:pStyle w:val="22"/>
              <w:bidi w:val="0"/>
              <w:rPr>
                <w:rFonts w:hint="default"/>
                <w:color w:val="auto"/>
                <w:lang w:val="en-US" w:eastAsia="zh-CN"/>
              </w:rPr>
            </w:pPr>
            <w:r>
              <w:rPr>
                <w:rFonts w:hint="eastAsia"/>
                <w:color w:val="auto"/>
                <w:lang w:val="en-US" w:eastAsia="zh-CN"/>
              </w:rPr>
              <w:t>1）</w:t>
            </w:r>
            <w:r>
              <w:rPr>
                <w:rFonts w:hint="default"/>
                <w:color w:val="auto"/>
                <w:lang w:val="en-US" w:eastAsia="zh-CN"/>
              </w:rPr>
              <w:t>危险废物的收集容器和临时贮存场所应严格按照《危险废物贮存污染控制标准》（GB 18597-2023）中的有关规定执行。贮存区必须按GB15562.2 的规定设置警示标志，并具有防雨淋、防日晒、防渗漏措施，且危险废物要有专用的收集容器，定期对所贮存的危险废物贮存设施进行检查，发现破损，应及时采取措施。根据业主介绍，按照《危险废物污染防治技术政策》（环发[2001]199 号）、《危险废物贮存污染控制标准》（GB 18597-2023）、《建设项目危险废物环境影响评价指南》等文件</w:t>
            </w:r>
            <w:r>
              <w:rPr>
                <w:rFonts w:hint="eastAsia"/>
                <w:color w:val="auto"/>
                <w:lang w:val="en-US" w:eastAsia="zh-CN"/>
              </w:rPr>
              <w:t>、</w:t>
            </w:r>
            <w:r>
              <w:rPr>
                <w:rFonts w:hint="default"/>
                <w:color w:val="auto"/>
                <w:lang w:val="en-US" w:eastAsia="zh-CN"/>
              </w:rPr>
              <w:t>技术规范要求设置危险废物暂存间。</w:t>
            </w:r>
          </w:p>
          <w:p w14:paraId="4073048A">
            <w:pPr>
              <w:pStyle w:val="22"/>
              <w:bidi w:val="0"/>
              <w:rPr>
                <w:rFonts w:hint="default"/>
                <w:color w:val="auto"/>
                <w:lang w:val="en-US" w:eastAsia="zh-CN"/>
              </w:rPr>
            </w:pPr>
            <w:r>
              <w:rPr>
                <w:rFonts w:hint="default"/>
                <w:color w:val="auto"/>
                <w:lang w:val="en-US" w:eastAsia="zh-CN"/>
              </w:rPr>
              <w:t>危险废物临时贮存的几点要求：①危险废物在收集时，应清楚废物的类别及主要</w:t>
            </w:r>
            <w:r>
              <w:rPr>
                <w:rFonts w:hint="eastAsia"/>
                <w:color w:val="auto"/>
                <w:lang w:val="en-US" w:eastAsia="zh-CN"/>
              </w:rPr>
              <w:t>成分</w:t>
            </w:r>
            <w:r>
              <w:rPr>
                <w:rFonts w:hint="default"/>
                <w:color w:val="auto"/>
                <w:lang w:val="en-US" w:eastAsia="zh-CN"/>
              </w:rPr>
              <w:t>，以方便委托处理单位处理，根据危险废物的性质和形态，可采用不同大小和不同材质的容器进行包装，所有包装和容器必须设置危险废物识别标志，并经过周密检查，严防在装载、搬移或运输途中出现渗漏、溢出、抛洒或挥发等情况。②按《环境保护图形标识－固体废物贮存（处置）场》（GB15562.2</w:t>
            </w:r>
            <w:r>
              <w:rPr>
                <w:rFonts w:hint="eastAsia"/>
                <w:color w:val="auto"/>
                <w:lang w:val="en-US" w:eastAsia="zh-CN"/>
              </w:rPr>
              <w:t>-1995</w:t>
            </w:r>
            <w:r>
              <w:rPr>
                <w:rFonts w:hint="default"/>
                <w:color w:val="auto"/>
                <w:lang w:val="en-US" w:eastAsia="zh-CN"/>
              </w:rPr>
              <w:t>）修改单在收集场所醒目的地方设置危险废物警告标识。③由专人负责管理。危险废物按不同名录分类分区堆放，并做好隔离、防水、防晒、防雨、防渗、防火处理。④应配备通讯设备、照明设施、安全防护服装及工具，并设有报警装置和应急防护设施。⑤贮存区内禁止混放不相容危险废物；禁止危险废物混入非危险废物中贮存；危险废物按种类分别存放，且不同类废物间有明显的间隔（如过道等）。⑥危险废物临时贮存场所的地面和裙脚要用坚固、防渗的材料建造；该贮存场所的地面与裙脚围建一定的空间，该容积不低于堵截最大容器的最大储量或总储量的1/5贮存场所需设液体收集装置、气体导出口及气体净化装置；贮存装载液体、半固体危险废物容器的地方，必须有耐腐蚀的硬化地面且表面无裂隙。贮存设施应注意安全照明等问题；不相容的危险废物分开存放，并设有隔离间；基础防渗层为至少1m厚粘土层（渗透系数≤10</w:t>
            </w:r>
            <w:r>
              <w:rPr>
                <w:rFonts w:hint="default"/>
                <w:color w:val="auto"/>
                <w:vertAlign w:val="superscript"/>
                <w:lang w:val="en-US" w:eastAsia="zh-CN"/>
              </w:rPr>
              <w:t>-7</w:t>
            </w:r>
            <w:r>
              <w:rPr>
                <w:rFonts w:hint="default"/>
                <w:color w:val="auto"/>
                <w:lang w:val="en-US" w:eastAsia="zh-CN"/>
              </w:rPr>
              <w:t>cm/s），或2mm厚高密度聚乙烯，或至少2mm厚的其他人工材料，渗透系数≤10</w:t>
            </w:r>
            <w:r>
              <w:rPr>
                <w:rFonts w:hint="default"/>
                <w:color w:val="auto"/>
                <w:vertAlign w:val="superscript"/>
                <w:lang w:val="en-US" w:eastAsia="zh-CN"/>
              </w:rPr>
              <w:t>-10</w:t>
            </w:r>
            <w:r>
              <w:rPr>
                <w:rFonts w:hint="default"/>
                <w:color w:val="auto"/>
                <w:lang w:val="en-US" w:eastAsia="zh-CN"/>
              </w:rPr>
              <w:t>cm/s。具体设计原则参见《危险废物贮存污染控制标准》（GB 18597-2023）。</w:t>
            </w:r>
          </w:p>
          <w:p w14:paraId="3AA851FA">
            <w:pPr>
              <w:pStyle w:val="22"/>
              <w:numPr>
                <w:ilvl w:val="0"/>
                <w:numId w:val="6"/>
              </w:numPr>
              <w:bidi w:val="0"/>
              <w:rPr>
                <w:rFonts w:hint="default"/>
                <w:color w:val="auto"/>
                <w:lang w:val="en-US" w:eastAsia="zh-CN"/>
              </w:rPr>
            </w:pPr>
            <w:r>
              <w:rPr>
                <w:rFonts w:hint="default"/>
                <w:color w:val="auto"/>
                <w:lang w:val="en-US" w:eastAsia="zh-CN"/>
              </w:rPr>
              <w:t>建立危废申报登记制度。由专门人员负责危险废物的日常收集和管理，对任何进出临时贮存场所的危险废物都要记录在案，做好台账；危险废物临时贮存场所周围要设置防护栅栏，并设置警示标志。贮存所内配备通讯设备、照明设备、安全防护服装及工具，并有应急防护措施；危险废物的贮存和转运应严格按照《危险废物贮存污染控制标准》（GB 18597-2023）和《危险废物转移联单管理办法》要求执行。建设单位应强化废物产生、收集、贮放各环节的管理，各种固体废物按照类别分类存放，杜绝固体废物在厂区内散失、渗漏，达到无害化的目的，避免产生二次污染。</w:t>
            </w:r>
          </w:p>
          <w:p w14:paraId="2247206C">
            <w:pPr>
              <w:pStyle w:val="22"/>
              <w:numPr>
                <w:ilvl w:val="0"/>
                <w:numId w:val="0"/>
              </w:numPr>
              <w:bidi w:val="0"/>
              <w:ind w:firstLine="480" w:firstLineChars="200"/>
              <w:rPr>
                <w:rFonts w:hint="default"/>
                <w:color w:val="auto"/>
                <w:lang w:val="en-US" w:eastAsia="zh-CN"/>
              </w:rPr>
            </w:pPr>
            <w:r>
              <w:rPr>
                <w:rFonts w:hint="default"/>
                <w:color w:val="auto"/>
                <w:lang w:val="en-US" w:eastAsia="zh-CN"/>
              </w:rPr>
              <w:t>危险废物的运输采取危险废物转移“转移联单”制度，保证运输安全，防止非法转移和非法处置，保证危险废物的安全监控，防止危险废物污染事故发生。</w:t>
            </w:r>
          </w:p>
          <w:p w14:paraId="666EB48F">
            <w:pPr>
              <w:pStyle w:val="22"/>
              <w:numPr>
                <w:ilvl w:val="0"/>
                <w:numId w:val="6"/>
              </w:numPr>
              <w:bidi w:val="0"/>
              <w:rPr>
                <w:rFonts w:hint="default"/>
                <w:color w:val="4874CB" w:themeColor="accent1"/>
                <w:lang w:val="en-US" w:eastAsia="zh-CN"/>
                <w14:textFill>
                  <w14:solidFill>
                    <w14:schemeClr w14:val="accent1"/>
                  </w14:solidFill>
                </w14:textFill>
              </w:rPr>
            </w:pPr>
            <w:r>
              <w:rPr>
                <w:rFonts w:hint="default"/>
                <w:color w:val="auto"/>
                <w:lang w:val="en-US" w:eastAsia="zh-CN"/>
              </w:rPr>
              <w:t>应将危险废物提供或者委托给有危险废物经营许可证的单位从事利用和处置，并签订处置合同。同时应加强对运输单位及处置单位的跟踪检查，控制运输过程中的环境风险。</w:t>
            </w:r>
          </w:p>
          <w:p w14:paraId="3A35CBCE">
            <w:pPr>
              <w:pStyle w:val="22"/>
              <w:bidi w:val="0"/>
              <w:rPr>
                <w:rFonts w:hint="default"/>
                <w:color w:val="auto"/>
                <w:vertAlign w:val="baseline"/>
                <w:lang w:val="en-US" w:eastAsia="zh-CN"/>
              </w:rPr>
            </w:pPr>
            <w:r>
              <w:rPr>
                <w:rFonts w:hint="default"/>
                <w:color w:val="auto"/>
                <w:lang w:val="en-US" w:eastAsia="zh-CN"/>
              </w:rPr>
              <w:t>（2）一般工业固废仓库</w:t>
            </w:r>
            <w:r>
              <w:rPr>
                <w:rFonts w:hint="eastAsia"/>
                <w:color w:val="auto"/>
                <w:lang w:val="en-US" w:eastAsia="zh-CN"/>
              </w:rPr>
              <w:t>（位于生产车间西侧，约10m</w:t>
            </w:r>
            <w:r>
              <w:rPr>
                <w:rFonts w:hint="eastAsia"/>
                <w:color w:val="auto"/>
                <w:vertAlign w:val="superscript"/>
                <w:lang w:val="en-US" w:eastAsia="zh-CN"/>
              </w:rPr>
              <w:t>2</w:t>
            </w:r>
            <w:r>
              <w:rPr>
                <w:rFonts w:hint="eastAsia"/>
                <w:color w:val="auto"/>
                <w:vertAlign w:val="baseline"/>
                <w:lang w:val="en-US" w:eastAsia="zh-CN"/>
              </w:rPr>
              <w:t>）</w:t>
            </w:r>
          </w:p>
          <w:p w14:paraId="44830F06">
            <w:pPr>
              <w:pStyle w:val="22"/>
              <w:bidi w:val="0"/>
              <w:rPr>
                <w:rFonts w:hint="default"/>
                <w:color w:val="auto"/>
                <w:u w:val="none"/>
                <w:lang w:val="en-US" w:eastAsia="zh-CN"/>
              </w:rPr>
            </w:pPr>
            <w:r>
              <w:rPr>
                <w:rFonts w:hint="default"/>
                <w:color w:val="auto"/>
                <w:u w:val="none"/>
                <w:lang w:val="en-US" w:eastAsia="zh-CN"/>
              </w:rPr>
              <w:t>一般固废仓库的建设应满足《一般工业固体废物贮存和填埋污染控制标准》（GB18599-2020）相关要求，具体为：</w:t>
            </w:r>
          </w:p>
          <w:p w14:paraId="42346E9E">
            <w:pPr>
              <w:pStyle w:val="22"/>
              <w:bidi w:val="0"/>
              <w:rPr>
                <w:rFonts w:hint="default"/>
                <w:color w:val="auto"/>
                <w:u w:val="none"/>
                <w:lang w:val="en-US" w:eastAsia="zh-CN"/>
              </w:rPr>
            </w:pPr>
            <w:r>
              <w:rPr>
                <w:rFonts w:hint="default"/>
                <w:color w:val="auto"/>
                <w:u w:val="none"/>
                <w:lang w:val="en-US" w:eastAsia="zh-CN"/>
              </w:rPr>
              <w:t>①贮存区采取防风、防雨、防渗透、防泄漏措施；</w:t>
            </w:r>
          </w:p>
          <w:p w14:paraId="4CAB0055">
            <w:pPr>
              <w:pStyle w:val="22"/>
              <w:bidi w:val="0"/>
              <w:rPr>
                <w:rFonts w:hint="default"/>
                <w:color w:val="auto"/>
                <w:u w:val="none"/>
                <w:lang w:val="en-US" w:eastAsia="zh-CN"/>
              </w:rPr>
            </w:pPr>
            <w:r>
              <w:rPr>
                <w:rFonts w:hint="default"/>
                <w:color w:val="auto"/>
                <w:u w:val="none"/>
                <w:lang w:val="en-US" w:eastAsia="zh-CN"/>
              </w:rPr>
              <w:t>②各类固废应分类收集；指定专人进行日常管理，落实安全管理责任，避免二次污染，确保固废“零排放”；</w:t>
            </w:r>
          </w:p>
          <w:p w14:paraId="7E243677">
            <w:pPr>
              <w:pStyle w:val="22"/>
              <w:bidi w:val="0"/>
              <w:rPr>
                <w:rFonts w:hint="default"/>
                <w:color w:val="auto"/>
                <w:u w:val="none"/>
                <w:lang w:val="en-US" w:eastAsia="zh-CN"/>
              </w:rPr>
            </w:pPr>
            <w:r>
              <w:rPr>
                <w:rFonts w:hint="default"/>
                <w:color w:val="auto"/>
                <w:u w:val="none"/>
                <w:lang w:val="en-US" w:eastAsia="zh-CN"/>
              </w:rPr>
              <w:t>③贮存区按照《环境保护图形标志 固体废物贮存（处置）场》（GB15562.2-1995）及其修改单的要求设置环保图形标志。</w:t>
            </w:r>
          </w:p>
          <w:p w14:paraId="2A691984">
            <w:pPr>
              <w:pStyle w:val="22"/>
              <w:bidi w:val="0"/>
              <w:rPr>
                <w:rFonts w:hint="default"/>
                <w:color w:val="auto"/>
                <w:lang w:val="en-US" w:eastAsia="zh-CN"/>
              </w:rPr>
            </w:pPr>
            <w:r>
              <w:rPr>
                <w:rFonts w:hint="default"/>
                <w:color w:val="auto"/>
                <w:lang w:val="en-US" w:eastAsia="zh-CN"/>
              </w:rPr>
              <w:t>（3）生活垃圾处置措施</w:t>
            </w:r>
          </w:p>
          <w:p w14:paraId="46458CC9">
            <w:pPr>
              <w:pStyle w:val="22"/>
              <w:bidi w:val="0"/>
              <w:rPr>
                <w:rFonts w:hint="default"/>
                <w:color w:val="auto"/>
                <w:lang w:val="en-US" w:eastAsia="zh-CN"/>
              </w:rPr>
            </w:pPr>
            <w:r>
              <w:rPr>
                <w:rFonts w:hint="default"/>
                <w:color w:val="auto"/>
                <w:lang w:val="en-US" w:eastAsia="zh-CN"/>
              </w:rPr>
              <w:t>项目生活垃圾集中收集后由环卫部门统一清运。</w:t>
            </w:r>
          </w:p>
          <w:p w14:paraId="47DFBBC7">
            <w:pPr>
              <w:pStyle w:val="22"/>
              <w:bidi w:val="0"/>
              <w:rPr>
                <w:rFonts w:hint="eastAsia"/>
                <w:color w:val="auto"/>
                <w:lang w:val="en-US" w:eastAsia="zh-CN"/>
              </w:rPr>
            </w:pPr>
            <w:r>
              <w:rPr>
                <w:rFonts w:hint="default"/>
                <w:color w:val="auto"/>
                <w:lang w:val="en-US" w:eastAsia="zh-CN"/>
              </w:rPr>
              <w:t>采取上述措施后，本</w:t>
            </w:r>
            <w:r>
              <w:rPr>
                <w:rFonts w:hint="eastAsia"/>
                <w:color w:val="auto"/>
                <w:lang w:val="en-US" w:eastAsia="zh-CN"/>
              </w:rPr>
              <w:t>项目</w:t>
            </w:r>
            <w:r>
              <w:rPr>
                <w:rFonts w:hint="default"/>
                <w:color w:val="auto"/>
                <w:lang w:val="en-US" w:eastAsia="zh-CN"/>
              </w:rPr>
              <w:t>固体废物可得到妥善的处理，对周围环境造成的影响很小。</w:t>
            </w:r>
          </w:p>
          <w:p w14:paraId="43FC6E41">
            <w:pPr>
              <w:pStyle w:val="21"/>
              <w:bidi w:val="0"/>
              <w:rPr>
                <w:rFonts w:hint="default"/>
                <w:color w:val="auto"/>
                <w:lang w:val="en-US" w:eastAsia="zh-CN"/>
              </w:rPr>
            </w:pPr>
            <w:r>
              <w:rPr>
                <w:rFonts w:hint="eastAsia"/>
                <w:color w:val="auto"/>
                <w:lang w:val="en-US" w:eastAsia="zh-CN"/>
              </w:rPr>
              <w:t>5</w:t>
            </w:r>
            <w:r>
              <w:rPr>
                <w:rFonts w:hint="default"/>
                <w:color w:val="auto"/>
                <w:lang w:val="en-US" w:eastAsia="zh-CN"/>
              </w:rPr>
              <w:t>、环境风险</w:t>
            </w:r>
          </w:p>
          <w:p w14:paraId="6E8D858F">
            <w:pPr>
              <w:pStyle w:val="21"/>
              <w:bidi w:val="0"/>
              <w:rPr>
                <w:rFonts w:hint="default"/>
                <w:b w:val="0"/>
                <w:bCs/>
                <w:color w:val="auto"/>
                <w:lang w:val="en-US" w:eastAsia="zh-CN"/>
              </w:rPr>
            </w:pPr>
            <w:r>
              <w:rPr>
                <w:rFonts w:hint="eastAsia"/>
                <w:b w:val="0"/>
                <w:bCs/>
                <w:color w:val="auto"/>
                <w:lang w:val="en-US" w:eastAsia="zh-CN"/>
              </w:rPr>
              <w:t>（1）</w:t>
            </w:r>
            <w:r>
              <w:rPr>
                <w:rFonts w:hint="default"/>
                <w:b w:val="0"/>
                <w:bCs/>
                <w:color w:val="auto"/>
                <w:lang w:val="en-US" w:eastAsia="zh-CN"/>
              </w:rPr>
              <w:t>物质危险性识别</w:t>
            </w:r>
          </w:p>
          <w:p w14:paraId="72A5FF28">
            <w:pPr>
              <w:pStyle w:val="22"/>
              <w:bidi w:val="0"/>
              <w:rPr>
                <w:rFonts w:hint="eastAsia"/>
                <w:b w:val="0"/>
                <w:bCs/>
                <w:color w:val="auto"/>
                <w:lang w:val="en-US" w:eastAsia="zh-CN"/>
              </w:rPr>
            </w:pPr>
            <w:r>
              <w:rPr>
                <w:rFonts w:hint="default"/>
                <w:color w:val="auto"/>
                <w:lang w:val="en-US" w:eastAsia="zh-CN"/>
              </w:rPr>
              <w:t>根据《建设项目环境风险评价技术导则》（HJ/T1639-2018）可知，物质危险性识别包括原辅材料、燃料、中间产品、副产品、最终产品、污染物、火灾和爆炸伴生/次生物等。结合本项目生产过程中各种物质的理化性质及毒理毒性，本企业涉及的危险物质主要为危废暂存间内储存的危险废物（如废矿物油、含油抹布）。</w:t>
            </w:r>
          </w:p>
          <w:p w14:paraId="354472B0">
            <w:pPr>
              <w:pStyle w:val="21"/>
              <w:bidi w:val="0"/>
              <w:rPr>
                <w:rFonts w:hint="default"/>
                <w:b w:val="0"/>
                <w:bCs/>
                <w:color w:val="auto"/>
                <w:lang w:val="en-US" w:eastAsia="zh-CN"/>
              </w:rPr>
            </w:pPr>
            <w:r>
              <w:rPr>
                <w:rFonts w:hint="eastAsia"/>
                <w:b w:val="0"/>
                <w:bCs/>
                <w:color w:val="auto"/>
                <w:lang w:val="en-US" w:eastAsia="zh-CN"/>
              </w:rPr>
              <w:t>（2）风险识别</w:t>
            </w:r>
          </w:p>
          <w:p w14:paraId="7A60C7CE">
            <w:pPr>
              <w:pStyle w:val="22"/>
              <w:bidi w:val="0"/>
              <w:rPr>
                <w:rFonts w:hint="eastAsia"/>
                <w:color w:val="auto"/>
                <w:lang w:val="en-US" w:eastAsia="zh-CN"/>
              </w:rPr>
            </w:pPr>
            <w:r>
              <w:rPr>
                <w:rFonts w:hint="default"/>
                <w:color w:val="auto"/>
                <w:u w:val="single"/>
                <w:lang w:val="en-US" w:eastAsia="zh-CN"/>
              </w:rPr>
              <w:t>根据《建设项目环境风险评价技术导则》（HJ169-2018）附录B中表B.1和表B.2中的环境风险物质，本项目所涉及的环境风险物质的为</w:t>
            </w:r>
            <w:r>
              <w:rPr>
                <w:rFonts w:hint="eastAsia"/>
                <w:color w:val="auto"/>
                <w:u w:val="single"/>
                <w:lang w:val="en-US" w:eastAsia="zh-CN"/>
              </w:rPr>
              <w:t>轻质柴油、</w:t>
            </w:r>
            <w:r>
              <w:rPr>
                <w:rFonts w:hint="default"/>
                <w:color w:val="auto"/>
                <w:u w:val="single"/>
                <w:lang w:val="en-US" w:eastAsia="zh-CN"/>
              </w:rPr>
              <w:t>废矿物油</w:t>
            </w:r>
            <w:r>
              <w:rPr>
                <w:rFonts w:hint="eastAsia"/>
                <w:color w:val="auto"/>
                <w:u w:val="single"/>
                <w:lang w:val="en-US" w:eastAsia="zh-CN"/>
              </w:rPr>
              <w:t>及包装桶、废含油抹布手套</w:t>
            </w:r>
            <w:r>
              <w:rPr>
                <w:rFonts w:hint="default"/>
                <w:color w:val="auto"/>
                <w:u w:val="single"/>
                <w:lang w:val="en-US" w:eastAsia="zh-CN"/>
              </w:rPr>
              <w:t>，其最大储存量及临界量见下表。</w:t>
            </w:r>
          </w:p>
          <w:p w14:paraId="5A43BD1A">
            <w:pPr>
              <w:pStyle w:val="23"/>
              <w:bidi w:val="0"/>
              <w:rPr>
                <w:rFonts w:hint="default"/>
                <w:color w:val="auto"/>
                <w:lang w:val="en-US" w:eastAsia="zh-CN"/>
              </w:rPr>
            </w:pPr>
            <w:r>
              <w:rPr>
                <w:rFonts w:hint="eastAsia"/>
                <w:color w:val="auto"/>
                <w:lang w:val="en-US" w:eastAsia="zh-CN"/>
              </w:rPr>
              <w:t>表4-12 风险物质最大贮存量及临界量一览表</w:t>
            </w:r>
          </w:p>
          <w:tbl>
            <w:tblPr>
              <w:tblStyle w:val="16"/>
              <w:tblW w:w="7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096"/>
              <w:gridCol w:w="1132"/>
              <w:gridCol w:w="987"/>
              <w:gridCol w:w="987"/>
              <w:gridCol w:w="988"/>
              <w:gridCol w:w="988"/>
              <w:gridCol w:w="988"/>
            </w:tblGrid>
            <w:tr w14:paraId="2FFE7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Align w:val="center"/>
                </w:tcPr>
                <w:p w14:paraId="18A47D76">
                  <w:pPr>
                    <w:pStyle w:val="24"/>
                    <w:bidi w:val="0"/>
                    <w:jc w:val="center"/>
                    <w:rPr>
                      <w:rFonts w:hint="default"/>
                      <w:color w:val="auto"/>
                      <w:u w:val="single"/>
                      <w:lang w:val="en-US" w:eastAsia="zh-CN"/>
                    </w:rPr>
                  </w:pPr>
                  <w:r>
                    <w:rPr>
                      <w:rFonts w:hint="eastAsia"/>
                      <w:color w:val="auto"/>
                      <w:u w:val="single"/>
                      <w:lang w:val="en-US" w:eastAsia="zh-CN"/>
                    </w:rPr>
                    <w:t>序号</w:t>
                  </w:r>
                </w:p>
              </w:tc>
              <w:tc>
                <w:tcPr>
                  <w:tcW w:w="1096" w:type="dxa"/>
                  <w:vAlign w:val="center"/>
                </w:tcPr>
                <w:p w14:paraId="0AB7CB54">
                  <w:pPr>
                    <w:pStyle w:val="24"/>
                    <w:bidi w:val="0"/>
                    <w:jc w:val="center"/>
                    <w:rPr>
                      <w:rFonts w:hint="default"/>
                      <w:color w:val="auto"/>
                      <w:u w:val="single"/>
                      <w:lang w:val="en-US" w:eastAsia="zh-CN"/>
                    </w:rPr>
                  </w:pPr>
                  <w:r>
                    <w:rPr>
                      <w:rFonts w:hint="eastAsia"/>
                      <w:color w:val="auto"/>
                      <w:u w:val="single"/>
                      <w:lang w:val="en-US" w:eastAsia="zh-CN"/>
                    </w:rPr>
                    <w:t>名称</w:t>
                  </w:r>
                </w:p>
              </w:tc>
              <w:tc>
                <w:tcPr>
                  <w:tcW w:w="1132" w:type="dxa"/>
                  <w:vAlign w:val="center"/>
                </w:tcPr>
                <w:p w14:paraId="2BEA8D75">
                  <w:pPr>
                    <w:pStyle w:val="24"/>
                    <w:bidi w:val="0"/>
                    <w:jc w:val="center"/>
                    <w:rPr>
                      <w:rFonts w:hint="default"/>
                      <w:color w:val="auto"/>
                      <w:u w:val="single"/>
                      <w:lang w:val="en-US" w:eastAsia="zh-CN"/>
                    </w:rPr>
                  </w:pPr>
                  <w:r>
                    <w:rPr>
                      <w:rFonts w:hint="eastAsia"/>
                      <w:color w:val="auto"/>
                      <w:u w:val="single"/>
                      <w:lang w:val="en-US" w:eastAsia="zh-CN"/>
                    </w:rPr>
                    <w:t>理化性质</w:t>
                  </w:r>
                </w:p>
              </w:tc>
              <w:tc>
                <w:tcPr>
                  <w:tcW w:w="987" w:type="dxa"/>
                  <w:vAlign w:val="center"/>
                </w:tcPr>
                <w:p w14:paraId="66A2AE41">
                  <w:pPr>
                    <w:pStyle w:val="24"/>
                    <w:bidi w:val="0"/>
                    <w:jc w:val="center"/>
                    <w:rPr>
                      <w:rFonts w:hint="default"/>
                      <w:color w:val="auto"/>
                      <w:u w:val="single"/>
                      <w:lang w:val="en-US" w:eastAsia="zh-CN"/>
                    </w:rPr>
                  </w:pPr>
                  <w:r>
                    <w:rPr>
                      <w:rFonts w:hint="eastAsia"/>
                      <w:color w:val="auto"/>
                      <w:u w:val="single"/>
                      <w:lang w:val="en-US" w:eastAsia="zh-CN"/>
                    </w:rPr>
                    <w:t>危害特性</w:t>
                  </w:r>
                </w:p>
              </w:tc>
              <w:tc>
                <w:tcPr>
                  <w:tcW w:w="987" w:type="dxa"/>
                  <w:vAlign w:val="center"/>
                </w:tcPr>
                <w:p w14:paraId="06791860">
                  <w:pPr>
                    <w:pStyle w:val="24"/>
                    <w:bidi w:val="0"/>
                    <w:jc w:val="center"/>
                    <w:rPr>
                      <w:rFonts w:hint="default"/>
                      <w:color w:val="auto"/>
                      <w:u w:val="single"/>
                      <w:lang w:val="en-US" w:eastAsia="zh-CN"/>
                    </w:rPr>
                  </w:pPr>
                  <w:r>
                    <w:rPr>
                      <w:rFonts w:hint="eastAsia"/>
                      <w:color w:val="auto"/>
                      <w:u w:val="single"/>
                      <w:lang w:val="en-US" w:eastAsia="zh-CN"/>
                    </w:rPr>
                    <w:t>贮存方式</w:t>
                  </w:r>
                </w:p>
              </w:tc>
              <w:tc>
                <w:tcPr>
                  <w:tcW w:w="988" w:type="dxa"/>
                  <w:vAlign w:val="center"/>
                </w:tcPr>
                <w:p w14:paraId="331BD38E">
                  <w:pPr>
                    <w:pStyle w:val="24"/>
                    <w:bidi w:val="0"/>
                    <w:jc w:val="center"/>
                    <w:rPr>
                      <w:rFonts w:hint="default"/>
                      <w:color w:val="auto"/>
                      <w:u w:val="single"/>
                      <w:lang w:val="en-US" w:eastAsia="zh-CN"/>
                    </w:rPr>
                  </w:pPr>
                  <w:r>
                    <w:rPr>
                      <w:rFonts w:hint="eastAsia"/>
                      <w:color w:val="auto"/>
                      <w:u w:val="single"/>
                      <w:lang w:val="en-US" w:eastAsia="zh-CN"/>
                    </w:rPr>
                    <w:t>最大储存量</w:t>
                  </w:r>
                  <w:r>
                    <w:rPr>
                      <w:color w:val="auto"/>
                      <w:u w:val="single" w:color="auto"/>
                    </w:rPr>
                    <w:t>qi</w:t>
                  </w:r>
                </w:p>
              </w:tc>
              <w:tc>
                <w:tcPr>
                  <w:tcW w:w="988" w:type="dxa"/>
                  <w:vAlign w:val="center"/>
                </w:tcPr>
                <w:p w14:paraId="29B63C4E">
                  <w:pPr>
                    <w:pStyle w:val="24"/>
                    <w:bidi w:val="0"/>
                    <w:jc w:val="center"/>
                    <w:rPr>
                      <w:rFonts w:hint="default"/>
                      <w:color w:val="auto"/>
                      <w:u w:val="single"/>
                      <w:lang w:val="en-US" w:eastAsia="zh-CN"/>
                    </w:rPr>
                  </w:pPr>
                  <w:r>
                    <w:rPr>
                      <w:color w:val="auto"/>
                      <w:u w:val="single" w:color="auto"/>
                    </w:rPr>
                    <w:t>临界量Qi</w:t>
                  </w:r>
                </w:p>
              </w:tc>
              <w:tc>
                <w:tcPr>
                  <w:tcW w:w="988" w:type="dxa"/>
                  <w:vAlign w:val="center"/>
                </w:tcPr>
                <w:p w14:paraId="5D40C92B">
                  <w:pPr>
                    <w:pStyle w:val="24"/>
                    <w:bidi w:val="0"/>
                    <w:jc w:val="center"/>
                    <w:rPr>
                      <w:rFonts w:hint="default"/>
                      <w:color w:val="auto"/>
                      <w:u w:val="single"/>
                      <w:lang w:val="en-US" w:eastAsia="zh-CN"/>
                    </w:rPr>
                  </w:pPr>
                  <w:r>
                    <w:rPr>
                      <w:rFonts w:hint="default"/>
                      <w:color w:val="auto"/>
                      <w:u w:val="single"/>
                      <w:lang w:val="en-US" w:eastAsia="zh-CN"/>
                    </w:rPr>
                    <w:t>qi/Qi</w:t>
                  </w:r>
                </w:p>
              </w:tc>
            </w:tr>
            <w:tr w14:paraId="0B2C8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Align w:val="center"/>
                </w:tcPr>
                <w:p w14:paraId="54F69525">
                  <w:pPr>
                    <w:pStyle w:val="24"/>
                    <w:bidi w:val="0"/>
                    <w:jc w:val="center"/>
                    <w:rPr>
                      <w:rFonts w:hint="default"/>
                      <w:color w:val="auto"/>
                      <w:u w:val="single"/>
                      <w:lang w:val="en-US" w:eastAsia="zh-CN"/>
                    </w:rPr>
                  </w:pPr>
                  <w:r>
                    <w:rPr>
                      <w:rFonts w:hint="eastAsia"/>
                      <w:color w:val="auto"/>
                      <w:u w:val="single"/>
                      <w:lang w:val="en-US" w:eastAsia="zh-CN"/>
                    </w:rPr>
                    <w:t>1</w:t>
                  </w:r>
                </w:p>
              </w:tc>
              <w:tc>
                <w:tcPr>
                  <w:tcW w:w="1096" w:type="dxa"/>
                  <w:vAlign w:val="center"/>
                </w:tcPr>
                <w:p w14:paraId="1D64456E">
                  <w:pPr>
                    <w:pStyle w:val="24"/>
                    <w:bidi w:val="0"/>
                    <w:jc w:val="center"/>
                    <w:rPr>
                      <w:rFonts w:hint="default"/>
                      <w:color w:val="auto"/>
                      <w:u w:val="single"/>
                      <w:lang w:val="en-US" w:eastAsia="zh-CN"/>
                    </w:rPr>
                  </w:pPr>
                  <w:r>
                    <w:rPr>
                      <w:rFonts w:hint="eastAsia"/>
                      <w:color w:val="auto"/>
                      <w:u w:val="single"/>
                      <w:lang w:val="en-US" w:eastAsia="zh-CN"/>
                    </w:rPr>
                    <w:t>轻质柴油</w:t>
                  </w:r>
                </w:p>
              </w:tc>
              <w:tc>
                <w:tcPr>
                  <w:tcW w:w="1132" w:type="dxa"/>
                  <w:vAlign w:val="center"/>
                </w:tcPr>
                <w:p w14:paraId="5FB97BC1">
                  <w:pPr>
                    <w:pStyle w:val="24"/>
                    <w:bidi w:val="0"/>
                    <w:jc w:val="center"/>
                    <w:rPr>
                      <w:rFonts w:hint="eastAsia"/>
                      <w:color w:val="auto"/>
                      <w:u w:val="single"/>
                      <w:lang w:val="en-US" w:eastAsia="zh-CN"/>
                    </w:rPr>
                  </w:pPr>
                  <w:r>
                    <w:rPr>
                      <w:rFonts w:hint="eastAsia"/>
                      <w:color w:val="auto"/>
                      <w:u w:val="single"/>
                      <w:lang w:val="en-US" w:eastAsia="zh-CN"/>
                    </w:rPr>
                    <w:t>易燃液体，类别3</w:t>
                  </w:r>
                </w:p>
              </w:tc>
              <w:tc>
                <w:tcPr>
                  <w:tcW w:w="987" w:type="dxa"/>
                  <w:vAlign w:val="center"/>
                </w:tcPr>
                <w:p w14:paraId="5ADAB527">
                  <w:pPr>
                    <w:pStyle w:val="24"/>
                    <w:bidi w:val="0"/>
                    <w:jc w:val="center"/>
                    <w:rPr>
                      <w:rFonts w:hint="default"/>
                      <w:color w:val="auto"/>
                      <w:u w:val="single"/>
                      <w:lang w:val="en-US" w:eastAsia="zh-CN"/>
                    </w:rPr>
                  </w:pPr>
                  <w:r>
                    <w:rPr>
                      <w:rFonts w:hint="eastAsia"/>
                      <w:color w:val="auto"/>
                      <w:u w:val="single"/>
                      <w:lang w:val="en-US" w:eastAsia="zh-CN"/>
                    </w:rPr>
                    <w:t>危险化学品</w:t>
                  </w:r>
                </w:p>
              </w:tc>
              <w:tc>
                <w:tcPr>
                  <w:tcW w:w="987" w:type="dxa"/>
                  <w:vAlign w:val="center"/>
                </w:tcPr>
                <w:p w14:paraId="6AD2613E">
                  <w:pPr>
                    <w:pStyle w:val="24"/>
                    <w:bidi w:val="0"/>
                    <w:jc w:val="center"/>
                    <w:rPr>
                      <w:rFonts w:hint="default"/>
                      <w:color w:val="auto"/>
                      <w:u w:val="single"/>
                      <w:lang w:val="en-US" w:eastAsia="zh-CN"/>
                    </w:rPr>
                  </w:pPr>
                  <w:r>
                    <w:rPr>
                      <w:rFonts w:hint="eastAsia"/>
                      <w:color w:val="auto"/>
                      <w:u w:val="single"/>
                      <w:lang w:val="en-US" w:eastAsia="zh-CN"/>
                    </w:rPr>
                    <w:t>厂库单独存放</w:t>
                  </w:r>
                </w:p>
              </w:tc>
              <w:tc>
                <w:tcPr>
                  <w:tcW w:w="988" w:type="dxa"/>
                  <w:vAlign w:val="center"/>
                </w:tcPr>
                <w:p w14:paraId="1244BB88">
                  <w:pPr>
                    <w:pStyle w:val="24"/>
                    <w:bidi w:val="0"/>
                    <w:jc w:val="center"/>
                    <w:rPr>
                      <w:rFonts w:hint="default"/>
                      <w:color w:val="auto"/>
                      <w:u w:val="single"/>
                      <w:lang w:val="en-US" w:eastAsia="zh-CN"/>
                    </w:rPr>
                  </w:pPr>
                  <w:r>
                    <w:rPr>
                      <w:rFonts w:hint="eastAsia"/>
                      <w:color w:val="auto"/>
                      <w:u w:val="single"/>
                      <w:lang w:val="en-US" w:eastAsia="zh-CN"/>
                    </w:rPr>
                    <w:t>30</w:t>
                  </w:r>
                </w:p>
              </w:tc>
              <w:tc>
                <w:tcPr>
                  <w:tcW w:w="988" w:type="dxa"/>
                  <w:vAlign w:val="center"/>
                </w:tcPr>
                <w:p w14:paraId="23C51CB4">
                  <w:pPr>
                    <w:pStyle w:val="24"/>
                    <w:bidi w:val="0"/>
                    <w:jc w:val="center"/>
                    <w:rPr>
                      <w:rFonts w:hint="default" w:eastAsia="宋体"/>
                      <w:color w:val="auto"/>
                      <w:u w:val="single" w:color="auto"/>
                      <w:lang w:val="en-US" w:eastAsia="zh-CN"/>
                    </w:rPr>
                  </w:pPr>
                  <w:r>
                    <w:rPr>
                      <w:rFonts w:hint="eastAsia"/>
                      <w:color w:val="auto"/>
                      <w:u w:val="single" w:color="auto"/>
                      <w:lang w:val="en-US" w:eastAsia="zh-CN"/>
                    </w:rPr>
                    <w:t>2500</w:t>
                  </w:r>
                </w:p>
              </w:tc>
              <w:tc>
                <w:tcPr>
                  <w:tcW w:w="988" w:type="dxa"/>
                  <w:vAlign w:val="center"/>
                </w:tcPr>
                <w:p w14:paraId="16F64C72">
                  <w:pPr>
                    <w:pStyle w:val="24"/>
                    <w:bidi w:val="0"/>
                    <w:jc w:val="center"/>
                    <w:rPr>
                      <w:rFonts w:hint="default"/>
                      <w:color w:val="auto"/>
                      <w:u w:val="single"/>
                      <w:lang w:val="en-US" w:eastAsia="zh-CN"/>
                    </w:rPr>
                  </w:pPr>
                  <w:r>
                    <w:rPr>
                      <w:rFonts w:hint="eastAsia"/>
                      <w:color w:val="auto"/>
                      <w:u w:val="single"/>
                      <w:lang w:val="en-US" w:eastAsia="zh-CN"/>
                    </w:rPr>
                    <w:t>0.012</w:t>
                  </w:r>
                </w:p>
              </w:tc>
            </w:tr>
            <w:tr w14:paraId="6E30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Align w:val="center"/>
                </w:tcPr>
                <w:p w14:paraId="2485D51E">
                  <w:pPr>
                    <w:pStyle w:val="24"/>
                    <w:bidi w:val="0"/>
                    <w:jc w:val="center"/>
                    <w:rPr>
                      <w:rFonts w:hint="default"/>
                      <w:color w:val="auto"/>
                      <w:u w:val="single"/>
                      <w:lang w:val="en-US" w:eastAsia="zh-CN"/>
                    </w:rPr>
                  </w:pPr>
                  <w:r>
                    <w:rPr>
                      <w:rFonts w:hint="eastAsia"/>
                      <w:color w:val="auto"/>
                      <w:u w:val="single"/>
                      <w:lang w:val="en-US" w:eastAsia="zh-CN"/>
                    </w:rPr>
                    <w:t>2</w:t>
                  </w:r>
                </w:p>
              </w:tc>
              <w:tc>
                <w:tcPr>
                  <w:tcW w:w="1096" w:type="dxa"/>
                  <w:vAlign w:val="center"/>
                </w:tcPr>
                <w:p w14:paraId="0D2A6083">
                  <w:pPr>
                    <w:pStyle w:val="24"/>
                    <w:bidi w:val="0"/>
                    <w:jc w:val="center"/>
                    <w:rPr>
                      <w:rFonts w:hint="default"/>
                      <w:color w:val="auto"/>
                      <w:u w:val="single"/>
                      <w:lang w:val="en-US" w:eastAsia="zh-CN"/>
                    </w:rPr>
                  </w:pPr>
                  <w:r>
                    <w:rPr>
                      <w:rFonts w:hint="eastAsia"/>
                      <w:color w:val="auto"/>
                      <w:u w:val="single"/>
                      <w:lang w:val="en-US" w:eastAsia="zh-CN"/>
                    </w:rPr>
                    <w:t>机油</w:t>
                  </w:r>
                </w:p>
              </w:tc>
              <w:tc>
                <w:tcPr>
                  <w:tcW w:w="1132" w:type="dxa"/>
                  <w:vAlign w:val="center"/>
                </w:tcPr>
                <w:p w14:paraId="761A873E">
                  <w:pPr>
                    <w:pStyle w:val="24"/>
                    <w:bidi w:val="0"/>
                    <w:ind w:firstLine="0" w:firstLineChars="0"/>
                    <w:jc w:val="center"/>
                    <w:rPr>
                      <w:rFonts w:hint="eastAsia"/>
                      <w:color w:val="auto"/>
                      <w:u w:val="single"/>
                      <w:lang w:val="en-US" w:eastAsia="zh-CN"/>
                    </w:rPr>
                  </w:pPr>
                  <w:r>
                    <w:rPr>
                      <w:rFonts w:hint="eastAsia"/>
                      <w:color w:val="auto"/>
                      <w:u w:val="single"/>
                      <w:lang w:val="en-US" w:eastAsia="zh-CN"/>
                    </w:rPr>
                    <w:t>易燃液体，类别3</w:t>
                  </w:r>
                </w:p>
              </w:tc>
              <w:tc>
                <w:tcPr>
                  <w:tcW w:w="987" w:type="dxa"/>
                  <w:vAlign w:val="center"/>
                </w:tcPr>
                <w:p w14:paraId="51D4DD67">
                  <w:pPr>
                    <w:pStyle w:val="24"/>
                    <w:bidi w:val="0"/>
                    <w:ind w:firstLine="0" w:firstLineChars="0"/>
                    <w:jc w:val="center"/>
                    <w:rPr>
                      <w:rFonts w:hint="eastAsia"/>
                      <w:color w:val="auto"/>
                      <w:u w:val="single"/>
                      <w:lang w:val="en-US" w:eastAsia="zh-CN"/>
                    </w:rPr>
                  </w:pPr>
                  <w:r>
                    <w:rPr>
                      <w:rFonts w:hint="eastAsia"/>
                      <w:color w:val="auto"/>
                      <w:u w:val="single"/>
                      <w:lang w:val="en-US" w:eastAsia="zh-CN"/>
                    </w:rPr>
                    <w:t>危险化学品</w:t>
                  </w:r>
                </w:p>
              </w:tc>
              <w:tc>
                <w:tcPr>
                  <w:tcW w:w="987" w:type="dxa"/>
                  <w:vAlign w:val="center"/>
                </w:tcPr>
                <w:p w14:paraId="1EEC1B12">
                  <w:pPr>
                    <w:pStyle w:val="24"/>
                    <w:bidi w:val="0"/>
                    <w:ind w:firstLine="0" w:firstLineChars="0"/>
                    <w:jc w:val="center"/>
                    <w:rPr>
                      <w:rFonts w:hint="eastAsia"/>
                      <w:color w:val="auto"/>
                      <w:u w:val="single"/>
                      <w:lang w:val="en-US" w:eastAsia="zh-CN"/>
                    </w:rPr>
                  </w:pPr>
                  <w:r>
                    <w:rPr>
                      <w:rFonts w:hint="eastAsia"/>
                      <w:color w:val="auto"/>
                      <w:u w:val="single"/>
                      <w:lang w:val="en-US" w:eastAsia="zh-CN"/>
                    </w:rPr>
                    <w:t>厂库单独存放</w:t>
                  </w:r>
                </w:p>
              </w:tc>
              <w:tc>
                <w:tcPr>
                  <w:tcW w:w="988" w:type="dxa"/>
                  <w:vAlign w:val="center"/>
                </w:tcPr>
                <w:p w14:paraId="5B45CC3B">
                  <w:pPr>
                    <w:pStyle w:val="24"/>
                    <w:bidi w:val="0"/>
                    <w:ind w:firstLine="0" w:firstLineChars="0"/>
                    <w:jc w:val="center"/>
                    <w:rPr>
                      <w:rFonts w:hint="eastAsia"/>
                      <w:color w:val="auto"/>
                      <w:u w:val="single"/>
                      <w:lang w:val="en-US" w:eastAsia="zh-CN"/>
                    </w:rPr>
                  </w:pPr>
                  <w:r>
                    <w:rPr>
                      <w:rFonts w:hint="eastAsia"/>
                      <w:color w:val="auto"/>
                      <w:u w:val="single"/>
                      <w:lang w:val="en-US" w:eastAsia="zh-CN"/>
                    </w:rPr>
                    <w:t>5</w:t>
                  </w:r>
                </w:p>
              </w:tc>
              <w:tc>
                <w:tcPr>
                  <w:tcW w:w="988" w:type="dxa"/>
                  <w:vAlign w:val="center"/>
                </w:tcPr>
                <w:p w14:paraId="1065B29C">
                  <w:pPr>
                    <w:pStyle w:val="24"/>
                    <w:bidi w:val="0"/>
                    <w:ind w:firstLine="0" w:firstLineChars="0"/>
                    <w:jc w:val="center"/>
                    <w:rPr>
                      <w:rFonts w:hint="eastAsia"/>
                      <w:color w:val="auto"/>
                      <w:u w:val="single" w:color="auto"/>
                      <w:lang w:val="en-US" w:eastAsia="zh-CN"/>
                    </w:rPr>
                  </w:pPr>
                  <w:r>
                    <w:rPr>
                      <w:rFonts w:hint="eastAsia"/>
                      <w:color w:val="auto"/>
                      <w:u w:val="single" w:color="auto"/>
                      <w:lang w:val="en-US" w:eastAsia="zh-CN"/>
                    </w:rPr>
                    <w:t>2500</w:t>
                  </w:r>
                </w:p>
              </w:tc>
              <w:tc>
                <w:tcPr>
                  <w:tcW w:w="988" w:type="dxa"/>
                  <w:vAlign w:val="center"/>
                </w:tcPr>
                <w:p w14:paraId="7E2F7454">
                  <w:pPr>
                    <w:pStyle w:val="24"/>
                    <w:bidi w:val="0"/>
                    <w:ind w:firstLine="0" w:firstLineChars="0"/>
                    <w:jc w:val="center"/>
                    <w:rPr>
                      <w:rFonts w:hint="default"/>
                      <w:color w:val="auto"/>
                      <w:u w:val="single"/>
                      <w:lang w:val="en-US" w:eastAsia="zh-CN"/>
                    </w:rPr>
                  </w:pPr>
                  <w:r>
                    <w:rPr>
                      <w:rFonts w:hint="eastAsia"/>
                      <w:color w:val="auto"/>
                      <w:u w:val="single"/>
                      <w:lang w:val="en-US" w:eastAsia="zh-CN"/>
                    </w:rPr>
                    <w:t>0.002</w:t>
                  </w:r>
                </w:p>
              </w:tc>
            </w:tr>
            <w:tr w14:paraId="57A8B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Align w:val="center"/>
                </w:tcPr>
                <w:p w14:paraId="2B689BBD">
                  <w:pPr>
                    <w:pStyle w:val="24"/>
                    <w:bidi w:val="0"/>
                    <w:jc w:val="center"/>
                    <w:rPr>
                      <w:rFonts w:hint="default"/>
                      <w:color w:val="auto"/>
                      <w:u w:val="single"/>
                      <w:lang w:val="en-US" w:eastAsia="zh-CN"/>
                    </w:rPr>
                  </w:pPr>
                  <w:r>
                    <w:rPr>
                      <w:rFonts w:hint="eastAsia"/>
                      <w:color w:val="auto"/>
                      <w:u w:val="single"/>
                      <w:lang w:val="en-US" w:eastAsia="zh-CN"/>
                    </w:rPr>
                    <w:t>3</w:t>
                  </w:r>
                </w:p>
              </w:tc>
              <w:tc>
                <w:tcPr>
                  <w:tcW w:w="1096" w:type="dxa"/>
                  <w:vAlign w:val="center"/>
                </w:tcPr>
                <w:p w14:paraId="3E5DBA91">
                  <w:pPr>
                    <w:pStyle w:val="24"/>
                    <w:bidi w:val="0"/>
                    <w:jc w:val="center"/>
                    <w:rPr>
                      <w:rFonts w:hint="default"/>
                      <w:color w:val="auto"/>
                      <w:u w:val="single"/>
                      <w:lang w:val="en-US" w:eastAsia="zh-CN"/>
                    </w:rPr>
                  </w:pPr>
                  <w:r>
                    <w:rPr>
                      <w:rFonts w:hint="eastAsia"/>
                      <w:color w:val="auto"/>
                      <w:u w:val="single"/>
                      <w:lang w:val="en-US" w:eastAsia="zh-CN"/>
                    </w:rPr>
                    <w:t>废矿物油及包装桶</w:t>
                  </w:r>
                </w:p>
              </w:tc>
              <w:tc>
                <w:tcPr>
                  <w:tcW w:w="1132" w:type="dxa"/>
                  <w:vAlign w:val="center"/>
                </w:tcPr>
                <w:p w14:paraId="744DE548">
                  <w:pPr>
                    <w:pStyle w:val="24"/>
                    <w:bidi w:val="0"/>
                    <w:jc w:val="center"/>
                    <w:rPr>
                      <w:rFonts w:hint="default"/>
                      <w:color w:val="auto"/>
                      <w:u w:val="single"/>
                      <w:lang w:val="en-US" w:eastAsia="zh-CN"/>
                    </w:rPr>
                  </w:pPr>
                  <w:r>
                    <w:rPr>
                      <w:rFonts w:hint="default"/>
                      <w:color w:val="auto"/>
                      <w:u w:val="single"/>
                      <w:lang w:val="en-US" w:eastAsia="zh-CN"/>
                    </w:rPr>
                    <w:t>危险废物HW08</w:t>
                  </w:r>
                </w:p>
              </w:tc>
              <w:tc>
                <w:tcPr>
                  <w:tcW w:w="987" w:type="dxa"/>
                  <w:vAlign w:val="center"/>
                </w:tcPr>
                <w:p w14:paraId="00AF9020">
                  <w:pPr>
                    <w:pStyle w:val="24"/>
                    <w:bidi w:val="0"/>
                    <w:jc w:val="center"/>
                    <w:rPr>
                      <w:rFonts w:hint="default"/>
                      <w:color w:val="auto"/>
                      <w:u w:val="single"/>
                      <w:lang w:val="en-US" w:eastAsia="zh-CN"/>
                    </w:rPr>
                  </w:pPr>
                  <w:r>
                    <w:rPr>
                      <w:rFonts w:hint="default"/>
                      <w:color w:val="auto"/>
                      <w:u w:val="single"/>
                      <w:lang w:val="en-US" w:eastAsia="zh-CN"/>
                    </w:rPr>
                    <w:t>危险废物</w:t>
                  </w:r>
                </w:p>
              </w:tc>
              <w:tc>
                <w:tcPr>
                  <w:tcW w:w="987" w:type="dxa"/>
                  <w:vAlign w:val="center"/>
                </w:tcPr>
                <w:p w14:paraId="4F9B0AEA">
                  <w:pPr>
                    <w:pStyle w:val="24"/>
                    <w:bidi w:val="0"/>
                    <w:jc w:val="center"/>
                    <w:rPr>
                      <w:rFonts w:hint="default"/>
                      <w:color w:val="auto"/>
                      <w:u w:val="single"/>
                      <w:lang w:val="en-US" w:eastAsia="zh-CN"/>
                    </w:rPr>
                  </w:pPr>
                  <w:r>
                    <w:rPr>
                      <w:rFonts w:hint="default"/>
                      <w:color w:val="auto"/>
                      <w:u w:val="single"/>
                      <w:lang w:val="en-US" w:eastAsia="zh-CN"/>
                    </w:rPr>
                    <w:t>危废暂存间</w:t>
                  </w:r>
                </w:p>
              </w:tc>
              <w:tc>
                <w:tcPr>
                  <w:tcW w:w="988" w:type="dxa"/>
                  <w:vAlign w:val="center"/>
                </w:tcPr>
                <w:p w14:paraId="63F4FC82">
                  <w:pPr>
                    <w:pStyle w:val="24"/>
                    <w:bidi w:val="0"/>
                    <w:jc w:val="center"/>
                    <w:rPr>
                      <w:rFonts w:hint="default"/>
                      <w:color w:val="auto"/>
                      <w:u w:val="single"/>
                      <w:lang w:val="en-US" w:eastAsia="zh-CN"/>
                    </w:rPr>
                  </w:pPr>
                  <w:r>
                    <w:rPr>
                      <w:rFonts w:hint="eastAsia"/>
                      <w:color w:val="auto"/>
                      <w:u w:val="single"/>
                      <w:lang w:val="en-US" w:eastAsia="zh-CN"/>
                    </w:rPr>
                    <w:t>0.2</w:t>
                  </w:r>
                </w:p>
              </w:tc>
              <w:tc>
                <w:tcPr>
                  <w:tcW w:w="988" w:type="dxa"/>
                  <w:vAlign w:val="center"/>
                </w:tcPr>
                <w:p w14:paraId="09A91E1E">
                  <w:pPr>
                    <w:pStyle w:val="24"/>
                    <w:bidi w:val="0"/>
                    <w:jc w:val="center"/>
                    <w:rPr>
                      <w:rFonts w:hint="default"/>
                      <w:color w:val="auto"/>
                      <w:u w:val="single"/>
                      <w:lang w:val="en-US" w:eastAsia="zh-CN"/>
                    </w:rPr>
                  </w:pPr>
                  <w:r>
                    <w:rPr>
                      <w:rFonts w:hint="eastAsia"/>
                      <w:color w:val="auto"/>
                      <w:u w:val="single"/>
                      <w:lang w:val="en-US" w:eastAsia="zh-CN"/>
                    </w:rPr>
                    <w:t>50</w:t>
                  </w:r>
                </w:p>
              </w:tc>
              <w:tc>
                <w:tcPr>
                  <w:tcW w:w="988" w:type="dxa"/>
                  <w:vAlign w:val="center"/>
                </w:tcPr>
                <w:p w14:paraId="471B5383">
                  <w:pPr>
                    <w:pStyle w:val="24"/>
                    <w:bidi w:val="0"/>
                    <w:jc w:val="center"/>
                    <w:rPr>
                      <w:rFonts w:hint="default"/>
                      <w:color w:val="auto"/>
                      <w:u w:val="single"/>
                      <w:lang w:val="en-US" w:eastAsia="zh-CN"/>
                    </w:rPr>
                  </w:pPr>
                  <w:r>
                    <w:rPr>
                      <w:rFonts w:hint="eastAsia"/>
                      <w:color w:val="auto"/>
                      <w:u w:val="single"/>
                      <w:lang w:val="en-US" w:eastAsia="zh-CN"/>
                    </w:rPr>
                    <w:t>0.004</w:t>
                  </w:r>
                </w:p>
              </w:tc>
            </w:tr>
            <w:tr w14:paraId="387EE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3" w:type="dxa"/>
                  <w:vAlign w:val="center"/>
                </w:tcPr>
                <w:p w14:paraId="04200185">
                  <w:pPr>
                    <w:pStyle w:val="24"/>
                    <w:bidi w:val="0"/>
                    <w:jc w:val="center"/>
                    <w:rPr>
                      <w:rFonts w:hint="default"/>
                      <w:color w:val="auto"/>
                      <w:u w:val="single"/>
                      <w:lang w:val="en-US" w:eastAsia="zh-CN"/>
                    </w:rPr>
                  </w:pPr>
                  <w:r>
                    <w:rPr>
                      <w:rFonts w:hint="eastAsia"/>
                      <w:color w:val="auto"/>
                      <w:u w:val="single"/>
                      <w:lang w:val="en-US" w:eastAsia="zh-CN"/>
                    </w:rPr>
                    <w:t>4</w:t>
                  </w:r>
                </w:p>
              </w:tc>
              <w:tc>
                <w:tcPr>
                  <w:tcW w:w="1096" w:type="dxa"/>
                  <w:vAlign w:val="center"/>
                </w:tcPr>
                <w:p w14:paraId="1630CA73">
                  <w:pPr>
                    <w:pStyle w:val="24"/>
                    <w:bidi w:val="0"/>
                    <w:jc w:val="center"/>
                    <w:rPr>
                      <w:rFonts w:hint="default"/>
                      <w:color w:val="auto"/>
                      <w:u w:val="single"/>
                      <w:lang w:val="en-US" w:eastAsia="zh-CN"/>
                    </w:rPr>
                  </w:pPr>
                  <w:r>
                    <w:rPr>
                      <w:rFonts w:hint="eastAsia"/>
                      <w:color w:val="auto"/>
                      <w:u w:val="single"/>
                      <w:lang w:val="en-US" w:eastAsia="zh-CN"/>
                    </w:rPr>
                    <w:t>废含油抹布手套</w:t>
                  </w:r>
                </w:p>
              </w:tc>
              <w:tc>
                <w:tcPr>
                  <w:tcW w:w="1132" w:type="dxa"/>
                  <w:vAlign w:val="center"/>
                </w:tcPr>
                <w:p w14:paraId="02285A60">
                  <w:pPr>
                    <w:pStyle w:val="24"/>
                    <w:bidi w:val="0"/>
                    <w:jc w:val="center"/>
                    <w:rPr>
                      <w:rFonts w:hint="default"/>
                      <w:color w:val="auto"/>
                      <w:u w:val="single"/>
                      <w:lang w:val="en-US" w:eastAsia="zh-CN"/>
                    </w:rPr>
                  </w:pPr>
                  <w:r>
                    <w:rPr>
                      <w:rFonts w:hint="eastAsia"/>
                      <w:color w:val="auto"/>
                      <w:u w:val="single"/>
                      <w:lang w:val="en-US" w:eastAsia="zh-CN"/>
                    </w:rPr>
                    <w:t>危险废物</w:t>
                  </w:r>
                  <w:r>
                    <w:rPr>
                      <w:rFonts w:hint="default"/>
                      <w:color w:val="auto"/>
                      <w:u w:val="single"/>
                      <w:lang w:val="en-US" w:eastAsia="zh-CN"/>
                    </w:rPr>
                    <w:t>HW49</w:t>
                  </w:r>
                </w:p>
              </w:tc>
              <w:tc>
                <w:tcPr>
                  <w:tcW w:w="987" w:type="dxa"/>
                  <w:vAlign w:val="center"/>
                </w:tcPr>
                <w:p w14:paraId="7067C092">
                  <w:pPr>
                    <w:pStyle w:val="24"/>
                    <w:bidi w:val="0"/>
                    <w:ind w:firstLine="0" w:firstLineChars="0"/>
                    <w:jc w:val="center"/>
                    <w:rPr>
                      <w:rFonts w:hint="default"/>
                      <w:color w:val="auto"/>
                      <w:u w:val="single"/>
                      <w:lang w:val="en-US" w:eastAsia="zh-CN"/>
                    </w:rPr>
                  </w:pPr>
                  <w:r>
                    <w:rPr>
                      <w:rFonts w:hint="default"/>
                      <w:color w:val="auto"/>
                      <w:u w:val="single"/>
                      <w:lang w:val="en-US" w:eastAsia="zh-CN"/>
                    </w:rPr>
                    <w:t>危险废物</w:t>
                  </w:r>
                </w:p>
              </w:tc>
              <w:tc>
                <w:tcPr>
                  <w:tcW w:w="987" w:type="dxa"/>
                  <w:vAlign w:val="center"/>
                </w:tcPr>
                <w:p w14:paraId="37FFD98E">
                  <w:pPr>
                    <w:pStyle w:val="24"/>
                    <w:bidi w:val="0"/>
                    <w:ind w:firstLine="0" w:firstLineChars="0"/>
                    <w:jc w:val="center"/>
                    <w:rPr>
                      <w:rFonts w:hint="default"/>
                      <w:color w:val="auto"/>
                      <w:u w:val="single"/>
                      <w:lang w:val="en-US" w:eastAsia="zh-CN"/>
                    </w:rPr>
                  </w:pPr>
                  <w:r>
                    <w:rPr>
                      <w:rFonts w:hint="default"/>
                      <w:color w:val="auto"/>
                      <w:u w:val="single"/>
                      <w:lang w:val="en-US" w:eastAsia="zh-CN"/>
                    </w:rPr>
                    <w:t>危废暂存间</w:t>
                  </w:r>
                </w:p>
              </w:tc>
              <w:tc>
                <w:tcPr>
                  <w:tcW w:w="988" w:type="dxa"/>
                  <w:vAlign w:val="center"/>
                </w:tcPr>
                <w:p w14:paraId="3F5330F5">
                  <w:pPr>
                    <w:pStyle w:val="24"/>
                    <w:bidi w:val="0"/>
                    <w:jc w:val="center"/>
                    <w:rPr>
                      <w:rFonts w:hint="default"/>
                      <w:color w:val="auto"/>
                      <w:u w:val="single"/>
                      <w:lang w:val="en-US" w:eastAsia="zh-CN"/>
                    </w:rPr>
                  </w:pPr>
                  <w:r>
                    <w:rPr>
                      <w:rFonts w:hint="eastAsia"/>
                      <w:color w:val="auto"/>
                      <w:u w:val="single"/>
                      <w:lang w:val="en-US" w:eastAsia="zh-CN"/>
                    </w:rPr>
                    <w:t>0.2</w:t>
                  </w:r>
                </w:p>
              </w:tc>
              <w:tc>
                <w:tcPr>
                  <w:tcW w:w="988" w:type="dxa"/>
                  <w:vAlign w:val="center"/>
                </w:tcPr>
                <w:p w14:paraId="71A25608">
                  <w:pPr>
                    <w:pStyle w:val="24"/>
                    <w:bidi w:val="0"/>
                    <w:jc w:val="center"/>
                    <w:rPr>
                      <w:rFonts w:hint="default"/>
                      <w:color w:val="auto"/>
                      <w:u w:val="single"/>
                      <w:lang w:val="en-US" w:eastAsia="zh-CN"/>
                    </w:rPr>
                  </w:pPr>
                  <w:r>
                    <w:rPr>
                      <w:rFonts w:hint="eastAsia"/>
                      <w:color w:val="auto"/>
                      <w:u w:val="single"/>
                      <w:lang w:val="en-US" w:eastAsia="zh-CN"/>
                    </w:rPr>
                    <w:t>50</w:t>
                  </w:r>
                </w:p>
              </w:tc>
              <w:tc>
                <w:tcPr>
                  <w:tcW w:w="988" w:type="dxa"/>
                  <w:vAlign w:val="center"/>
                </w:tcPr>
                <w:p w14:paraId="3A9CA62C">
                  <w:pPr>
                    <w:pStyle w:val="24"/>
                    <w:bidi w:val="0"/>
                    <w:jc w:val="center"/>
                    <w:rPr>
                      <w:rFonts w:hint="default"/>
                      <w:color w:val="auto"/>
                      <w:u w:val="single"/>
                      <w:lang w:val="en-US" w:eastAsia="zh-CN"/>
                    </w:rPr>
                  </w:pPr>
                  <w:r>
                    <w:rPr>
                      <w:rFonts w:hint="eastAsia"/>
                      <w:color w:val="auto"/>
                      <w:u w:val="single"/>
                      <w:lang w:val="en-US" w:eastAsia="zh-CN"/>
                    </w:rPr>
                    <w:t>0.004</w:t>
                  </w:r>
                </w:p>
              </w:tc>
            </w:tr>
            <w:tr w14:paraId="1B9D7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11" w:type="dxa"/>
                  <w:gridSpan w:val="7"/>
                  <w:vAlign w:val="center"/>
                </w:tcPr>
                <w:p w14:paraId="49BD8BF5">
                  <w:pPr>
                    <w:pStyle w:val="24"/>
                    <w:bidi w:val="0"/>
                    <w:jc w:val="center"/>
                    <w:rPr>
                      <w:rFonts w:hint="default"/>
                      <w:color w:val="auto"/>
                      <w:lang w:val="en-US" w:eastAsia="zh-CN"/>
                    </w:rPr>
                  </w:pPr>
                  <w:r>
                    <w:rPr>
                      <w:rFonts w:hint="eastAsia"/>
                      <w:color w:val="auto"/>
                      <w:lang w:val="en-US" w:eastAsia="zh-CN"/>
                    </w:rPr>
                    <w:t>合计</w:t>
                  </w:r>
                </w:p>
              </w:tc>
              <w:tc>
                <w:tcPr>
                  <w:tcW w:w="988" w:type="dxa"/>
                  <w:vAlign w:val="center"/>
                </w:tcPr>
                <w:p w14:paraId="72B4ADF8">
                  <w:pPr>
                    <w:pStyle w:val="24"/>
                    <w:bidi w:val="0"/>
                    <w:jc w:val="center"/>
                    <w:rPr>
                      <w:rFonts w:hint="default"/>
                      <w:color w:val="auto"/>
                      <w:lang w:val="en-US" w:eastAsia="zh-CN"/>
                    </w:rPr>
                  </w:pPr>
                  <w:r>
                    <w:rPr>
                      <w:rFonts w:hint="eastAsia"/>
                      <w:color w:val="auto"/>
                      <w:lang w:val="en-US" w:eastAsia="zh-CN"/>
                    </w:rPr>
                    <w:t>0.022</w:t>
                  </w:r>
                </w:p>
              </w:tc>
            </w:tr>
          </w:tbl>
          <w:p w14:paraId="63B423F8">
            <w:pPr>
              <w:pStyle w:val="22"/>
              <w:bidi w:val="0"/>
              <w:rPr>
                <w:rFonts w:hint="default"/>
                <w:color w:val="auto"/>
                <w:u w:val="single"/>
                <w:lang w:val="en-US" w:eastAsia="zh-CN"/>
              </w:rPr>
            </w:pPr>
            <w:r>
              <w:rPr>
                <w:rFonts w:hint="default"/>
                <w:color w:val="auto"/>
                <w:u w:val="single"/>
                <w:lang w:val="en-US" w:eastAsia="zh-CN"/>
              </w:rPr>
              <w:t>本项目危险物质的数量与临界量比值Q=</w:t>
            </w:r>
            <w:r>
              <w:rPr>
                <w:rFonts w:hint="default"/>
                <w:color w:val="auto"/>
                <w:highlight w:val="none"/>
                <w:u w:val="single"/>
                <w:lang w:val="en-US" w:eastAsia="zh-CN"/>
              </w:rPr>
              <w:t>0.0</w:t>
            </w:r>
            <w:r>
              <w:rPr>
                <w:rFonts w:hint="eastAsia"/>
                <w:color w:val="auto"/>
                <w:highlight w:val="none"/>
                <w:u w:val="single"/>
                <w:lang w:val="en-US" w:eastAsia="zh-CN"/>
              </w:rPr>
              <w:t>22</w:t>
            </w:r>
            <w:r>
              <w:rPr>
                <w:rFonts w:hint="default"/>
                <w:color w:val="auto"/>
                <w:u w:val="single"/>
                <w:lang w:val="en-US" w:eastAsia="zh-CN"/>
              </w:rPr>
              <w:t>＜1，风险潜势为I，故开展简单分析。</w:t>
            </w:r>
          </w:p>
          <w:p w14:paraId="19348506">
            <w:pPr>
              <w:pStyle w:val="22"/>
              <w:bidi w:val="0"/>
              <w:rPr>
                <w:rFonts w:hint="default"/>
                <w:color w:val="auto"/>
                <w:lang w:val="en-US" w:eastAsia="zh-CN"/>
              </w:rPr>
            </w:pPr>
            <w:r>
              <w:rPr>
                <w:rFonts w:hint="default"/>
                <w:color w:val="auto"/>
                <w:lang w:val="en-US" w:eastAsia="zh-CN"/>
              </w:rPr>
              <w:t>（3）评价等级</w:t>
            </w:r>
          </w:p>
          <w:p w14:paraId="3B0610B6">
            <w:pPr>
              <w:pStyle w:val="22"/>
              <w:bidi w:val="0"/>
              <w:rPr>
                <w:rFonts w:hint="eastAsia"/>
                <w:color w:val="auto"/>
                <w:lang w:val="en-US" w:eastAsia="zh-CN"/>
              </w:rPr>
            </w:pPr>
            <w:r>
              <w:rPr>
                <w:rFonts w:hint="default"/>
                <w:color w:val="auto"/>
                <w:lang w:val="en-US" w:eastAsia="zh-CN"/>
              </w:rPr>
              <w:t>根据《建设项目环境风险评价技术导则》（HJ169-2018），风险潜势为Ⅰ，只开展简单分析</w:t>
            </w:r>
            <w:r>
              <w:rPr>
                <w:rFonts w:hint="eastAsia"/>
                <w:color w:val="auto"/>
                <w:lang w:val="en-US" w:eastAsia="zh-CN"/>
              </w:rPr>
              <w:t>，</w:t>
            </w:r>
            <w:r>
              <w:rPr>
                <w:rFonts w:hint="default"/>
                <w:color w:val="auto"/>
                <w:lang w:val="en-US" w:eastAsia="zh-CN"/>
              </w:rPr>
              <w:t>环境风险评价工作等级划分详见下表。</w:t>
            </w:r>
          </w:p>
          <w:p w14:paraId="2B365CA2">
            <w:pPr>
              <w:pStyle w:val="23"/>
              <w:bidi w:val="0"/>
              <w:rPr>
                <w:rFonts w:hint="default"/>
                <w:color w:val="auto"/>
                <w:lang w:val="en-US" w:eastAsia="zh-CN"/>
              </w:rPr>
            </w:pPr>
            <w:r>
              <w:rPr>
                <w:rFonts w:hint="eastAsia"/>
                <w:color w:val="auto"/>
                <w:lang w:val="en-US" w:eastAsia="zh-CN"/>
              </w:rPr>
              <w:t>表4-13</w:t>
            </w:r>
            <w:r>
              <w:rPr>
                <w:rFonts w:hint="eastAsia"/>
                <w:color w:val="4874CB" w:themeColor="accent1"/>
                <w:lang w:val="en-US" w:eastAsia="zh-CN"/>
                <w14:textFill>
                  <w14:solidFill>
                    <w14:schemeClr w14:val="accent1"/>
                  </w14:solidFill>
                </w14:textFill>
              </w:rPr>
              <w:t xml:space="preserve">  </w:t>
            </w:r>
            <w:r>
              <w:rPr>
                <w:rFonts w:hint="eastAsia"/>
                <w:color w:val="auto"/>
                <w:lang w:val="en-US" w:eastAsia="zh-CN"/>
              </w:rPr>
              <w:t>建设项目环境分析简单分析内容表</w:t>
            </w:r>
          </w:p>
          <w:tbl>
            <w:tblPr>
              <w:tblStyle w:val="16"/>
              <w:tblW w:w="7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3"/>
              <w:gridCol w:w="6376"/>
            </w:tblGrid>
            <w:tr w14:paraId="6CE7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523" w:type="dxa"/>
                  <w:vAlign w:val="center"/>
                </w:tcPr>
                <w:p w14:paraId="78C20BE0">
                  <w:pPr>
                    <w:pStyle w:val="24"/>
                    <w:bidi w:val="0"/>
                    <w:jc w:val="center"/>
                    <w:rPr>
                      <w:rFonts w:hint="default"/>
                      <w:color w:val="auto"/>
                      <w:vertAlign w:val="baseline"/>
                      <w:lang w:val="en-US" w:eastAsia="zh-CN"/>
                    </w:rPr>
                  </w:pPr>
                  <w:r>
                    <w:rPr>
                      <w:rFonts w:hint="eastAsia"/>
                      <w:color w:val="auto"/>
                      <w:vertAlign w:val="baseline"/>
                      <w:lang w:val="en-US" w:eastAsia="zh-CN"/>
                    </w:rPr>
                    <w:t>项目名称</w:t>
                  </w:r>
                </w:p>
              </w:tc>
              <w:tc>
                <w:tcPr>
                  <w:tcW w:w="6376" w:type="dxa"/>
                  <w:vAlign w:val="center"/>
                </w:tcPr>
                <w:p w14:paraId="2B0F3571">
                  <w:pPr>
                    <w:pStyle w:val="24"/>
                    <w:bidi w:val="0"/>
                    <w:jc w:val="center"/>
                    <w:rPr>
                      <w:rFonts w:hint="default"/>
                      <w:color w:val="auto"/>
                      <w:vertAlign w:val="baseline"/>
                      <w:lang w:val="en-US" w:eastAsia="zh-CN"/>
                    </w:rPr>
                  </w:pPr>
                  <w:r>
                    <w:rPr>
                      <w:rFonts w:hint="default" w:ascii="Times New Roman" w:hAnsi="Times New Roman" w:eastAsia="宋体" w:cs="Times New Roman"/>
                      <w:color w:val="auto"/>
                      <w:u w:val="none" w:color="auto"/>
                    </w:rPr>
                    <w:t>年产</w:t>
                  </w:r>
                  <w:r>
                    <w:rPr>
                      <w:rFonts w:hint="eastAsia" w:cs="Times New Roman"/>
                      <w:color w:val="auto"/>
                      <w:u w:val="none" w:color="auto"/>
                      <w:lang w:val="en-US" w:eastAsia="zh-CN"/>
                    </w:rPr>
                    <w:t>2</w:t>
                  </w:r>
                  <w:r>
                    <w:rPr>
                      <w:rFonts w:hint="default" w:ascii="Times New Roman" w:hAnsi="Times New Roman" w:eastAsia="宋体" w:cs="Times New Roman"/>
                      <w:color w:val="auto"/>
                      <w:u w:val="none" w:color="auto"/>
                    </w:rPr>
                    <w:t>万吨复合肥料、3万吨掺混肥料生产线建设项目</w:t>
                  </w:r>
                </w:p>
              </w:tc>
            </w:tr>
            <w:tr w14:paraId="63441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Align w:val="center"/>
                </w:tcPr>
                <w:p w14:paraId="3E62CAA2">
                  <w:pPr>
                    <w:pStyle w:val="24"/>
                    <w:bidi w:val="0"/>
                    <w:jc w:val="center"/>
                    <w:rPr>
                      <w:rFonts w:hint="default"/>
                      <w:color w:val="auto"/>
                      <w:vertAlign w:val="baseline"/>
                      <w:lang w:val="en-US" w:eastAsia="zh-CN"/>
                    </w:rPr>
                  </w:pPr>
                  <w:r>
                    <w:rPr>
                      <w:rFonts w:hint="default"/>
                      <w:color w:val="auto"/>
                      <w:vertAlign w:val="baseline"/>
                      <w:lang w:val="en-US" w:eastAsia="zh-CN"/>
                    </w:rPr>
                    <w:t>建设地点</w:t>
                  </w:r>
                </w:p>
              </w:tc>
              <w:tc>
                <w:tcPr>
                  <w:tcW w:w="6376" w:type="dxa"/>
                  <w:vAlign w:val="center"/>
                </w:tcPr>
                <w:p w14:paraId="6897EA4C">
                  <w:pPr>
                    <w:pStyle w:val="24"/>
                    <w:bidi w:val="0"/>
                    <w:jc w:val="center"/>
                    <w:rPr>
                      <w:rFonts w:hint="default"/>
                      <w:color w:val="auto"/>
                      <w:vertAlign w:val="baseline"/>
                      <w:lang w:val="en-US" w:eastAsia="zh-CN"/>
                    </w:rPr>
                  </w:pPr>
                  <w:r>
                    <w:rPr>
                      <w:rFonts w:hint="eastAsia" w:cs="Times New Roman"/>
                      <w:color w:val="auto"/>
                      <w:u w:val="none" w:color="auto"/>
                      <w:lang w:eastAsia="zh-CN"/>
                    </w:rPr>
                    <w:t>岳阳县高新技术产业开发区</w:t>
                  </w:r>
                  <w:r>
                    <w:rPr>
                      <w:rFonts w:hint="eastAsia" w:cs="Times New Roman"/>
                      <w:color w:val="auto"/>
                      <w:u w:val="none" w:color="auto"/>
                      <w:lang w:val="en-US" w:eastAsia="zh-CN"/>
                    </w:rPr>
                    <w:t>长湖工业组团</w:t>
                  </w:r>
                </w:p>
              </w:tc>
            </w:tr>
            <w:tr w14:paraId="7A7D0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Align w:val="center"/>
                </w:tcPr>
                <w:p w14:paraId="04E8770A">
                  <w:pPr>
                    <w:pStyle w:val="24"/>
                    <w:bidi w:val="0"/>
                    <w:jc w:val="center"/>
                    <w:rPr>
                      <w:rFonts w:hint="default"/>
                      <w:color w:val="auto"/>
                      <w:vertAlign w:val="baseline"/>
                      <w:lang w:val="en-US" w:eastAsia="zh-CN"/>
                    </w:rPr>
                  </w:pPr>
                  <w:r>
                    <w:rPr>
                      <w:rFonts w:hint="default"/>
                      <w:color w:val="auto"/>
                      <w:vertAlign w:val="baseline"/>
                      <w:lang w:val="en-US" w:eastAsia="zh-CN"/>
                    </w:rPr>
                    <w:t>地理坐标</w:t>
                  </w:r>
                </w:p>
              </w:tc>
              <w:tc>
                <w:tcPr>
                  <w:tcW w:w="6376" w:type="dxa"/>
                  <w:vAlign w:val="center"/>
                </w:tcPr>
                <w:p w14:paraId="35543C99">
                  <w:pPr>
                    <w:pStyle w:val="24"/>
                    <w:bidi w:val="0"/>
                    <w:jc w:val="center"/>
                    <w:rPr>
                      <w:rFonts w:hint="default"/>
                      <w:color w:val="auto"/>
                      <w:vertAlign w:val="baseline"/>
                      <w:lang w:val="en-US" w:eastAsia="zh-CN"/>
                    </w:rPr>
                  </w:pPr>
                  <w:r>
                    <w:rPr>
                      <w:rFonts w:hint="default" w:ascii="Times New Roman" w:hAnsi="Times New Roman" w:eastAsia="宋体" w:cs="Times New Roman"/>
                      <w:color w:val="auto"/>
                      <w:szCs w:val="21"/>
                      <w:highlight w:val="none"/>
                      <w:u w:val="none" w:color="auto"/>
                      <w:lang w:val="en-US" w:eastAsia="zh-CN"/>
                    </w:rPr>
                    <w:t>东经113°1</w:t>
                  </w:r>
                  <w:r>
                    <w:rPr>
                      <w:rFonts w:hint="eastAsia" w:cs="Times New Roman"/>
                      <w:color w:val="auto"/>
                      <w:szCs w:val="21"/>
                      <w:highlight w:val="none"/>
                      <w:u w:val="none" w:color="auto"/>
                      <w:lang w:val="en-US" w:eastAsia="zh-CN"/>
                    </w:rPr>
                    <w:t>3</w:t>
                  </w:r>
                  <w:r>
                    <w:rPr>
                      <w:rFonts w:hint="default" w:ascii="Times New Roman" w:hAnsi="Times New Roman" w:eastAsia="宋体" w:cs="Times New Roman"/>
                      <w:color w:val="auto"/>
                      <w:szCs w:val="21"/>
                      <w:highlight w:val="none"/>
                      <w:u w:val="none" w:color="auto"/>
                      <w:lang w:val="en-US" w:eastAsia="zh-CN"/>
                    </w:rPr>
                    <w:t>′</w:t>
                  </w:r>
                  <w:r>
                    <w:rPr>
                      <w:rFonts w:hint="eastAsia" w:cs="Times New Roman"/>
                      <w:color w:val="auto"/>
                      <w:szCs w:val="21"/>
                      <w:highlight w:val="none"/>
                      <w:u w:val="none" w:color="auto"/>
                      <w:lang w:val="en-US" w:eastAsia="zh-CN"/>
                    </w:rPr>
                    <w:t>33</w:t>
                  </w:r>
                  <w:r>
                    <w:rPr>
                      <w:rFonts w:hint="default" w:ascii="Times New Roman" w:hAnsi="Times New Roman" w:eastAsia="宋体" w:cs="Times New Roman"/>
                      <w:color w:val="auto"/>
                      <w:szCs w:val="21"/>
                      <w:highlight w:val="none"/>
                      <w:u w:val="none" w:color="auto"/>
                      <w:lang w:val="en-US" w:eastAsia="zh-CN"/>
                    </w:rPr>
                    <w:t>″，北纬29°</w:t>
                  </w:r>
                  <w:r>
                    <w:rPr>
                      <w:rFonts w:hint="eastAsia" w:cs="Times New Roman"/>
                      <w:color w:val="auto"/>
                      <w:szCs w:val="21"/>
                      <w:highlight w:val="none"/>
                      <w:u w:val="none" w:color="auto"/>
                      <w:lang w:val="en-US" w:eastAsia="zh-CN"/>
                    </w:rPr>
                    <w:t>04</w:t>
                  </w:r>
                  <w:r>
                    <w:rPr>
                      <w:rFonts w:hint="default" w:ascii="Times New Roman" w:hAnsi="Times New Roman" w:eastAsia="宋体" w:cs="Times New Roman"/>
                      <w:color w:val="auto"/>
                      <w:szCs w:val="21"/>
                      <w:highlight w:val="none"/>
                      <w:u w:val="none" w:color="auto"/>
                      <w:lang w:val="en-US" w:eastAsia="zh-CN"/>
                    </w:rPr>
                    <w:t>′</w:t>
                  </w:r>
                  <w:r>
                    <w:rPr>
                      <w:rFonts w:hint="eastAsia" w:cs="Times New Roman"/>
                      <w:color w:val="auto"/>
                      <w:szCs w:val="21"/>
                      <w:highlight w:val="none"/>
                      <w:u w:val="none" w:color="auto"/>
                      <w:lang w:val="en-US" w:eastAsia="zh-CN"/>
                    </w:rPr>
                    <w:t>08</w:t>
                  </w:r>
                  <w:r>
                    <w:rPr>
                      <w:rFonts w:hint="default" w:ascii="Times New Roman" w:hAnsi="Times New Roman" w:eastAsia="宋体" w:cs="Times New Roman"/>
                      <w:color w:val="auto"/>
                      <w:szCs w:val="21"/>
                      <w:highlight w:val="none"/>
                      <w:u w:val="none" w:color="auto"/>
                      <w:lang w:val="en-US" w:eastAsia="zh-CN"/>
                    </w:rPr>
                    <w:t>″</w:t>
                  </w:r>
                </w:p>
              </w:tc>
            </w:tr>
            <w:tr w14:paraId="0DBC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Align w:val="center"/>
                </w:tcPr>
                <w:p w14:paraId="1D9531F9">
                  <w:pPr>
                    <w:pStyle w:val="24"/>
                    <w:bidi w:val="0"/>
                    <w:jc w:val="center"/>
                    <w:rPr>
                      <w:rFonts w:hint="default"/>
                      <w:color w:val="auto"/>
                      <w:u w:val="single"/>
                      <w:vertAlign w:val="baseline"/>
                      <w:lang w:val="en-US" w:eastAsia="zh-CN"/>
                    </w:rPr>
                  </w:pPr>
                  <w:r>
                    <w:rPr>
                      <w:rFonts w:hint="default"/>
                      <w:color w:val="auto"/>
                      <w:u w:val="single"/>
                      <w:vertAlign w:val="baseline"/>
                      <w:lang w:val="en-US" w:eastAsia="zh-CN"/>
                    </w:rPr>
                    <w:t>主要危害物质及分布</w:t>
                  </w:r>
                </w:p>
              </w:tc>
              <w:tc>
                <w:tcPr>
                  <w:tcW w:w="6376" w:type="dxa"/>
                  <w:vAlign w:val="center"/>
                </w:tcPr>
                <w:p w14:paraId="2DF51132">
                  <w:pPr>
                    <w:pStyle w:val="24"/>
                    <w:bidi w:val="0"/>
                    <w:jc w:val="center"/>
                    <w:rPr>
                      <w:rFonts w:hint="default"/>
                      <w:color w:val="auto"/>
                      <w:u w:val="single"/>
                      <w:vertAlign w:val="baseline"/>
                      <w:lang w:val="en-US" w:eastAsia="zh-CN"/>
                    </w:rPr>
                  </w:pPr>
                  <w:r>
                    <w:rPr>
                      <w:rFonts w:hint="eastAsia"/>
                      <w:color w:val="auto"/>
                      <w:u w:val="single"/>
                      <w:vertAlign w:val="baseline"/>
                      <w:lang w:val="en-US" w:eastAsia="zh-CN"/>
                    </w:rPr>
                    <w:t>危险废物储存于危废暂存间、柴油于仓库单间内单独存放</w:t>
                  </w:r>
                </w:p>
              </w:tc>
            </w:tr>
            <w:tr w14:paraId="15451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Align w:val="center"/>
                </w:tcPr>
                <w:p w14:paraId="1EF2D2F9">
                  <w:pPr>
                    <w:pStyle w:val="24"/>
                    <w:bidi w:val="0"/>
                    <w:jc w:val="center"/>
                    <w:rPr>
                      <w:rFonts w:hint="default"/>
                      <w:color w:val="auto"/>
                      <w:vertAlign w:val="baseline"/>
                      <w:lang w:val="en-US" w:eastAsia="zh-CN"/>
                    </w:rPr>
                  </w:pPr>
                  <w:r>
                    <w:rPr>
                      <w:rFonts w:hint="default"/>
                      <w:color w:val="auto"/>
                      <w:vertAlign w:val="baseline"/>
                      <w:lang w:val="en-US" w:eastAsia="zh-CN"/>
                    </w:rPr>
                    <w:t>环境影响途径</w:t>
                  </w:r>
                </w:p>
                <w:p w14:paraId="6DBCE88B">
                  <w:pPr>
                    <w:pStyle w:val="24"/>
                    <w:bidi w:val="0"/>
                    <w:jc w:val="center"/>
                    <w:rPr>
                      <w:rFonts w:hint="default"/>
                      <w:color w:val="auto"/>
                      <w:vertAlign w:val="baseline"/>
                      <w:lang w:val="en-US" w:eastAsia="zh-CN"/>
                    </w:rPr>
                  </w:pPr>
                  <w:r>
                    <w:rPr>
                      <w:rFonts w:hint="default"/>
                      <w:color w:val="auto"/>
                      <w:vertAlign w:val="baseline"/>
                      <w:lang w:val="en-US" w:eastAsia="zh-CN"/>
                    </w:rPr>
                    <w:t>及危害后果</w:t>
                  </w:r>
                </w:p>
              </w:tc>
              <w:tc>
                <w:tcPr>
                  <w:tcW w:w="6376" w:type="dxa"/>
                  <w:vAlign w:val="center"/>
                </w:tcPr>
                <w:p w14:paraId="6924893C">
                  <w:pPr>
                    <w:pStyle w:val="24"/>
                    <w:bidi w:val="0"/>
                    <w:jc w:val="center"/>
                    <w:rPr>
                      <w:rFonts w:hint="default"/>
                      <w:color w:val="auto"/>
                      <w:vertAlign w:val="baseline"/>
                      <w:lang w:val="en-US" w:eastAsia="zh-CN"/>
                    </w:rPr>
                  </w:pPr>
                  <w:r>
                    <w:rPr>
                      <w:rFonts w:hint="default"/>
                      <w:color w:val="auto"/>
                      <w:vertAlign w:val="baseline"/>
                      <w:lang w:val="en-US" w:eastAsia="zh-CN"/>
                    </w:rPr>
                    <w:t>危废的运输、贮存过程中，如管理操作不当或发生意外事故。存在着泄漏、燃烧等环境风险事故。一旦发生此类事故，引起危废泄漏或火灾事故，将会对周围空气、土壤、地下水环境产生较大污染</w:t>
                  </w:r>
                  <w:r>
                    <w:rPr>
                      <w:rFonts w:hint="eastAsia"/>
                      <w:color w:val="auto"/>
                      <w:vertAlign w:val="baseline"/>
                      <w:lang w:val="en-US" w:eastAsia="zh-CN"/>
                    </w:rPr>
                    <w:t>。</w:t>
                  </w:r>
                </w:p>
              </w:tc>
            </w:tr>
            <w:tr w14:paraId="62CC0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3" w:type="dxa"/>
                  <w:vAlign w:val="center"/>
                </w:tcPr>
                <w:p w14:paraId="7D1B4134">
                  <w:pPr>
                    <w:pStyle w:val="24"/>
                    <w:bidi w:val="0"/>
                    <w:jc w:val="center"/>
                    <w:rPr>
                      <w:rFonts w:hint="default"/>
                      <w:color w:val="auto"/>
                      <w:vertAlign w:val="baseline"/>
                      <w:lang w:val="en-US" w:eastAsia="zh-CN"/>
                    </w:rPr>
                  </w:pPr>
                  <w:r>
                    <w:rPr>
                      <w:rFonts w:hint="default"/>
                      <w:color w:val="auto"/>
                      <w:vertAlign w:val="baseline"/>
                      <w:lang w:val="en-US" w:eastAsia="zh-CN"/>
                    </w:rPr>
                    <w:t>风险防范措施要求</w:t>
                  </w:r>
                </w:p>
              </w:tc>
              <w:tc>
                <w:tcPr>
                  <w:tcW w:w="6376" w:type="dxa"/>
                  <w:vAlign w:val="center"/>
                </w:tcPr>
                <w:p w14:paraId="46AFD530">
                  <w:pPr>
                    <w:pStyle w:val="24"/>
                    <w:bidi w:val="0"/>
                    <w:jc w:val="both"/>
                    <w:rPr>
                      <w:rFonts w:hint="default"/>
                      <w:color w:val="auto"/>
                      <w:vertAlign w:val="baseline"/>
                      <w:lang w:val="en-US" w:eastAsia="zh-CN"/>
                    </w:rPr>
                  </w:pPr>
                  <w:r>
                    <w:rPr>
                      <w:rFonts w:hint="default"/>
                      <w:color w:val="auto"/>
                      <w:vertAlign w:val="baseline"/>
                      <w:lang w:val="en-US" w:eastAsia="zh-CN"/>
                    </w:rPr>
                    <w:t>①制定风险防范管理制度</w:t>
                  </w:r>
                  <w:r>
                    <w:rPr>
                      <w:rFonts w:hint="eastAsia"/>
                      <w:color w:val="auto"/>
                      <w:vertAlign w:val="baseline"/>
                      <w:lang w:val="en-US" w:eastAsia="zh-CN"/>
                    </w:rPr>
                    <w:t>；</w:t>
                  </w:r>
                </w:p>
                <w:p w14:paraId="7FD77095">
                  <w:pPr>
                    <w:pStyle w:val="24"/>
                    <w:bidi w:val="0"/>
                    <w:jc w:val="both"/>
                    <w:rPr>
                      <w:rFonts w:hint="default"/>
                      <w:color w:val="auto"/>
                      <w:vertAlign w:val="baseline"/>
                      <w:lang w:val="en-US" w:eastAsia="zh-CN"/>
                    </w:rPr>
                  </w:pPr>
                  <w:r>
                    <w:rPr>
                      <w:rFonts w:hint="default"/>
                      <w:color w:val="auto"/>
                      <w:vertAlign w:val="baseline"/>
                      <w:lang w:val="en-US" w:eastAsia="zh-CN"/>
                    </w:rPr>
                    <w:t>②危险废物设置危险废物暂存间暂存，明确各类废弃物标识，分类堆放，设置导流沟或者托盘防止泄漏，暂存间做好相应防渗等措施。</w:t>
                  </w:r>
                </w:p>
                <w:p w14:paraId="43E1AB41">
                  <w:pPr>
                    <w:pStyle w:val="24"/>
                    <w:bidi w:val="0"/>
                    <w:jc w:val="both"/>
                    <w:rPr>
                      <w:rFonts w:hint="default"/>
                      <w:color w:val="auto"/>
                      <w:vertAlign w:val="baseline"/>
                      <w:lang w:val="en-US" w:eastAsia="zh-CN"/>
                    </w:rPr>
                  </w:pPr>
                  <w:r>
                    <w:rPr>
                      <w:rFonts w:hint="default"/>
                      <w:color w:val="auto"/>
                      <w:vertAlign w:val="baseline"/>
                      <w:lang w:val="en-US" w:eastAsia="zh-CN"/>
                    </w:rPr>
                    <w:t>③加强设备保养和维护，保证设备的正常运转；加强工作人员的岗位责任管理，减少人员因素产生的故障。</w:t>
                  </w:r>
                </w:p>
              </w:tc>
            </w:tr>
          </w:tbl>
          <w:p w14:paraId="16219C51">
            <w:pPr>
              <w:pStyle w:val="21"/>
              <w:bidi w:val="0"/>
              <w:ind w:left="0" w:leftChars="0" w:firstLine="482" w:firstLineChars="200"/>
              <w:rPr>
                <w:rFonts w:hint="eastAsia"/>
                <w:color w:val="auto"/>
                <w:lang w:val="en-US" w:eastAsia="zh-CN"/>
              </w:rPr>
            </w:pPr>
          </w:p>
          <w:p w14:paraId="212F4942">
            <w:pPr>
              <w:pStyle w:val="21"/>
              <w:bidi w:val="0"/>
              <w:ind w:left="0" w:leftChars="0" w:firstLine="482" w:firstLineChars="200"/>
              <w:rPr>
                <w:rFonts w:hint="eastAsia"/>
                <w:color w:val="auto"/>
                <w:lang w:val="en-US" w:eastAsia="zh-CN"/>
              </w:rPr>
            </w:pPr>
          </w:p>
          <w:p w14:paraId="39F3AFA4">
            <w:pPr>
              <w:pStyle w:val="21"/>
              <w:bidi w:val="0"/>
              <w:ind w:left="0" w:leftChars="0" w:firstLine="482" w:firstLineChars="200"/>
              <w:rPr>
                <w:rFonts w:hint="eastAsia"/>
                <w:color w:val="auto"/>
                <w:lang w:val="en-US" w:eastAsia="zh-CN"/>
              </w:rPr>
            </w:pPr>
          </w:p>
          <w:p w14:paraId="249AFFD6">
            <w:pPr>
              <w:pStyle w:val="21"/>
              <w:bidi w:val="0"/>
              <w:ind w:left="0" w:leftChars="0" w:firstLine="482" w:firstLineChars="200"/>
              <w:rPr>
                <w:rFonts w:hint="eastAsia"/>
                <w:color w:val="auto"/>
                <w:lang w:val="en-US" w:eastAsia="zh-CN"/>
              </w:rPr>
            </w:pPr>
          </w:p>
          <w:p w14:paraId="73778AF4">
            <w:pPr>
              <w:pStyle w:val="21"/>
              <w:bidi w:val="0"/>
              <w:ind w:left="0" w:leftChars="0" w:firstLine="482" w:firstLineChars="200"/>
              <w:rPr>
                <w:rFonts w:hint="eastAsia"/>
                <w:color w:val="auto"/>
                <w:lang w:val="en-US" w:eastAsia="zh-CN"/>
              </w:rPr>
            </w:pPr>
          </w:p>
          <w:p w14:paraId="7CA798C8">
            <w:pPr>
              <w:pStyle w:val="21"/>
              <w:bidi w:val="0"/>
              <w:ind w:left="0" w:leftChars="0" w:firstLine="482" w:firstLineChars="200"/>
              <w:rPr>
                <w:rFonts w:hint="eastAsia"/>
                <w:color w:val="auto"/>
                <w:lang w:val="en-US" w:eastAsia="zh-CN"/>
              </w:rPr>
            </w:pPr>
          </w:p>
          <w:p w14:paraId="40558E40">
            <w:pPr>
              <w:pStyle w:val="21"/>
              <w:bidi w:val="0"/>
              <w:ind w:left="0" w:leftChars="0" w:firstLine="482" w:firstLineChars="200"/>
              <w:rPr>
                <w:rFonts w:hint="eastAsia"/>
                <w:color w:val="auto"/>
                <w:lang w:val="en-US" w:eastAsia="zh-CN"/>
              </w:rPr>
            </w:pPr>
          </w:p>
          <w:p w14:paraId="4414FD8B">
            <w:pPr>
              <w:pStyle w:val="21"/>
              <w:bidi w:val="0"/>
              <w:ind w:left="0" w:leftChars="0" w:firstLine="482" w:firstLineChars="200"/>
              <w:rPr>
                <w:rFonts w:hint="eastAsia"/>
                <w:color w:val="auto"/>
                <w:lang w:val="en-US" w:eastAsia="zh-CN"/>
              </w:rPr>
            </w:pPr>
          </w:p>
          <w:p w14:paraId="4B189162">
            <w:pPr>
              <w:pStyle w:val="21"/>
              <w:bidi w:val="0"/>
              <w:ind w:left="0" w:leftChars="0" w:firstLine="482" w:firstLineChars="200"/>
              <w:rPr>
                <w:rFonts w:hint="eastAsia"/>
                <w:color w:val="auto"/>
                <w:lang w:val="en-US" w:eastAsia="zh-CN"/>
              </w:rPr>
            </w:pPr>
          </w:p>
          <w:p w14:paraId="3C57AE59">
            <w:pPr>
              <w:pStyle w:val="21"/>
              <w:bidi w:val="0"/>
              <w:ind w:left="0" w:leftChars="0" w:firstLine="482" w:firstLineChars="200"/>
              <w:rPr>
                <w:rFonts w:hint="eastAsia"/>
                <w:color w:val="auto"/>
                <w:lang w:val="en-US" w:eastAsia="zh-CN"/>
              </w:rPr>
            </w:pPr>
          </w:p>
          <w:p w14:paraId="76910C9B">
            <w:pPr>
              <w:pStyle w:val="21"/>
              <w:bidi w:val="0"/>
              <w:ind w:left="0" w:leftChars="0" w:firstLine="482" w:firstLineChars="200"/>
              <w:rPr>
                <w:rFonts w:hint="eastAsia"/>
                <w:color w:val="auto"/>
                <w:lang w:val="en-US" w:eastAsia="zh-CN"/>
              </w:rPr>
            </w:pPr>
          </w:p>
          <w:p w14:paraId="5E2B85F3">
            <w:pPr>
              <w:pStyle w:val="21"/>
              <w:bidi w:val="0"/>
              <w:ind w:left="0" w:leftChars="0" w:firstLine="482" w:firstLineChars="200"/>
              <w:rPr>
                <w:rFonts w:hint="default"/>
                <w:color w:val="auto"/>
                <w:lang w:val="en-US" w:eastAsia="zh-CN"/>
              </w:rPr>
            </w:pPr>
            <w:r>
              <w:rPr>
                <w:rFonts w:hint="eastAsia"/>
                <w:color w:val="auto"/>
                <w:lang w:val="en-US" w:eastAsia="zh-CN"/>
              </w:rPr>
              <w:t>6</w:t>
            </w:r>
            <w:r>
              <w:rPr>
                <w:rFonts w:hint="default"/>
                <w:color w:val="auto"/>
                <w:lang w:val="en-US" w:eastAsia="zh-CN"/>
              </w:rPr>
              <w:t>、环保投资</w:t>
            </w:r>
          </w:p>
          <w:p w14:paraId="28C3EFCC">
            <w:pPr>
              <w:pStyle w:val="22"/>
              <w:bidi w:val="0"/>
              <w:rPr>
                <w:rFonts w:hint="eastAsia"/>
                <w:color w:val="auto"/>
                <w:u w:val="none" w:color="auto"/>
                <w:lang w:val="en-US" w:eastAsia="zh-CN"/>
              </w:rPr>
            </w:pPr>
            <w:r>
              <w:rPr>
                <w:rFonts w:hint="default"/>
                <w:color w:val="auto"/>
                <w:u w:val="single" w:color="auto"/>
                <w:lang w:val="en-US" w:eastAsia="zh-CN"/>
              </w:rPr>
              <w:t>本项目总投资</w:t>
            </w:r>
            <w:r>
              <w:rPr>
                <w:rFonts w:hint="eastAsia"/>
                <w:color w:val="auto"/>
                <w:u w:val="single" w:color="auto"/>
                <w:lang w:val="en-US" w:eastAsia="zh-CN"/>
              </w:rPr>
              <w:t>22000</w:t>
            </w:r>
            <w:r>
              <w:rPr>
                <w:rFonts w:hint="default"/>
                <w:color w:val="auto"/>
                <w:u w:val="single" w:color="auto"/>
                <w:lang w:val="en-US" w:eastAsia="zh-CN"/>
              </w:rPr>
              <w:t>万元，</w:t>
            </w:r>
            <w:r>
              <w:rPr>
                <w:rFonts w:hint="default"/>
                <w:color w:val="auto"/>
                <w:highlight w:val="none"/>
                <w:u w:val="single" w:color="auto"/>
                <w:lang w:val="en-US" w:eastAsia="zh-CN"/>
              </w:rPr>
              <w:t>环保投资</w:t>
            </w:r>
            <w:r>
              <w:rPr>
                <w:rFonts w:hint="eastAsia"/>
                <w:color w:val="auto"/>
                <w:highlight w:val="none"/>
                <w:u w:val="single" w:color="auto"/>
                <w:lang w:val="en-US" w:eastAsia="zh-CN"/>
              </w:rPr>
              <w:t>58</w:t>
            </w:r>
            <w:r>
              <w:rPr>
                <w:rFonts w:hint="default"/>
                <w:color w:val="auto"/>
                <w:highlight w:val="none"/>
                <w:u w:val="single" w:color="auto"/>
                <w:lang w:val="en-US" w:eastAsia="zh-CN"/>
              </w:rPr>
              <w:t>万元，占总投资的</w:t>
            </w:r>
            <w:r>
              <w:rPr>
                <w:rFonts w:hint="eastAsia"/>
                <w:color w:val="auto"/>
                <w:highlight w:val="none"/>
                <w:u w:val="single" w:color="auto"/>
                <w:lang w:val="en-US" w:eastAsia="zh-CN"/>
              </w:rPr>
              <w:t>0.3</w:t>
            </w:r>
            <w:r>
              <w:rPr>
                <w:rFonts w:hint="default"/>
                <w:color w:val="auto"/>
                <w:highlight w:val="none"/>
                <w:u w:val="single" w:color="auto"/>
                <w:lang w:val="en-US" w:eastAsia="zh-CN"/>
              </w:rPr>
              <w:t>%。</w:t>
            </w:r>
            <w:r>
              <w:rPr>
                <w:rFonts w:hint="default"/>
                <w:color w:val="auto"/>
                <w:u w:val="single" w:color="auto"/>
                <w:lang w:val="en-US" w:eastAsia="zh-CN"/>
              </w:rPr>
              <w:t>环保投</w:t>
            </w:r>
            <w:r>
              <w:rPr>
                <w:rFonts w:hint="eastAsia"/>
                <w:color w:val="auto"/>
                <w:u w:val="single" w:color="auto"/>
                <w:lang w:val="en-US" w:eastAsia="zh-CN"/>
              </w:rPr>
              <w:t>资预</w:t>
            </w:r>
            <w:r>
              <w:rPr>
                <w:rFonts w:hint="default"/>
                <w:color w:val="auto"/>
                <w:u w:val="single" w:color="auto"/>
                <w:lang w:val="en-US" w:eastAsia="zh-CN"/>
              </w:rPr>
              <w:t>算详见下表。</w:t>
            </w:r>
          </w:p>
          <w:p w14:paraId="58D33B92">
            <w:pPr>
              <w:pStyle w:val="23"/>
              <w:bidi w:val="0"/>
              <w:rPr>
                <w:rFonts w:hint="default"/>
                <w:color w:val="4874CB" w:themeColor="accent1"/>
                <w:u w:val="none" w:color="auto"/>
                <w:lang w:val="en-US" w:eastAsia="zh-CN"/>
                <w14:textFill>
                  <w14:solidFill>
                    <w14:schemeClr w14:val="accent1"/>
                  </w14:solidFill>
                </w14:textFill>
              </w:rPr>
            </w:pPr>
            <w:r>
              <w:rPr>
                <w:rFonts w:hint="eastAsia"/>
                <w:color w:val="auto"/>
                <w:u w:val="none" w:color="auto"/>
                <w:lang w:val="en-US" w:eastAsia="zh-CN"/>
              </w:rPr>
              <w:t>表4-14</w:t>
            </w:r>
            <w:r>
              <w:rPr>
                <w:rFonts w:hint="eastAsia"/>
                <w:color w:val="4874CB" w:themeColor="accent1"/>
                <w:u w:val="none" w:color="auto"/>
                <w:lang w:val="en-US" w:eastAsia="zh-CN"/>
                <w14:textFill>
                  <w14:solidFill>
                    <w14:schemeClr w14:val="accent1"/>
                  </w14:solidFill>
                </w14:textFill>
              </w:rPr>
              <w:t xml:space="preserve">  </w:t>
            </w:r>
            <w:r>
              <w:rPr>
                <w:rFonts w:hint="eastAsia"/>
                <w:color w:val="auto"/>
                <w:u w:val="none" w:color="auto"/>
                <w:lang w:val="en-US" w:eastAsia="zh-CN"/>
              </w:rPr>
              <w:t>环保投资一览表</w:t>
            </w:r>
          </w:p>
          <w:tbl>
            <w:tblPr>
              <w:tblStyle w:val="16"/>
              <w:tblW w:w="78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1337"/>
              <w:gridCol w:w="4567"/>
              <w:gridCol w:w="1235"/>
            </w:tblGrid>
            <w:tr w14:paraId="4038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083219E1">
                  <w:pPr>
                    <w:pStyle w:val="24"/>
                    <w:bidi w:val="0"/>
                    <w:jc w:val="center"/>
                    <w:rPr>
                      <w:rFonts w:hint="default"/>
                      <w:color w:val="auto"/>
                      <w:u w:val="single" w:color="auto"/>
                      <w:lang w:val="en-US" w:eastAsia="zh-CN"/>
                    </w:rPr>
                  </w:pPr>
                  <w:r>
                    <w:rPr>
                      <w:rFonts w:hint="eastAsia"/>
                      <w:color w:val="auto"/>
                      <w:u w:val="single" w:color="auto"/>
                      <w:lang w:val="en-US" w:eastAsia="zh-CN"/>
                    </w:rPr>
                    <w:t>类别</w:t>
                  </w:r>
                </w:p>
              </w:tc>
              <w:tc>
                <w:tcPr>
                  <w:tcW w:w="1337" w:type="dxa"/>
                  <w:vAlign w:val="center"/>
                </w:tcPr>
                <w:p w14:paraId="2D74F77A">
                  <w:pPr>
                    <w:pStyle w:val="24"/>
                    <w:bidi w:val="0"/>
                    <w:jc w:val="center"/>
                    <w:rPr>
                      <w:rFonts w:hint="default"/>
                      <w:color w:val="auto"/>
                      <w:u w:val="single" w:color="auto"/>
                      <w:lang w:val="en-US" w:eastAsia="zh-CN"/>
                    </w:rPr>
                  </w:pPr>
                  <w:r>
                    <w:rPr>
                      <w:rFonts w:hint="eastAsia"/>
                      <w:color w:val="auto"/>
                      <w:u w:val="single" w:color="auto"/>
                      <w:lang w:val="en-US" w:eastAsia="zh-CN"/>
                    </w:rPr>
                    <w:t>污染源</w:t>
                  </w:r>
                </w:p>
              </w:tc>
              <w:tc>
                <w:tcPr>
                  <w:tcW w:w="4567" w:type="dxa"/>
                  <w:vAlign w:val="center"/>
                </w:tcPr>
                <w:p w14:paraId="0106398D">
                  <w:pPr>
                    <w:pStyle w:val="24"/>
                    <w:bidi w:val="0"/>
                    <w:jc w:val="center"/>
                    <w:rPr>
                      <w:rFonts w:hint="default"/>
                      <w:color w:val="auto"/>
                      <w:u w:val="single" w:color="auto"/>
                      <w:lang w:val="en-US" w:eastAsia="zh-CN"/>
                    </w:rPr>
                  </w:pPr>
                  <w:r>
                    <w:rPr>
                      <w:rFonts w:hint="default"/>
                      <w:color w:val="auto"/>
                      <w:u w:val="single" w:color="auto"/>
                      <w:lang w:val="en-US" w:eastAsia="zh-CN"/>
                    </w:rPr>
                    <w:t>污染防治措施</w:t>
                  </w:r>
                </w:p>
              </w:tc>
              <w:tc>
                <w:tcPr>
                  <w:tcW w:w="1235" w:type="dxa"/>
                  <w:vAlign w:val="center"/>
                </w:tcPr>
                <w:p w14:paraId="145CE69B">
                  <w:pPr>
                    <w:pStyle w:val="24"/>
                    <w:bidi w:val="0"/>
                    <w:jc w:val="center"/>
                    <w:rPr>
                      <w:rFonts w:hint="default"/>
                      <w:color w:val="auto"/>
                      <w:u w:val="single" w:color="auto"/>
                      <w:lang w:val="en-US" w:eastAsia="zh-CN"/>
                    </w:rPr>
                  </w:pPr>
                  <w:r>
                    <w:rPr>
                      <w:rFonts w:hint="default"/>
                      <w:color w:val="auto"/>
                      <w:u w:val="single" w:color="auto"/>
                      <w:lang w:val="en-US" w:eastAsia="zh-CN"/>
                    </w:rPr>
                    <w:t>投资概算（万元）</w:t>
                  </w:r>
                </w:p>
              </w:tc>
            </w:tr>
            <w:tr w14:paraId="03CBB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Merge w:val="restart"/>
                  <w:vAlign w:val="center"/>
                </w:tcPr>
                <w:p w14:paraId="3054F3ED">
                  <w:pPr>
                    <w:pStyle w:val="24"/>
                    <w:bidi w:val="0"/>
                    <w:jc w:val="center"/>
                    <w:rPr>
                      <w:rFonts w:hint="default"/>
                      <w:color w:val="4874CB" w:themeColor="accent1"/>
                      <w:u w:val="single" w:color="auto"/>
                      <w:lang w:val="en-US" w:eastAsia="zh-CN"/>
                      <w14:textFill>
                        <w14:solidFill>
                          <w14:schemeClr w14:val="accent1"/>
                        </w14:solidFill>
                      </w14:textFill>
                    </w:rPr>
                  </w:pPr>
                  <w:r>
                    <w:rPr>
                      <w:rFonts w:hint="eastAsia"/>
                      <w:color w:val="auto"/>
                      <w:u w:val="single" w:color="auto"/>
                      <w:lang w:val="en-US" w:eastAsia="zh-CN"/>
                    </w:rPr>
                    <w:t>废气</w:t>
                  </w:r>
                </w:p>
              </w:tc>
              <w:tc>
                <w:tcPr>
                  <w:tcW w:w="1337" w:type="dxa"/>
                  <w:vAlign w:val="center"/>
                </w:tcPr>
                <w:p w14:paraId="3E9E9708">
                  <w:pPr>
                    <w:pStyle w:val="24"/>
                    <w:bidi w:val="0"/>
                    <w:jc w:val="center"/>
                    <w:rPr>
                      <w:rFonts w:hint="default"/>
                      <w:color w:val="auto"/>
                      <w:u w:val="single" w:color="auto"/>
                      <w:lang w:val="en-US" w:eastAsia="zh-CN"/>
                    </w:rPr>
                  </w:pPr>
                  <w:r>
                    <w:rPr>
                      <w:rFonts w:hint="eastAsia"/>
                      <w:color w:val="auto"/>
                      <w:u w:val="single" w:color="auto"/>
                      <w:lang w:val="en-US" w:eastAsia="zh-CN"/>
                    </w:rPr>
                    <w:t>工艺废气</w:t>
                  </w:r>
                </w:p>
              </w:tc>
              <w:tc>
                <w:tcPr>
                  <w:tcW w:w="4567" w:type="dxa"/>
                  <w:vAlign w:val="center"/>
                </w:tcPr>
                <w:p w14:paraId="38B472F6">
                  <w:pPr>
                    <w:pStyle w:val="24"/>
                    <w:bidi w:val="0"/>
                    <w:jc w:val="center"/>
                    <w:rPr>
                      <w:rFonts w:hint="default" w:eastAsia="宋体"/>
                      <w:color w:val="4874CB" w:themeColor="accent1"/>
                      <w:u w:val="single" w:color="auto"/>
                      <w:lang w:val="en-US" w:eastAsia="zh-CN"/>
                      <w14:textFill>
                        <w14:solidFill>
                          <w14:schemeClr w14:val="accent1"/>
                        </w14:solidFill>
                      </w14:textFill>
                    </w:rPr>
                  </w:pPr>
                  <w:r>
                    <w:rPr>
                      <w:rFonts w:hint="eastAsia"/>
                      <w:sz w:val="21"/>
                      <w:szCs w:val="21"/>
                      <w:u w:val="single"/>
                    </w:rPr>
                    <w:t>旋风除尘器＋</w:t>
                  </w:r>
                  <w:r>
                    <w:rPr>
                      <w:rFonts w:hint="eastAsia"/>
                      <w:sz w:val="21"/>
                      <w:szCs w:val="21"/>
                      <w:u w:val="single"/>
                      <w:lang w:val="en-US" w:eastAsia="zh-CN"/>
                    </w:rPr>
                    <w:t>布袋除尘器</w:t>
                  </w:r>
                  <w:r>
                    <w:rPr>
                      <w:sz w:val="21"/>
                      <w:szCs w:val="21"/>
                      <w:u w:val="single"/>
                    </w:rPr>
                    <w:t>＋</w:t>
                  </w:r>
                  <w:r>
                    <w:rPr>
                      <w:rFonts w:hint="eastAsia"/>
                      <w:sz w:val="21"/>
                      <w:szCs w:val="21"/>
                      <w:u w:val="single"/>
                      <w:lang w:val="en-US" w:eastAsia="zh-CN"/>
                    </w:rPr>
                    <w:t>喷淋+15m排气筒</w:t>
                  </w:r>
                </w:p>
              </w:tc>
              <w:tc>
                <w:tcPr>
                  <w:tcW w:w="1235" w:type="dxa"/>
                  <w:vAlign w:val="center"/>
                </w:tcPr>
                <w:p w14:paraId="3EAA42A9">
                  <w:pPr>
                    <w:pStyle w:val="24"/>
                    <w:bidi w:val="0"/>
                    <w:jc w:val="center"/>
                    <w:rPr>
                      <w:rFonts w:hint="default"/>
                      <w:color w:val="auto"/>
                      <w:u w:val="single" w:color="auto"/>
                      <w:lang w:val="en-US" w:eastAsia="zh-CN"/>
                    </w:rPr>
                  </w:pPr>
                  <w:r>
                    <w:rPr>
                      <w:rFonts w:hint="eastAsia"/>
                      <w:color w:val="auto"/>
                      <w:u w:val="single" w:color="auto"/>
                      <w:lang w:val="en-US" w:eastAsia="zh-CN"/>
                    </w:rPr>
                    <w:t>40</w:t>
                  </w:r>
                </w:p>
              </w:tc>
            </w:tr>
            <w:tr w14:paraId="667A5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Merge w:val="continue"/>
                  <w:vAlign w:val="center"/>
                </w:tcPr>
                <w:p w14:paraId="7E60316B">
                  <w:pPr>
                    <w:pStyle w:val="24"/>
                    <w:bidi w:val="0"/>
                    <w:jc w:val="center"/>
                    <w:rPr>
                      <w:rFonts w:hint="default"/>
                      <w:color w:val="4874CB" w:themeColor="accent1"/>
                      <w:u w:val="single" w:color="auto"/>
                      <w:lang w:val="en-US" w:eastAsia="zh-CN"/>
                      <w14:textFill>
                        <w14:solidFill>
                          <w14:schemeClr w14:val="accent1"/>
                        </w14:solidFill>
                      </w14:textFill>
                    </w:rPr>
                  </w:pPr>
                </w:p>
              </w:tc>
              <w:tc>
                <w:tcPr>
                  <w:tcW w:w="1337" w:type="dxa"/>
                  <w:vAlign w:val="center"/>
                </w:tcPr>
                <w:p w14:paraId="16D6BF6C">
                  <w:pPr>
                    <w:pStyle w:val="24"/>
                    <w:bidi w:val="0"/>
                    <w:jc w:val="center"/>
                    <w:rPr>
                      <w:rFonts w:hint="default"/>
                      <w:color w:val="auto"/>
                      <w:u w:val="single" w:color="auto"/>
                      <w:lang w:val="en-US" w:eastAsia="zh-CN"/>
                    </w:rPr>
                  </w:pPr>
                  <w:r>
                    <w:rPr>
                      <w:rFonts w:hint="eastAsia"/>
                      <w:color w:val="auto"/>
                      <w:u w:val="single" w:color="auto"/>
                      <w:lang w:val="en-US" w:eastAsia="zh-CN"/>
                    </w:rPr>
                    <w:t>热风炉烟气</w:t>
                  </w:r>
                </w:p>
              </w:tc>
              <w:tc>
                <w:tcPr>
                  <w:tcW w:w="4567" w:type="dxa"/>
                  <w:vAlign w:val="center"/>
                </w:tcPr>
                <w:p w14:paraId="3181F836">
                  <w:pPr>
                    <w:pStyle w:val="24"/>
                    <w:bidi w:val="0"/>
                    <w:jc w:val="center"/>
                    <w:rPr>
                      <w:rFonts w:hint="default"/>
                      <w:color w:val="4874CB" w:themeColor="accent1"/>
                      <w:u w:val="single" w:color="auto"/>
                      <w:lang w:val="en-US" w:eastAsia="zh-CN"/>
                      <w14:textFill>
                        <w14:solidFill>
                          <w14:schemeClr w14:val="accent1"/>
                        </w14:solidFill>
                      </w14:textFill>
                    </w:rPr>
                  </w:pPr>
                  <w:r>
                    <w:rPr>
                      <w:rFonts w:hint="eastAsia"/>
                      <w:sz w:val="21"/>
                      <w:szCs w:val="21"/>
                      <w:u w:val="single"/>
                      <w:lang w:val="en-US" w:eastAsia="zh-CN"/>
                    </w:rPr>
                    <w:t>15m排气筒</w:t>
                  </w:r>
                </w:p>
              </w:tc>
              <w:tc>
                <w:tcPr>
                  <w:tcW w:w="1235" w:type="dxa"/>
                  <w:vAlign w:val="center"/>
                </w:tcPr>
                <w:p w14:paraId="18C337F4">
                  <w:pPr>
                    <w:pStyle w:val="24"/>
                    <w:bidi w:val="0"/>
                    <w:jc w:val="center"/>
                    <w:rPr>
                      <w:rFonts w:hint="default"/>
                      <w:color w:val="auto"/>
                      <w:u w:val="single" w:color="auto"/>
                      <w:lang w:val="en-US" w:eastAsia="zh-CN"/>
                    </w:rPr>
                  </w:pPr>
                  <w:r>
                    <w:rPr>
                      <w:rFonts w:hint="eastAsia"/>
                      <w:color w:val="auto"/>
                      <w:u w:val="single" w:color="auto"/>
                      <w:lang w:val="en-US" w:eastAsia="zh-CN"/>
                    </w:rPr>
                    <w:t>3</w:t>
                  </w:r>
                </w:p>
              </w:tc>
            </w:tr>
            <w:tr w14:paraId="4E0CD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Merge w:val="restart"/>
                  <w:vAlign w:val="center"/>
                </w:tcPr>
                <w:p w14:paraId="0EC3FD26">
                  <w:pPr>
                    <w:pStyle w:val="24"/>
                    <w:bidi w:val="0"/>
                    <w:jc w:val="center"/>
                    <w:rPr>
                      <w:rFonts w:hint="default"/>
                      <w:color w:val="4874CB" w:themeColor="accent1"/>
                      <w:u w:val="single" w:color="auto"/>
                      <w:lang w:val="en-US" w:eastAsia="zh-CN"/>
                      <w14:textFill>
                        <w14:solidFill>
                          <w14:schemeClr w14:val="accent1"/>
                        </w14:solidFill>
                      </w14:textFill>
                    </w:rPr>
                  </w:pPr>
                  <w:r>
                    <w:rPr>
                      <w:rFonts w:hint="eastAsia"/>
                      <w:color w:val="auto"/>
                      <w:u w:val="single" w:color="auto"/>
                      <w:lang w:val="en-US" w:eastAsia="zh-CN"/>
                    </w:rPr>
                    <w:t>废水</w:t>
                  </w:r>
                </w:p>
              </w:tc>
              <w:tc>
                <w:tcPr>
                  <w:tcW w:w="1337" w:type="dxa"/>
                  <w:vAlign w:val="center"/>
                </w:tcPr>
                <w:p w14:paraId="0EFC48A8">
                  <w:pPr>
                    <w:pStyle w:val="24"/>
                    <w:bidi w:val="0"/>
                    <w:jc w:val="center"/>
                    <w:rPr>
                      <w:rFonts w:hint="default"/>
                      <w:color w:val="4874CB" w:themeColor="accent1"/>
                      <w:u w:val="single" w:color="auto"/>
                      <w:lang w:val="en-US" w:eastAsia="zh-CN"/>
                      <w14:textFill>
                        <w14:solidFill>
                          <w14:schemeClr w14:val="accent1"/>
                        </w14:solidFill>
                      </w14:textFill>
                    </w:rPr>
                  </w:pPr>
                  <w:r>
                    <w:rPr>
                      <w:rFonts w:hint="eastAsia"/>
                      <w:color w:val="auto"/>
                      <w:u w:val="single" w:color="auto"/>
                      <w:lang w:val="en-US" w:eastAsia="zh-CN"/>
                    </w:rPr>
                    <w:t>生活污水</w:t>
                  </w:r>
                </w:p>
              </w:tc>
              <w:tc>
                <w:tcPr>
                  <w:tcW w:w="4567" w:type="dxa"/>
                  <w:vAlign w:val="center"/>
                </w:tcPr>
                <w:p w14:paraId="506C8A02">
                  <w:pPr>
                    <w:pStyle w:val="24"/>
                    <w:bidi w:val="0"/>
                    <w:jc w:val="center"/>
                    <w:rPr>
                      <w:rFonts w:hint="default"/>
                      <w:color w:val="4874CB" w:themeColor="accent1"/>
                      <w:u w:val="single" w:color="auto"/>
                      <w:lang w:val="en-US" w:eastAsia="zh-CN"/>
                      <w14:textFill>
                        <w14:solidFill>
                          <w14:schemeClr w14:val="accent1"/>
                        </w14:solidFill>
                      </w14:textFill>
                    </w:rPr>
                  </w:pPr>
                  <w:r>
                    <w:rPr>
                      <w:rFonts w:hint="eastAsia"/>
                      <w:color w:val="auto"/>
                      <w:u w:val="single" w:color="auto"/>
                      <w:lang w:val="en-US" w:eastAsia="zh-CN"/>
                    </w:rPr>
                    <w:t>化粪池（6m</w:t>
                  </w:r>
                  <w:r>
                    <w:rPr>
                      <w:rFonts w:hint="eastAsia"/>
                      <w:color w:val="auto"/>
                      <w:u w:val="single" w:color="auto"/>
                      <w:vertAlign w:val="superscript"/>
                      <w:lang w:val="en-US" w:eastAsia="zh-CN"/>
                    </w:rPr>
                    <w:t>3</w:t>
                  </w:r>
                  <w:r>
                    <w:rPr>
                      <w:rFonts w:hint="eastAsia"/>
                      <w:color w:val="auto"/>
                      <w:u w:val="single" w:color="auto"/>
                      <w:lang w:val="en-US" w:eastAsia="zh-CN"/>
                    </w:rPr>
                    <w:t>）</w:t>
                  </w:r>
                </w:p>
              </w:tc>
              <w:tc>
                <w:tcPr>
                  <w:tcW w:w="1235" w:type="dxa"/>
                  <w:vAlign w:val="center"/>
                </w:tcPr>
                <w:p w14:paraId="5A975B74">
                  <w:pPr>
                    <w:pStyle w:val="24"/>
                    <w:bidi w:val="0"/>
                    <w:jc w:val="center"/>
                    <w:rPr>
                      <w:rFonts w:hint="default"/>
                      <w:color w:val="auto"/>
                      <w:u w:val="single" w:color="auto"/>
                      <w:lang w:val="en-US" w:eastAsia="zh-CN"/>
                    </w:rPr>
                  </w:pPr>
                  <w:r>
                    <w:rPr>
                      <w:rFonts w:hint="eastAsia"/>
                      <w:color w:val="auto"/>
                      <w:u w:val="single" w:color="auto"/>
                      <w:lang w:val="en-US" w:eastAsia="zh-CN"/>
                    </w:rPr>
                    <w:t>3</w:t>
                  </w:r>
                </w:p>
              </w:tc>
            </w:tr>
            <w:tr w14:paraId="03BA2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Merge w:val="continue"/>
                  <w:vAlign w:val="center"/>
                </w:tcPr>
                <w:p w14:paraId="157A784D">
                  <w:pPr>
                    <w:pStyle w:val="24"/>
                    <w:bidi w:val="0"/>
                    <w:jc w:val="center"/>
                    <w:rPr>
                      <w:rFonts w:hint="default"/>
                      <w:color w:val="4874CB" w:themeColor="accent1"/>
                      <w:u w:val="single" w:color="auto"/>
                      <w:lang w:val="en-US" w:eastAsia="zh-CN"/>
                      <w14:textFill>
                        <w14:solidFill>
                          <w14:schemeClr w14:val="accent1"/>
                        </w14:solidFill>
                      </w14:textFill>
                    </w:rPr>
                  </w:pPr>
                </w:p>
              </w:tc>
              <w:tc>
                <w:tcPr>
                  <w:tcW w:w="1337" w:type="dxa"/>
                  <w:vAlign w:val="center"/>
                </w:tcPr>
                <w:p w14:paraId="5B6572AF">
                  <w:pPr>
                    <w:pStyle w:val="24"/>
                    <w:bidi w:val="0"/>
                    <w:jc w:val="center"/>
                    <w:rPr>
                      <w:rFonts w:hint="default"/>
                      <w:color w:val="auto"/>
                      <w:u w:val="single" w:color="auto"/>
                      <w:lang w:val="en-US" w:eastAsia="zh-CN"/>
                    </w:rPr>
                  </w:pPr>
                  <w:r>
                    <w:rPr>
                      <w:rFonts w:hint="eastAsia"/>
                      <w:color w:val="auto"/>
                      <w:u w:val="single" w:color="auto"/>
                      <w:lang w:val="en-US" w:eastAsia="zh-CN"/>
                    </w:rPr>
                    <w:t>除尘废水</w:t>
                  </w:r>
                </w:p>
              </w:tc>
              <w:tc>
                <w:tcPr>
                  <w:tcW w:w="4567" w:type="dxa"/>
                  <w:vAlign w:val="center"/>
                </w:tcPr>
                <w:p w14:paraId="203BEB7D">
                  <w:pPr>
                    <w:pStyle w:val="24"/>
                    <w:bidi w:val="0"/>
                    <w:jc w:val="center"/>
                    <w:rPr>
                      <w:rFonts w:hint="default"/>
                      <w:color w:val="auto"/>
                      <w:u w:val="single" w:color="auto"/>
                      <w:lang w:val="en-US" w:eastAsia="zh-CN"/>
                    </w:rPr>
                  </w:pPr>
                  <w:r>
                    <w:rPr>
                      <w:rFonts w:hint="eastAsia"/>
                      <w:color w:val="auto"/>
                      <w:u w:val="single" w:color="auto"/>
                      <w:lang w:val="en-US" w:eastAsia="zh-CN"/>
                    </w:rPr>
                    <w:t>经</w:t>
                  </w:r>
                  <w:r>
                    <w:rPr>
                      <w:rFonts w:hint="eastAsia"/>
                      <w:b w:val="0"/>
                      <w:bCs/>
                      <w:color w:val="auto"/>
                      <w:u w:val="single"/>
                      <w:lang w:val="en-US" w:eastAsia="zh-CN"/>
                    </w:rPr>
                    <w:t>沉降槽</w:t>
                  </w:r>
                  <w:r>
                    <w:rPr>
                      <w:rFonts w:hint="eastAsia"/>
                      <w:color w:val="auto"/>
                      <w:u w:val="single" w:color="auto"/>
                      <w:lang w:val="en-US" w:eastAsia="zh-CN"/>
                    </w:rPr>
                    <w:t>沉淀后回用于生产工序</w:t>
                  </w:r>
                </w:p>
              </w:tc>
              <w:tc>
                <w:tcPr>
                  <w:tcW w:w="1235" w:type="dxa"/>
                  <w:vAlign w:val="center"/>
                </w:tcPr>
                <w:p w14:paraId="2282BD1F">
                  <w:pPr>
                    <w:pStyle w:val="24"/>
                    <w:bidi w:val="0"/>
                    <w:jc w:val="center"/>
                    <w:rPr>
                      <w:rFonts w:hint="default"/>
                      <w:color w:val="auto"/>
                      <w:u w:val="single" w:color="auto"/>
                      <w:lang w:val="en-US" w:eastAsia="zh-CN"/>
                    </w:rPr>
                  </w:pPr>
                  <w:r>
                    <w:rPr>
                      <w:rFonts w:hint="eastAsia"/>
                      <w:color w:val="auto"/>
                      <w:u w:val="single" w:color="auto"/>
                      <w:lang w:val="en-US" w:eastAsia="zh-CN"/>
                    </w:rPr>
                    <w:t>2</w:t>
                  </w:r>
                </w:p>
              </w:tc>
            </w:tr>
            <w:tr w14:paraId="1222F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Align w:val="center"/>
                </w:tcPr>
                <w:p w14:paraId="0DBB4E69">
                  <w:pPr>
                    <w:pStyle w:val="24"/>
                    <w:bidi w:val="0"/>
                    <w:jc w:val="center"/>
                    <w:rPr>
                      <w:rFonts w:hint="default"/>
                      <w:color w:val="auto"/>
                      <w:u w:val="single" w:color="auto"/>
                      <w:lang w:val="en-US" w:eastAsia="zh-CN"/>
                    </w:rPr>
                  </w:pPr>
                  <w:r>
                    <w:rPr>
                      <w:rFonts w:hint="eastAsia"/>
                      <w:color w:val="auto"/>
                      <w:u w:val="single" w:color="auto"/>
                      <w:lang w:val="en-US" w:eastAsia="zh-CN"/>
                    </w:rPr>
                    <w:t>噪声</w:t>
                  </w:r>
                </w:p>
              </w:tc>
              <w:tc>
                <w:tcPr>
                  <w:tcW w:w="1337" w:type="dxa"/>
                  <w:vAlign w:val="center"/>
                </w:tcPr>
                <w:p w14:paraId="45823202">
                  <w:pPr>
                    <w:pStyle w:val="24"/>
                    <w:bidi w:val="0"/>
                    <w:jc w:val="center"/>
                    <w:rPr>
                      <w:rFonts w:hint="default"/>
                      <w:color w:val="auto"/>
                      <w:u w:val="single" w:color="auto"/>
                      <w:lang w:val="en-US" w:eastAsia="zh-CN"/>
                    </w:rPr>
                  </w:pPr>
                  <w:r>
                    <w:rPr>
                      <w:rFonts w:hint="eastAsia"/>
                      <w:color w:val="auto"/>
                      <w:u w:val="single" w:color="auto"/>
                      <w:lang w:val="en-US" w:eastAsia="zh-CN"/>
                    </w:rPr>
                    <w:t>设备噪声</w:t>
                  </w:r>
                </w:p>
              </w:tc>
              <w:tc>
                <w:tcPr>
                  <w:tcW w:w="4567" w:type="dxa"/>
                  <w:vAlign w:val="center"/>
                </w:tcPr>
                <w:p w14:paraId="4B3C0CA3">
                  <w:pPr>
                    <w:pStyle w:val="24"/>
                    <w:bidi w:val="0"/>
                    <w:jc w:val="center"/>
                    <w:rPr>
                      <w:rFonts w:hint="default"/>
                      <w:color w:val="auto"/>
                      <w:u w:val="single" w:color="auto"/>
                      <w:lang w:val="en-US" w:eastAsia="zh-CN"/>
                    </w:rPr>
                  </w:pPr>
                  <w:r>
                    <w:rPr>
                      <w:rFonts w:hint="default"/>
                      <w:color w:val="auto"/>
                      <w:u w:val="single" w:color="auto"/>
                      <w:lang w:val="en-US" w:eastAsia="zh-CN"/>
                    </w:rPr>
                    <w:t>合理布局、选用低噪声设备、基础减振、厂房隔声、限速禁鸣，加强管理</w:t>
                  </w:r>
                </w:p>
              </w:tc>
              <w:tc>
                <w:tcPr>
                  <w:tcW w:w="1235" w:type="dxa"/>
                  <w:vAlign w:val="center"/>
                </w:tcPr>
                <w:p w14:paraId="7595B943">
                  <w:pPr>
                    <w:pStyle w:val="24"/>
                    <w:bidi w:val="0"/>
                    <w:jc w:val="center"/>
                    <w:rPr>
                      <w:rFonts w:hint="default"/>
                      <w:color w:val="auto"/>
                      <w:u w:val="single" w:color="auto"/>
                      <w:lang w:val="en-US" w:eastAsia="zh-CN"/>
                    </w:rPr>
                  </w:pPr>
                  <w:r>
                    <w:rPr>
                      <w:rFonts w:hint="eastAsia"/>
                      <w:color w:val="auto"/>
                      <w:u w:val="single" w:color="auto"/>
                      <w:lang w:val="en-US" w:eastAsia="zh-CN"/>
                    </w:rPr>
                    <w:t>3</w:t>
                  </w:r>
                </w:p>
              </w:tc>
            </w:tr>
            <w:tr w14:paraId="485A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Merge w:val="restart"/>
                  <w:vAlign w:val="center"/>
                </w:tcPr>
                <w:p w14:paraId="5DE91D77">
                  <w:pPr>
                    <w:pStyle w:val="24"/>
                    <w:bidi w:val="0"/>
                    <w:jc w:val="center"/>
                    <w:rPr>
                      <w:rFonts w:hint="default"/>
                      <w:color w:val="4874CB" w:themeColor="accent1"/>
                      <w:u w:val="single" w:color="auto"/>
                      <w:lang w:val="en-US" w:eastAsia="zh-CN"/>
                      <w14:textFill>
                        <w14:solidFill>
                          <w14:schemeClr w14:val="accent1"/>
                        </w14:solidFill>
                      </w14:textFill>
                    </w:rPr>
                  </w:pPr>
                  <w:r>
                    <w:rPr>
                      <w:rFonts w:hint="eastAsia"/>
                      <w:color w:val="auto"/>
                      <w:u w:val="single" w:color="auto"/>
                      <w:lang w:val="en-US" w:eastAsia="zh-CN"/>
                    </w:rPr>
                    <w:t>固体废物</w:t>
                  </w:r>
                </w:p>
              </w:tc>
              <w:tc>
                <w:tcPr>
                  <w:tcW w:w="1337" w:type="dxa"/>
                  <w:vAlign w:val="center"/>
                </w:tcPr>
                <w:p w14:paraId="0B580352">
                  <w:pPr>
                    <w:pStyle w:val="24"/>
                    <w:bidi w:val="0"/>
                    <w:jc w:val="center"/>
                    <w:rPr>
                      <w:rFonts w:hint="default"/>
                      <w:color w:val="auto"/>
                      <w:u w:val="single" w:color="auto"/>
                      <w:lang w:val="en-US" w:eastAsia="zh-CN"/>
                    </w:rPr>
                  </w:pPr>
                  <w:r>
                    <w:rPr>
                      <w:rFonts w:hint="eastAsia"/>
                      <w:color w:val="auto"/>
                      <w:u w:val="single" w:color="auto"/>
                      <w:lang w:val="en-US" w:eastAsia="zh-CN"/>
                    </w:rPr>
                    <w:t>生活垃圾</w:t>
                  </w:r>
                </w:p>
              </w:tc>
              <w:tc>
                <w:tcPr>
                  <w:tcW w:w="4567" w:type="dxa"/>
                  <w:vAlign w:val="center"/>
                </w:tcPr>
                <w:p w14:paraId="018D6A53">
                  <w:pPr>
                    <w:pStyle w:val="24"/>
                    <w:bidi w:val="0"/>
                    <w:jc w:val="center"/>
                    <w:rPr>
                      <w:rFonts w:hint="default"/>
                      <w:color w:val="auto"/>
                      <w:u w:val="single" w:color="auto"/>
                      <w:lang w:val="en-US" w:eastAsia="zh-CN"/>
                    </w:rPr>
                  </w:pPr>
                  <w:r>
                    <w:rPr>
                      <w:rFonts w:hint="default"/>
                      <w:color w:val="auto"/>
                      <w:u w:val="single" w:color="auto"/>
                      <w:lang w:val="en-US" w:eastAsia="zh-CN"/>
                    </w:rPr>
                    <w:t>由当地环卫部门清运</w:t>
                  </w:r>
                </w:p>
              </w:tc>
              <w:tc>
                <w:tcPr>
                  <w:tcW w:w="1235" w:type="dxa"/>
                  <w:vAlign w:val="center"/>
                </w:tcPr>
                <w:p w14:paraId="18CE7F11">
                  <w:pPr>
                    <w:pStyle w:val="24"/>
                    <w:bidi w:val="0"/>
                    <w:jc w:val="center"/>
                    <w:rPr>
                      <w:rFonts w:hint="default"/>
                      <w:color w:val="auto"/>
                      <w:u w:val="single" w:color="auto"/>
                      <w:lang w:val="en-US" w:eastAsia="zh-CN"/>
                    </w:rPr>
                  </w:pPr>
                  <w:r>
                    <w:rPr>
                      <w:rFonts w:hint="eastAsia"/>
                      <w:color w:val="auto"/>
                      <w:u w:val="single" w:color="auto"/>
                      <w:lang w:val="en-US" w:eastAsia="zh-CN"/>
                    </w:rPr>
                    <w:t>2</w:t>
                  </w:r>
                </w:p>
              </w:tc>
            </w:tr>
            <w:tr w14:paraId="4825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Merge w:val="continue"/>
                  <w:vAlign w:val="center"/>
                </w:tcPr>
                <w:p w14:paraId="0263E735">
                  <w:pPr>
                    <w:pStyle w:val="24"/>
                    <w:bidi w:val="0"/>
                    <w:jc w:val="center"/>
                    <w:rPr>
                      <w:rFonts w:hint="eastAsia"/>
                      <w:color w:val="4874CB" w:themeColor="accent1"/>
                      <w:u w:val="single" w:color="auto"/>
                      <w:lang w:val="en-US" w:eastAsia="zh-CN"/>
                      <w14:textFill>
                        <w14:solidFill>
                          <w14:schemeClr w14:val="accent1"/>
                        </w14:solidFill>
                      </w14:textFill>
                    </w:rPr>
                  </w:pPr>
                </w:p>
              </w:tc>
              <w:tc>
                <w:tcPr>
                  <w:tcW w:w="1337" w:type="dxa"/>
                  <w:vAlign w:val="center"/>
                </w:tcPr>
                <w:p w14:paraId="64D6E27C">
                  <w:pPr>
                    <w:pStyle w:val="24"/>
                    <w:bidi w:val="0"/>
                    <w:jc w:val="center"/>
                    <w:rPr>
                      <w:rFonts w:hint="default"/>
                      <w:color w:val="4874CB" w:themeColor="accent1"/>
                      <w:u w:val="single" w:color="auto"/>
                      <w:lang w:val="en-US" w:eastAsia="zh-CN"/>
                      <w14:textFill>
                        <w14:solidFill>
                          <w14:schemeClr w14:val="accent1"/>
                        </w14:solidFill>
                      </w14:textFill>
                    </w:rPr>
                  </w:pPr>
                  <w:r>
                    <w:rPr>
                      <w:rFonts w:hint="eastAsia"/>
                      <w:color w:val="auto"/>
                      <w:u w:val="single" w:color="auto"/>
                      <w:lang w:val="en-US" w:eastAsia="zh-CN"/>
                    </w:rPr>
                    <w:t>一般固废</w:t>
                  </w:r>
                </w:p>
              </w:tc>
              <w:tc>
                <w:tcPr>
                  <w:tcW w:w="4567" w:type="dxa"/>
                  <w:vAlign w:val="center"/>
                </w:tcPr>
                <w:p w14:paraId="0D7C9EFF">
                  <w:pPr>
                    <w:pStyle w:val="24"/>
                    <w:bidi w:val="0"/>
                    <w:jc w:val="center"/>
                    <w:rPr>
                      <w:rFonts w:hint="default"/>
                      <w:color w:val="4874CB" w:themeColor="accent1"/>
                      <w:u w:val="single" w:color="auto"/>
                      <w:lang w:val="en-US" w:eastAsia="zh-CN"/>
                      <w14:textFill>
                        <w14:solidFill>
                          <w14:schemeClr w14:val="accent1"/>
                        </w14:solidFill>
                      </w14:textFill>
                    </w:rPr>
                  </w:pPr>
                  <w:r>
                    <w:rPr>
                      <w:rFonts w:hint="eastAsia"/>
                      <w:sz w:val="21"/>
                      <w:szCs w:val="21"/>
                      <w:u w:val="single"/>
                      <w:lang w:val="en-US" w:eastAsia="zh-CN"/>
                    </w:rPr>
                    <w:t>设一般固废暂存间，约10m</w:t>
                  </w:r>
                  <w:r>
                    <w:rPr>
                      <w:rFonts w:hint="eastAsia"/>
                      <w:sz w:val="21"/>
                      <w:szCs w:val="21"/>
                      <w:u w:val="single"/>
                      <w:vertAlign w:val="superscript"/>
                      <w:lang w:val="en-US" w:eastAsia="zh-CN"/>
                    </w:rPr>
                    <w:t>2</w:t>
                  </w:r>
                  <w:r>
                    <w:rPr>
                      <w:rFonts w:hint="eastAsia"/>
                      <w:sz w:val="21"/>
                      <w:szCs w:val="21"/>
                      <w:u w:val="single"/>
                      <w:vertAlign w:val="baseline"/>
                      <w:lang w:val="en-US" w:eastAsia="zh-CN"/>
                    </w:rPr>
                    <w:t>。</w:t>
                  </w:r>
                  <w:r>
                    <w:rPr>
                      <w:rFonts w:hint="eastAsia"/>
                      <w:sz w:val="21"/>
                      <w:szCs w:val="21"/>
                      <w:u w:val="single"/>
                    </w:rPr>
                    <w:t>废气除尘系统收集的烟尘全部回用于生产工序，不外排</w:t>
                  </w:r>
                  <w:r>
                    <w:rPr>
                      <w:rFonts w:hint="eastAsia"/>
                      <w:sz w:val="21"/>
                      <w:szCs w:val="21"/>
                      <w:u w:val="single"/>
                      <w:lang w:eastAsia="zh-CN"/>
                    </w:rPr>
                    <w:t>；</w:t>
                  </w:r>
                  <w:r>
                    <w:rPr>
                      <w:rFonts w:hint="eastAsia"/>
                      <w:sz w:val="21"/>
                      <w:szCs w:val="21"/>
                      <w:u w:val="single"/>
                    </w:rPr>
                    <w:t>废编织袋</w:t>
                  </w:r>
                  <w:r>
                    <w:rPr>
                      <w:rFonts w:hint="eastAsia"/>
                      <w:color w:val="auto"/>
                      <w:u w:val="single"/>
                      <w:lang w:val="en-US" w:eastAsia="zh-CN"/>
                    </w:rPr>
                    <w:t>作为</w:t>
                  </w:r>
                  <w:r>
                    <w:rPr>
                      <w:rFonts w:hint="default"/>
                      <w:color w:val="auto"/>
                      <w:u w:val="single"/>
                      <w:lang w:val="en-US" w:eastAsia="zh-CN"/>
                    </w:rPr>
                    <w:t>可回收垃圾外售处理</w:t>
                  </w:r>
                  <w:r>
                    <w:rPr>
                      <w:rFonts w:hint="eastAsia"/>
                      <w:sz w:val="21"/>
                      <w:szCs w:val="21"/>
                      <w:u w:val="single"/>
                      <w:lang w:eastAsia="zh-CN"/>
                    </w:rPr>
                    <w:t>；</w:t>
                  </w:r>
                  <w:r>
                    <w:rPr>
                      <w:rFonts w:hint="eastAsia"/>
                      <w:sz w:val="21"/>
                      <w:szCs w:val="21"/>
                      <w:u w:val="single"/>
                    </w:rPr>
                    <w:t>生活垃圾交由当地环卫部门处置</w:t>
                  </w:r>
                </w:p>
              </w:tc>
              <w:tc>
                <w:tcPr>
                  <w:tcW w:w="1235" w:type="dxa"/>
                  <w:vAlign w:val="center"/>
                </w:tcPr>
                <w:p w14:paraId="7C9BB915">
                  <w:pPr>
                    <w:pStyle w:val="24"/>
                    <w:bidi w:val="0"/>
                    <w:jc w:val="center"/>
                    <w:rPr>
                      <w:rFonts w:hint="default"/>
                      <w:color w:val="auto"/>
                      <w:u w:val="single" w:color="auto"/>
                      <w:lang w:val="en-US" w:eastAsia="zh-CN"/>
                    </w:rPr>
                  </w:pPr>
                  <w:r>
                    <w:rPr>
                      <w:rFonts w:hint="eastAsia"/>
                      <w:color w:val="auto"/>
                      <w:u w:val="single" w:color="auto"/>
                      <w:lang w:val="en-US" w:eastAsia="zh-CN"/>
                    </w:rPr>
                    <w:t>3</w:t>
                  </w:r>
                </w:p>
              </w:tc>
            </w:tr>
            <w:tr w14:paraId="5F213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0" w:type="dxa"/>
                  <w:vMerge w:val="continue"/>
                  <w:vAlign w:val="center"/>
                </w:tcPr>
                <w:p w14:paraId="52BE7E57">
                  <w:pPr>
                    <w:pStyle w:val="24"/>
                    <w:bidi w:val="0"/>
                    <w:jc w:val="center"/>
                    <w:rPr>
                      <w:rFonts w:hint="eastAsia"/>
                      <w:color w:val="auto"/>
                      <w:u w:val="single" w:color="auto"/>
                      <w:lang w:val="en-US" w:eastAsia="zh-CN"/>
                    </w:rPr>
                  </w:pPr>
                </w:p>
              </w:tc>
              <w:tc>
                <w:tcPr>
                  <w:tcW w:w="1337" w:type="dxa"/>
                  <w:vAlign w:val="center"/>
                </w:tcPr>
                <w:p w14:paraId="10085375">
                  <w:pPr>
                    <w:pStyle w:val="24"/>
                    <w:bidi w:val="0"/>
                    <w:jc w:val="center"/>
                    <w:rPr>
                      <w:rFonts w:hint="default"/>
                      <w:color w:val="auto"/>
                      <w:u w:val="single" w:color="auto"/>
                      <w:lang w:val="en-US" w:eastAsia="zh-CN"/>
                    </w:rPr>
                  </w:pPr>
                  <w:r>
                    <w:rPr>
                      <w:rFonts w:hint="eastAsia"/>
                      <w:color w:val="auto"/>
                      <w:u w:val="single" w:color="auto"/>
                      <w:lang w:val="en-US" w:eastAsia="zh-CN"/>
                    </w:rPr>
                    <w:t>危废废物</w:t>
                  </w:r>
                </w:p>
              </w:tc>
              <w:tc>
                <w:tcPr>
                  <w:tcW w:w="4567" w:type="dxa"/>
                  <w:vAlign w:val="center"/>
                </w:tcPr>
                <w:p w14:paraId="16DDB76C">
                  <w:pPr>
                    <w:pStyle w:val="24"/>
                    <w:bidi w:val="0"/>
                    <w:jc w:val="center"/>
                    <w:rPr>
                      <w:rFonts w:hint="default"/>
                      <w:color w:val="auto"/>
                      <w:u w:val="single" w:color="auto"/>
                      <w:lang w:val="en-US" w:eastAsia="zh-CN"/>
                    </w:rPr>
                  </w:pPr>
                  <w:r>
                    <w:rPr>
                      <w:rFonts w:hint="default"/>
                      <w:color w:val="auto"/>
                      <w:u w:val="single" w:color="auto"/>
                      <w:lang w:val="en-US" w:eastAsia="zh-CN"/>
                    </w:rPr>
                    <w:t>废含油抹布及手套、废矿物油</w:t>
                  </w:r>
                  <w:r>
                    <w:rPr>
                      <w:rFonts w:hint="eastAsia"/>
                      <w:color w:val="auto"/>
                      <w:u w:val="single" w:color="auto"/>
                      <w:lang w:val="en-US" w:eastAsia="zh-CN"/>
                    </w:rPr>
                    <w:t>和包装桶</w:t>
                  </w:r>
                  <w:r>
                    <w:rPr>
                      <w:rFonts w:hint="default"/>
                      <w:color w:val="auto"/>
                      <w:u w:val="single" w:color="auto"/>
                      <w:lang w:val="en-US" w:eastAsia="zh-CN"/>
                    </w:rPr>
                    <w:t>暂存于危废暂存间</w:t>
                  </w:r>
                  <w:r>
                    <w:rPr>
                      <w:rFonts w:hint="eastAsia"/>
                      <w:color w:val="auto"/>
                      <w:u w:val="single" w:color="auto"/>
                      <w:lang w:val="en-US" w:eastAsia="zh-CN"/>
                    </w:rPr>
                    <w:t>（5m</w:t>
                  </w:r>
                  <w:r>
                    <w:rPr>
                      <w:rFonts w:hint="eastAsia"/>
                      <w:color w:val="auto"/>
                      <w:u w:val="single" w:color="auto"/>
                      <w:vertAlign w:val="superscript"/>
                      <w:lang w:val="en-US" w:eastAsia="zh-CN"/>
                    </w:rPr>
                    <w:t>2</w:t>
                  </w:r>
                  <w:r>
                    <w:rPr>
                      <w:rFonts w:hint="eastAsia"/>
                      <w:color w:val="auto"/>
                      <w:u w:val="single" w:color="auto"/>
                      <w:lang w:val="en-US" w:eastAsia="zh-CN"/>
                    </w:rPr>
                    <w:t>）</w:t>
                  </w:r>
                  <w:r>
                    <w:rPr>
                      <w:rFonts w:hint="default"/>
                      <w:color w:val="auto"/>
                      <w:u w:val="single" w:color="auto"/>
                      <w:lang w:val="en-US" w:eastAsia="zh-CN"/>
                    </w:rPr>
                    <w:t>，定期交由有资质的单位处置</w:t>
                  </w:r>
                </w:p>
              </w:tc>
              <w:tc>
                <w:tcPr>
                  <w:tcW w:w="1235" w:type="dxa"/>
                  <w:vAlign w:val="center"/>
                </w:tcPr>
                <w:p w14:paraId="31FF4C9B">
                  <w:pPr>
                    <w:pStyle w:val="24"/>
                    <w:bidi w:val="0"/>
                    <w:jc w:val="center"/>
                    <w:rPr>
                      <w:rFonts w:hint="default"/>
                      <w:color w:val="auto"/>
                      <w:u w:val="single" w:color="auto"/>
                      <w:lang w:val="en-US" w:eastAsia="zh-CN"/>
                    </w:rPr>
                  </w:pPr>
                  <w:r>
                    <w:rPr>
                      <w:rFonts w:hint="eastAsia"/>
                      <w:color w:val="auto"/>
                      <w:u w:val="single" w:color="auto"/>
                      <w:lang w:val="en-US" w:eastAsia="zh-CN"/>
                    </w:rPr>
                    <w:t>2</w:t>
                  </w:r>
                </w:p>
              </w:tc>
            </w:tr>
            <w:tr w14:paraId="760A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4" w:type="dxa"/>
                  <w:gridSpan w:val="3"/>
                  <w:vAlign w:val="center"/>
                </w:tcPr>
                <w:p w14:paraId="1CDE3E42">
                  <w:pPr>
                    <w:pStyle w:val="24"/>
                    <w:bidi w:val="0"/>
                    <w:jc w:val="center"/>
                    <w:rPr>
                      <w:rFonts w:hint="default"/>
                      <w:color w:val="auto"/>
                      <w:u w:val="single" w:color="auto"/>
                      <w:lang w:val="en-US" w:eastAsia="zh-CN"/>
                    </w:rPr>
                  </w:pPr>
                  <w:r>
                    <w:rPr>
                      <w:rFonts w:hint="eastAsia"/>
                      <w:color w:val="auto"/>
                      <w:u w:val="single" w:color="auto"/>
                      <w:lang w:val="en-US" w:eastAsia="zh-CN"/>
                    </w:rPr>
                    <w:t>合计</w:t>
                  </w:r>
                </w:p>
              </w:tc>
              <w:tc>
                <w:tcPr>
                  <w:tcW w:w="1235" w:type="dxa"/>
                  <w:vAlign w:val="center"/>
                </w:tcPr>
                <w:p w14:paraId="3DC0DF96">
                  <w:pPr>
                    <w:pStyle w:val="24"/>
                    <w:bidi w:val="0"/>
                    <w:jc w:val="center"/>
                    <w:rPr>
                      <w:rFonts w:hint="default"/>
                      <w:color w:val="auto"/>
                      <w:u w:val="single" w:color="auto"/>
                      <w:lang w:val="en-US" w:eastAsia="zh-CN"/>
                    </w:rPr>
                  </w:pPr>
                  <w:r>
                    <w:rPr>
                      <w:rFonts w:hint="eastAsia"/>
                      <w:color w:val="auto"/>
                      <w:u w:val="single" w:color="auto"/>
                      <w:lang w:val="en-US" w:eastAsia="zh-CN"/>
                    </w:rPr>
                    <w:t>58</w:t>
                  </w:r>
                </w:p>
              </w:tc>
            </w:tr>
          </w:tbl>
          <w:p w14:paraId="208A6BD4">
            <w:pPr>
              <w:pStyle w:val="22"/>
              <w:bidi w:val="0"/>
              <w:ind w:left="0" w:leftChars="0" w:firstLine="0" w:firstLineChars="0"/>
              <w:rPr>
                <w:rFonts w:hint="eastAsia"/>
                <w:color w:val="4874CB" w:themeColor="accent1"/>
                <w:lang w:val="en-US" w:eastAsia="zh-CN"/>
                <w14:textFill>
                  <w14:solidFill>
                    <w14:schemeClr w14:val="accent1"/>
                  </w14:solidFill>
                </w14:textFill>
              </w:rPr>
            </w:pPr>
          </w:p>
        </w:tc>
      </w:tr>
    </w:tbl>
    <w:p w14:paraId="2F5C2BD3">
      <w:pPr>
        <w:rPr>
          <w:rFonts w:hint="eastAsia"/>
          <w:color w:val="4874CB" w:themeColor="accent1"/>
          <w:lang w:val="en-US" w:eastAsia="zh-CN"/>
          <w14:textFill>
            <w14:solidFill>
              <w14:schemeClr w14:val="accent1"/>
            </w14:solidFill>
          </w14:textFill>
        </w:rPr>
      </w:pPr>
      <w:r>
        <w:rPr>
          <w:rFonts w:hint="eastAsia"/>
          <w:color w:val="4874CB" w:themeColor="accent1"/>
          <w:lang w:val="en-US" w:eastAsia="zh-CN"/>
          <w14:textFill>
            <w14:solidFill>
              <w14:schemeClr w14:val="accent1"/>
            </w14:solidFill>
          </w14:textFill>
        </w:rPr>
        <w:br w:type="page"/>
      </w:r>
    </w:p>
    <w:p w14:paraId="2BCFFEC0">
      <w:pPr>
        <w:pStyle w:val="2"/>
        <w:numPr>
          <w:ilvl w:val="0"/>
          <w:numId w:val="4"/>
        </w:numPr>
        <w:bidi w:val="0"/>
        <w:ind w:left="0" w:leftChars="0" w:firstLine="0" w:firstLineChars="0"/>
        <w:rPr>
          <w:rFonts w:hint="default"/>
          <w:color w:val="auto"/>
          <w:u w:val="none" w:color="auto"/>
        </w:rPr>
      </w:pPr>
      <w:bookmarkStart w:id="12" w:name="_Hlk54167917"/>
      <w:bookmarkStart w:id="13" w:name="_Toc15169"/>
      <w:bookmarkStart w:id="14" w:name="_Toc2655"/>
      <w:r>
        <w:rPr>
          <w:rFonts w:hint="default"/>
          <w:color w:val="auto"/>
          <w:u w:val="none" w:color="auto"/>
        </w:rPr>
        <w:t>环境保护措施监督检查清单</w:t>
      </w:r>
      <w:bookmarkEnd w:id="12"/>
      <w:bookmarkEnd w:id="13"/>
      <w:bookmarkEnd w:id="14"/>
    </w:p>
    <w:tbl>
      <w:tblPr>
        <w:tblStyle w:val="15"/>
        <w:tblW w:w="8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1543"/>
        <w:gridCol w:w="1083"/>
        <w:gridCol w:w="3024"/>
        <w:gridCol w:w="2172"/>
      </w:tblGrid>
      <w:tr w14:paraId="1A7EF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78" w:type="dxa"/>
            <w:tcBorders>
              <w:tl2br w:val="single" w:color="auto" w:sz="4" w:space="0"/>
            </w:tcBorders>
            <w:vAlign w:val="center"/>
          </w:tcPr>
          <w:p w14:paraId="0496B575">
            <w:pPr>
              <w:pStyle w:val="7"/>
              <w:bidi w:val="0"/>
              <w:jc w:val="center"/>
              <w:rPr>
                <w:color w:val="auto"/>
                <w:sz w:val="24"/>
                <w:szCs w:val="24"/>
                <w:u w:val="none" w:color="auto"/>
              </w:rPr>
            </w:pPr>
            <w:r>
              <w:rPr>
                <w:rFonts w:hint="eastAsia"/>
                <w:color w:val="auto"/>
                <w:sz w:val="24"/>
                <w:szCs w:val="24"/>
                <w:u w:val="none" w:color="auto"/>
                <w:lang w:val="en-US" w:eastAsia="zh-CN"/>
              </w:rPr>
              <w:t xml:space="preserve">  </w:t>
            </w:r>
            <w:r>
              <w:rPr>
                <w:color w:val="auto"/>
                <w:sz w:val="24"/>
                <w:szCs w:val="24"/>
                <w:u w:val="none" w:color="auto"/>
              </w:rPr>
              <w:t>内容</w:t>
            </w:r>
          </w:p>
          <w:p w14:paraId="550FE427">
            <w:pPr>
              <w:pStyle w:val="7"/>
              <w:bidi w:val="0"/>
              <w:jc w:val="both"/>
              <w:rPr>
                <w:color w:val="auto"/>
                <w:sz w:val="24"/>
                <w:szCs w:val="24"/>
                <w:u w:val="none" w:color="auto"/>
              </w:rPr>
            </w:pPr>
            <w:r>
              <w:rPr>
                <w:color w:val="auto"/>
                <w:sz w:val="24"/>
                <w:szCs w:val="24"/>
                <w:u w:val="none" w:color="auto"/>
              </w:rPr>
              <w:t>要素</w:t>
            </w:r>
          </w:p>
        </w:tc>
        <w:tc>
          <w:tcPr>
            <w:tcW w:w="1543" w:type="dxa"/>
            <w:vAlign w:val="center"/>
          </w:tcPr>
          <w:p w14:paraId="6783E627">
            <w:pPr>
              <w:pStyle w:val="7"/>
              <w:bidi w:val="0"/>
              <w:jc w:val="center"/>
              <w:rPr>
                <w:color w:val="auto"/>
                <w:sz w:val="24"/>
                <w:szCs w:val="24"/>
                <w:u w:val="none" w:color="auto"/>
              </w:rPr>
            </w:pPr>
            <w:r>
              <w:rPr>
                <w:color w:val="auto"/>
                <w:sz w:val="24"/>
                <w:szCs w:val="24"/>
                <w:u w:val="none" w:color="auto"/>
              </w:rPr>
              <w:t>排放口(编号、名称)/污染源</w:t>
            </w:r>
          </w:p>
        </w:tc>
        <w:tc>
          <w:tcPr>
            <w:tcW w:w="1083" w:type="dxa"/>
            <w:vAlign w:val="center"/>
          </w:tcPr>
          <w:p w14:paraId="6B8B1E06">
            <w:pPr>
              <w:pStyle w:val="7"/>
              <w:bidi w:val="0"/>
              <w:jc w:val="center"/>
              <w:rPr>
                <w:color w:val="auto"/>
                <w:sz w:val="24"/>
                <w:szCs w:val="24"/>
                <w:u w:val="none" w:color="auto"/>
              </w:rPr>
            </w:pPr>
            <w:r>
              <w:rPr>
                <w:color w:val="auto"/>
                <w:sz w:val="24"/>
                <w:szCs w:val="24"/>
                <w:u w:val="none" w:color="auto"/>
              </w:rPr>
              <w:t>污染物</w:t>
            </w:r>
          </w:p>
          <w:p w14:paraId="19D46639">
            <w:pPr>
              <w:pStyle w:val="7"/>
              <w:bidi w:val="0"/>
              <w:jc w:val="center"/>
              <w:rPr>
                <w:color w:val="auto"/>
                <w:sz w:val="24"/>
                <w:szCs w:val="24"/>
                <w:u w:val="none" w:color="auto"/>
              </w:rPr>
            </w:pPr>
            <w:r>
              <w:rPr>
                <w:color w:val="auto"/>
                <w:sz w:val="24"/>
                <w:szCs w:val="24"/>
                <w:u w:val="none" w:color="auto"/>
              </w:rPr>
              <w:t>项目</w:t>
            </w:r>
          </w:p>
        </w:tc>
        <w:tc>
          <w:tcPr>
            <w:tcW w:w="3024" w:type="dxa"/>
            <w:vAlign w:val="center"/>
          </w:tcPr>
          <w:p w14:paraId="029DC429">
            <w:pPr>
              <w:pStyle w:val="7"/>
              <w:bidi w:val="0"/>
              <w:jc w:val="center"/>
              <w:rPr>
                <w:color w:val="auto"/>
                <w:sz w:val="24"/>
                <w:szCs w:val="24"/>
                <w:u w:val="none" w:color="auto"/>
              </w:rPr>
            </w:pPr>
            <w:r>
              <w:rPr>
                <w:color w:val="auto"/>
                <w:sz w:val="24"/>
                <w:szCs w:val="24"/>
                <w:u w:val="none" w:color="auto"/>
              </w:rPr>
              <w:t>环境保护措施</w:t>
            </w:r>
          </w:p>
        </w:tc>
        <w:tc>
          <w:tcPr>
            <w:tcW w:w="2172" w:type="dxa"/>
            <w:vAlign w:val="center"/>
          </w:tcPr>
          <w:p w14:paraId="3957E6C9">
            <w:pPr>
              <w:pStyle w:val="7"/>
              <w:bidi w:val="0"/>
              <w:jc w:val="center"/>
              <w:rPr>
                <w:color w:val="auto"/>
                <w:sz w:val="24"/>
                <w:szCs w:val="24"/>
                <w:u w:val="none" w:color="auto"/>
              </w:rPr>
            </w:pPr>
            <w:r>
              <w:rPr>
                <w:color w:val="auto"/>
                <w:sz w:val="24"/>
                <w:szCs w:val="24"/>
                <w:u w:val="none" w:color="auto"/>
              </w:rPr>
              <w:t>执行标准</w:t>
            </w:r>
          </w:p>
        </w:tc>
      </w:tr>
      <w:tr w14:paraId="1D9AE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78" w:type="dxa"/>
            <w:vMerge w:val="restart"/>
            <w:vAlign w:val="center"/>
          </w:tcPr>
          <w:p w14:paraId="68D930B9">
            <w:pPr>
              <w:pStyle w:val="7"/>
              <w:bidi w:val="0"/>
              <w:jc w:val="center"/>
              <w:rPr>
                <w:color w:val="auto"/>
                <w:sz w:val="24"/>
                <w:szCs w:val="24"/>
                <w:u w:val="single" w:color="auto"/>
              </w:rPr>
            </w:pPr>
            <w:r>
              <w:rPr>
                <w:color w:val="auto"/>
                <w:sz w:val="24"/>
                <w:szCs w:val="24"/>
                <w:u w:val="single" w:color="auto"/>
              </w:rPr>
              <w:t>大气</w:t>
            </w:r>
          </w:p>
          <w:p w14:paraId="4F574D78">
            <w:pPr>
              <w:pStyle w:val="7"/>
              <w:bidi w:val="0"/>
              <w:jc w:val="center"/>
              <w:rPr>
                <w:color w:val="auto"/>
                <w:sz w:val="24"/>
                <w:szCs w:val="24"/>
                <w:u w:val="single" w:color="auto"/>
              </w:rPr>
            </w:pPr>
            <w:r>
              <w:rPr>
                <w:color w:val="auto"/>
                <w:sz w:val="24"/>
                <w:szCs w:val="24"/>
                <w:u w:val="single" w:color="auto"/>
              </w:rPr>
              <w:t>环境</w:t>
            </w:r>
          </w:p>
        </w:tc>
        <w:tc>
          <w:tcPr>
            <w:tcW w:w="1543" w:type="dxa"/>
            <w:vMerge w:val="restart"/>
            <w:vAlign w:val="center"/>
          </w:tcPr>
          <w:p w14:paraId="187F2A3D">
            <w:pPr>
              <w:pStyle w:val="24"/>
              <w:bidi w:val="0"/>
              <w:ind w:firstLine="0" w:firstLineChars="0"/>
              <w:jc w:val="center"/>
              <w:rPr>
                <w:rFonts w:hint="eastAsia" w:eastAsia="宋体"/>
                <w:color w:val="auto"/>
                <w:sz w:val="24"/>
                <w:szCs w:val="24"/>
                <w:u w:val="single" w:color="auto"/>
                <w:lang w:val="en-US" w:eastAsia="zh-CN"/>
              </w:rPr>
            </w:pPr>
            <w:r>
              <w:rPr>
                <w:rFonts w:hint="eastAsia"/>
                <w:color w:val="auto"/>
                <w:sz w:val="24"/>
                <w:szCs w:val="24"/>
                <w:u w:val="single" w:color="auto"/>
                <w:lang w:val="en-US" w:eastAsia="zh-CN"/>
              </w:rPr>
              <w:t>工艺废气</w:t>
            </w:r>
            <w:r>
              <w:rPr>
                <w:rFonts w:hint="eastAsia"/>
                <w:lang w:eastAsia="zh-CN"/>
              </w:rPr>
              <w:t>（</w:t>
            </w:r>
            <w:r>
              <w:rPr>
                <w:rFonts w:hint="eastAsia"/>
                <w:lang w:val="en-US" w:eastAsia="zh-CN"/>
              </w:rPr>
              <w:t>DA001</w:t>
            </w:r>
            <w:r>
              <w:rPr>
                <w:rFonts w:hint="eastAsia"/>
                <w:lang w:eastAsia="zh-CN"/>
              </w:rPr>
              <w:t>）</w:t>
            </w:r>
          </w:p>
        </w:tc>
        <w:tc>
          <w:tcPr>
            <w:tcW w:w="1083" w:type="dxa"/>
            <w:vAlign w:val="center"/>
          </w:tcPr>
          <w:p w14:paraId="6BCB56C2">
            <w:pPr>
              <w:pStyle w:val="7"/>
              <w:bidi w:val="0"/>
              <w:jc w:val="center"/>
              <w:rPr>
                <w:rFonts w:hint="eastAsia"/>
                <w:color w:val="auto"/>
                <w:sz w:val="24"/>
                <w:szCs w:val="24"/>
                <w:u w:val="single" w:color="auto"/>
                <w:lang w:eastAsia="zh-CN"/>
              </w:rPr>
            </w:pPr>
            <w:r>
              <w:rPr>
                <w:rFonts w:hint="eastAsia"/>
                <w:color w:val="auto"/>
                <w:sz w:val="24"/>
                <w:szCs w:val="24"/>
                <w:u w:val="single" w:color="auto"/>
                <w:lang w:val="en-US" w:eastAsia="zh-CN"/>
              </w:rPr>
              <w:t>颗粒物</w:t>
            </w:r>
          </w:p>
        </w:tc>
        <w:tc>
          <w:tcPr>
            <w:tcW w:w="3024" w:type="dxa"/>
            <w:vAlign w:val="center"/>
          </w:tcPr>
          <w:p w14:paraId="5151CBA9">
            <w:pPr>
              <w:pStyle w:val="24"/>
              <w:bidi w:val="0"/>
              <w:ind w:firstLine="0" w:firstLineChars="0"/>
              <w:jc w:val="center"/>
              <w:rPr>
                <w:color w:val="4874CB" w:themeColor="accent1"/>
                <w:sz w:val="24"/>
                <w:szCs w:val="24"/>
                <w:u w:val="single" w:color="auto"/>
                <w14:textFill>
                  <w14:solidFill>
                    <w14:schemeClr w14:val="accent1"/>
                  </w14:solidFill>
                </w14:textFill>
              </w:rPr>
            </w:pPr>
            <w:r>
              <w:rPr>
                <w:rFonts w:hint="eastAsia"/>
                <w:color w:val="auto"/>
                <w:sz w:val="24"/>
                <w:szCs w:val="24"/>
                <w:u w:val="single" w:color="auto"/>
                <w:lang w:val="en-US" w:eastAsia="zh-CN"/>
              </w:rPr>
              <w:t>经旋风除尘器＋布袋除尘＋喷淋＋1</w:t>
            </w:r>
            <w:r>
              <w:rPr>
                <w:rFonts w:hint="default"/>
                <w:color w:val="auto"/>
                <w:sz w:val="24"/>
                <w:szCs w:val="24"/>
                <w:u w:val="single" w:color="auto"/>
                <w:lang w:val="en-US" w:eastAsia="zh-CN"/>
              </w:rPr>
              <w:t>5</w:t>
            </w:r>
            <w:r>
              <w:rPr>
                <w:rFonts w:hint="eastAsia"/>
                <w:color w:val="auto"/>
                <w:sz w:val="24"/>
                <w:szCs w:val="24"/>
                <w:u w:val="single" w:color="auto"/>
                <w:lang w:val="en-US" w:eastAsia="zh-CN"/>
              </w:rPr>
              <w:t>m排气筒（DA001）处理后达标排放</w:t>
            </w:r>
          </w:p>
        </w:tc>
        <w:tc>
          <w:tcPr>
            <w:tcW w:w="2172" w:type="dxa"/>
            <w:vMerge w:val="restart"/>
            <w:vAlign w:val="center"/>
          </w:tcPr>
          <w:p w14:paraId="2F02F5D0">
            <w:pPr>
              <w:pStyle w:val="7"/>
              <w:bidi w:val="0"/>
              <w:jc w:val="center"/>
              <w:rPr>
                <w:rFonts w:hint="default" w:eastAsia="宋体"/>
                <w:color w:val="4874CB" w:themeColor="accent1"/>
                <w:sz w:val="24"/>
                <w:szCs w:val="24"/>
                <w:u w:val="single" w:color="auto"/>
                <w:lang w:val="en-US" w:eastAsia="zh-CN"/>
                <w14:textFill>
                  <w14:solidFill>
                    <w14:schemeClr w14:val="accent1"/>
                  </w14:solidFill>
                </w14:textFill>
              </w:rPr>
            </w:pPr>
            <w:r>
              <w:rPr>
                <w:rFonts w:hint="eastAsia" w:ascii="Times New Roman" w:hAnsi="Times New Roman" w:eastAsia="宋体" w:cs="Times New Roman"/>
                <w:color w:val="auto"/>
                <w:kern w:val="2"/>
                <w:sz w:val="24"/>
                <w:szCs w:val="24"/>
                <w:u w:val="single" w:color="auto"/>
                <w:lang w:val="en-US" w:eastAsia="zh-CN" w:bidi="ar-SA"/>
              </w:rPr>
              <w:t>《大气污染物综合排放标准》（GB16297</w:t>
            </w:r>
            <w:r>
              <w:rPr>
                <w:rFonts w:hint="default" w:ascii="Times New Roman" w:hAnsi="Times New Roman" w:eastAsia="宋体" w:cs="Times New Roman"/>
                <w:color w:val="auto"/>
                <w:kern w:val="2"/>
                <w:sz w:val="24"/>
                <w:szCs w:val="24"/>
                <w:u w:val="single" w:color="auto"/>
                <w:lang w:val="en-US" w:eastAsia="zh-CN" w:bidi="ar-SA"/>
              </w:rPr>
              <w:t>-</w:t>
            </w:r>
            <w:r>
              <w:rPr>
                <w:rFonts w:hint="eastAsia" w:ascii="Times New Roman" w:hAnsi="Times New Roman" w:eastAsia="宋体" w:cs="Times New Roman"/>
                <w:color w:val="auto"/>
                <w:kern w:val="2"/>
                <w:sz w:val="24"/>
                <w:szCs w:val="24"/>
                <w:u w:val="single" w:color="auto"/>
                <w:lang w:val="en-US" w:eastAsia="zh-CN" w:bidi="ar-SA"/>
              </w:rPr>
              <w:t>1996）</w:t>
            </w:r>
            <w:r>
              <w:rPr>
                <w:rFonts w:hint="eastAsia" w:cs="Times New Roman"/>
                <w:color w:val="auto"/>
                <w:kern w:val="2"/>
                <w:sz w:val="24"/>
                <w:szCs w:val="24"/>
                <w:u w:val="single" w:color="auto"/>
                <w:lang w:val="en-US" w:eastAsia="zh-CN" w:bidi="ar-SA"/>
              </w:rPr>
              <w:t>表2中二级标准</w:t>
            </w:r>
          </w:p>
        </w:tc>
      </w:tr>
      <w:tr w14:paraId="6ED51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78" w:type="dxa"/>
            <w:vMerge w:val="continue"/>
            <w:vAlign w:val="center"/>
          </w:tcPr>
          <w:p w14:paraId="3656C0B7">
            <w:pPr>
              <w:pStyle w:val="7"/>
              <w:bidi w:val="0"/>
              <w:jc w:val="center"/>
              <w:rPr>
                <w:color w:val="auto"/>
                <w:sz w:val="24"/>
                <w:szCs w:val="24"/>
                <w:u w:val="single" w:color="auto"/>
              </w:rPr>
            </w:pPr>
          </w:p>
        </w:tc>
        <w:tc>
          <w:tcPr>
            <w:tcW w:w="1543" w:type="dxa"/>
            <w:vMerge w:val="continue"/>
            <w:vAlign w:val="center"/>
          </w:tcPr>
          <w:p w14:paraId="7C0B114D">
            <w:pPr>
              <w:pStyle w:val="24"/>
              <w:bidi w:val="0"/>
              <w:ind w:firstLine="0" w:firstLineChars="0"/>
              <w:jc w:val="center"/>
              <w:rPr>
                <w:rFonts w:hint="eastAsia"/>
                <w:color w:val="auto"/>
                <w:sz w:val="24"/>
                <w:szCs w:val="24"/>
                <w:u w:val="single" w:color="auto"/>
                <w:lang w:val="en-US" w:eastAsia="zh-CN"/>
              </w:rPr>
            </w:pPr>
          </w:p>
        </w:tc>
        <w:tc>
          <w:tcPr>
            <w:tcW w:w="1083" w:type="dxa"/>
            <w:vAlign w:val="center"/>
          </w:tcPr>
          <w:p w14:paraId="1D4D2683">
            <w:pPr>
              <w:pStyle w:val="7"/>
              <w:bidi w:val="0"/>
              <w:jc w:val="center"/>
              <w:rPr>
                <w:rFonts w:hint="default"/>
                <w:color w:val="auto"/>
                <w:sz w:val="24"/>
                <w:szCs w:val="24"/>
                <w:u w:val="single" w:color="auto"/>
                <w:lang w:val="en-US" w:eastAsia="zh-CN"/>
              </w:rPr>
            </w:pPr>
            <w:r>
              <w:rPr>
                <w:rFonts w:hint="eastAsia"/>
                <w:color w:val="auto"/>
                <w:sz w:val="24"/>
                <w:szCs w:val="24"/>
                <w:u w:val="single" w:color="auto"/>
                <w:lang w:val="en-US" w:eastAsia="zh-CN"/>
              </w:rPr>
              <w:t>氯化氢</w:t>
            </w:r>
          </w:p>
        </w:tc>
        <w:tc>
          <w:tcPr>
            <w:tcW w:w="3024" w:type="dxa"/>
            <w:vAlign w:val="center"/>
          </w:tcPr>
          <w:p w14:paraId="0F312A01">
            <w:pPr>
              <w:pStyle w:val="24"/>
              <w:bidi w:val="0"/>
              <w:ind w:firstLine="0" w:firstLineChars="0"/>
              <w:jc w:val="center"/>
              <w:rPr>
                <w:rFonts w:hint="default"/>
                <w:color w:val="4874CB" w:themeColor="accent1"/>
                <w:sz w:val="24"/>
                <w:szCs w:val="24"/>
                <w:u w:val="single" w:color="auto"/>
                <w:lang w:val="en-US" w:eastAsia="zh-CN"/>
                <w14:textFill>
                  <w14:solidFill>
                    <w14:schemeClr w14:val="accent1"/>
                  </w14:solidFill>
                </w14:textFill>
              </w:rPr>
            </w:pPr>
            <w:r>
              <w:rPr>
                <w:rFonts w:hint="eastAsia"/>
                <w:color w:val="auto"/>
                <w:sz w:val="24"/>
                <w:szCs w:val="24"/>
                <w:u w:val="single" w:color="auto"/>
                <w:lang w:val="en-US" w:eastAsia="zh-CN"/>
              </w:rPr>
              <w:t>经旋风除尘器＋布袋除尘＋喷淋＋1</w:t>
            </w:r>
            <w:r>
              <w:rPr>
                <w:rFonts w:hint="default"/>
                <w:color w:val="auto"/>
                <w:sz w:val="24"/>
                <w:szCs w:val="24"/>
                <w:u w:val="single" w:color="auto"/>
                <w:lang w:val="en-US" w:eastAsia="zh-CN"/>
              </w:rPr>
              <w:t>5</w:t>
            </w:r>
            <w:r>
              <w:rPr>
                <w:rFonts w:hint="eastAsia"/>
                <w:color w:val="auto"/>
                <w:sz w:val="24"/>
                <w:szCs w:val="24"/>
                <w:u w:val="single" w:color="auto"/>
                <w:lang w:val="en-US" w:eastAsia="zh-CN"/>
              </w:rPr>
              <w:t>m排气筒（DA001）处理后达标排放</w:t>
            </w:r>
          </w:p>
        </w:tc>
        <w:tc>
          <w:tcPr>
            <w:tcW w:w="2172" w:type="dxa"/>
            <w:vMerge w:val="continue"/>
            <w:vAlign w:val="center"/>
          </w:tcPr>
          <w:p w14:paraId="3AB70216">
            <w:pPr>
              <w:pStyle w:val="7"/>
              <w:bidi w:val="0"/>
              <w:jc w:val="center"/>
              <w:rPr>
                <w:color w:val="4874CB" w:themeColor="accent1"/>
                <w:sz w:val="24"/>
                <w:szCs w:val="24"/>
                <w:u w:val="single" w:color="auto"/>
                <w14:textFill>
                  <w14:solidFill>
                    <w14:schemeClr w14:val="accent1"/>
                  </w14:solidFill>
                </w14:textFill>
              </w:rPr>
            </w:pPr>
          </w:p>
        </w:tc>
      </w:tr>
      <w:tr w14:paraId="0637D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78" w:type="dxa"/>
            <w:vMerge w:val="continue"/>
            <w:vAlign w:val="center"/>
          </w:tcPr>
          <w:p w14:paraId="7FAF7106">
            <w:pPr>
              <w:pStyle w:val="7"/>
              <w:bidi w:val="0"/>
              <w:jc w:val="center"/>
              <w:rPr>
                <w:color w:val="auto"/>
                <w:sz w:val="24"/>
                <w:szCs w:val="24"/>
                <w:u w:val="single" w:color="auto"/>
              </w:rPr>
            </w:pPr>
          </w:p>
        </w:tc>
        <w:tc>
          <w:tcPr>
            <w:tcW w:w="1543" w:type="dxa"/>
            <w:vMerge w:val="continue"/>
            <w:vAlign w:val="center"/>
          </w:tcPr>
          <w:p w14:paraId="3EE71222">
            <w:pPr>
              <w:pStyle w:val="24"/>
              <w:bidi w:val="0"/>
              <w:ind w:firstLine="0" w:firstLineChars="0"/>
              <w:jc w:val="center"/>
              <w:rPr>
                <w:rFonts w:hint="eastAsia"/>
                <w:color w:val="auto"/>
                <w:sz w:val="24"/>
                <w:szCs w:val="24"/>
                <w:u w:val="single" w:color="auto"/>
                <w:lang w:val="en-US" w:eastAsia="zh-CN"/>
              </w:rPr>
            </w:pPr>
          </w:p>
        </w:tc>
        <w:tc>
          <w:tcPr>
            <w:tcW w:w="1083" w:type="dxa"/>
            <w:vAlign w:val="center"/>
          </w:tcPr>
          <w:p w14:paraId="7EDAF745">
            <w:pPr>
              <w:pStyle w:val="7"/>
              <w:bidi w:val="0"/>
              <w:jc w:val="center"/>
              <w:rPr>
                <w:rFonts w:hint="default"/>
                <w:color w:val="auto"/>
                <w:sz w:val="24"/>
                <w:szCs w:val="24"/>
                <w:u w:val="single" w:color="auto"/>
                <w:lang w:val="en-US" w:eastAsia="zh-CN"/>
              </w:rPr>
            </w:pPr>
            <w:r>
              <w:rPr>
                <w:rFonts w:hint="eastAsia"/>
                <w:color w:val="auto"/>
                <w:sz w:val="24"/>
                <w:szCs w:val="24"/>
                <w:u w:val="single" w:color="auto"/>
                <w:lang w:val="en-US" w:eastAsia="zh-CN"/>
              </w:rPr>
              <w:t>氨气</w:t>
            </w:r>
          </w:p>
        </w:tc>
        <w:tc>
          <w:tcPr>
            <w:tcW w:w="3024" w:type="dxa"/>
            <w:vAlign w:val="center"/>
          </w:tcPr>
          <w:p w14:paraId="7215CDCA">
            <w:pPr>
              <w:pStyle w:val="24"/>
              <w:bidi w:val="0"/>
              <w:ind w:firstLine="0" w:firstLineChars="0"/>
              <w:jc w:val="center"/>
              <w:rPr>
                <w:rFonts w:hint="default"/>
                <w:color w:val="auto"/>
                <w:sz w:val="24"/>
                <w:szCs w:val="24"/>
                <w:u w:val="single" w:color="auto"/>
                <w:lang w:val="en-US" w:eastAsia="zh-CN"/>
              </w:rPr>
            </w:pPr>
            <w:r>
              <w:rPr>
                <w:rFonts w:hint="eastAsia"/>
                <w:color w:val="auto"/>
                <w:sz w:val="24"/>
                <w:szCs w:val="24"/>
                <w:u w:val="single" w:color="auto"/>
                <w:lang w:val="en-US" w:eastAsia="zh-CN"/>
              </w:rPr>
              <w:t>经旋风除尘器＋布袋除尘＋喷淋＋1</w:t>
            </w:r>
            <w:r>
              <w:rPr>
                <w:rFonts w:hint="default"/>
                <w:color w:val="auto"/>
                <w:sz w:val="24"/>
                <w:szCs w:val="24"/>
                <w:u w:val="single" w:color="auto"/>
                <w:lang w:val="en-US" w:eastAsia="zh-CN"/>
              </w:rPr>
              <w:t>5</w:t>
            </w:r>
            <w:r>
              <w:rPr>
                <w:rFonts w:hint="eastAsia"/>
                <w:color w:val="auto"/>
                <w:sz w:val="24"/>
                <w:szCs w:val="24"/>
                <w:u w:val="single" w:color="auto"/>
                <w:lang w:val="en-US" w:eastAsia="zh-CN"/>
              </w:rPr>
              <w:t>m排气筒（DA001）处理后达标排放</w:t>
            </w:r>
          </w:p>
        </w:tc>
        <w:tc>
          <w:tcPr>
            <w:tcW w:w="2172" w:type="dxa"/>
            <w:vAlign w:val="center"/>
          </w:tcPr>
          <w:p w14:paraId="2D067C72">
            <w:pPr>
              <w:pStyle w:val="7"/>
              <w:bidi w:val="0"/>
              <w:jc w:val="center"/>
              <w:rPr>
                <w:color w:val="4874CB" w:themeColor="accent1"/>
                <w:sz w:val="24"/>
                <w:szCs w:val="24"/>
                <w:u w:val="single" w:color="auto"/>
                <w14:textFill>
                  <w14:solidFill>
                    <w14:schemeClr w14:val="accent1"/>
                  </w14:solidFill>
                </w14:textFill>
              </w:rPr>
            </w:pPr>
            <w:r>
              <w:rPr>
                <w:rFonts w:hint="eastAsia" w:ascii="Times New Roman" w:hAnsi="Times New Roman" w:eastAsia="宋体" w:cs="Times New Roman"/>
                <w:color w:val="auto"/>
                <w:kern w:val="2"/>
                <w:sz w:val="24"/>
                <w:szCs w:val="24"/>
                <w:u w:val="single" w:color="auto"/>
                <w:lang w:val="en-US" w:eastAsia="zh-CN" w:bidi="ar-SA"/>
              </w:rPr>
              <w:t>《恶臭污染物排放标准》（G</w:t>
            </w:r>
            <w:r>
              <w:rPr>
                <w:rFonts w:hint="default" w:ascii="Times New Roman" w:hAnsi="Times New Roman" w:eastAsia="宋体" w:cs="Times New Roman"/>
                <w:color w:val="auto"/>
                <w:kern w:val="2"/>
                <w:sz w:val="24"/>
                <w:szCs w:val="24"/>
                <w:u w:val="single" w:color="auto"/>
                <w:lang w:val="en-US" w:eastAsia="zh-CN" w:bidi="ar-SA"/>
              </w:rPr>
              <w:t>B 14554</w:t>
            </w:r>
            <w:r>
              <w:rPr>
                <w:rFonts w:hint="eastAsia" w:ascii="Times New Roman" w:hAnsi="Times New Roman" w:eastAsia="宋体" w:cs="Times New Roman"/>
                <w:color w:val="auto"/>
                <w:kern w:val="2"/>
                <w:sz w:val="24"/>
                <w:szCs w:val="24"/>
                <w:u w:val="single" w:color="auto"/>
                <w:lang w:val="en-US" w:eastAsia="zh-CN" w:bidi="ar-SA"/>
              </w:rPr>
              <w:t>-</w:t>
            </w:r>
            <w:r>
              <w:rPr>
                <w:rFonts w:hint="eastAsia" w:cs="Times New Roman"/>
                <w:color w:val="auto"/>
                <w:kern w:val="2"/>
                <w:sz w:val="24"/>
                <w:szCs w:val="24"/>
                <w:u w:val="single" w:color="auto"/>
                <w:lang w:val="en-US" w:eastAsia="zh-CN" w:bidi="ar-SA"/>
              </w:rPr>
              <w:t>19</w:t>
            </w:r>
            <w:r>
              <w:rPr>
                <w:rFonts w:hint="default" w:ascii="Times New Roman" w:hAnsi="Times New Roman" w:eastAsia="宋体" w:cs="Times New Roman"/>
                <w:color w:val="auto"/>
                <w:kern w:val="2"/>
                <w:sz w:val="24"/>
                <w:szCs w:val="24"/>
                <w:u w:val="single" w:color="auto"/>
                <w:lang w:val="en-US" w:eastAsia="zh-CN" w:bidi="ar-SA"/>
              </w:rPr>
              <w:t>93</w:t>
            </w:r>
            <w:r>
              <w:rPr>
                <w:rFonts w:hint="eastAsia" w:ascii="Times New Roman" w:hAnsi="Times New Roman" w:eastAsia="宋体" w:cs="Times New Roman"/>
                <w:color w:val="auto"/>
                <w:kern w:val="2"/>
                <w:sz w:val="24"/>
                <w:szCs w:val="24"/>
                <w:u w:val="single" w:color="auto"/>
                <w:lang w:val="en-US" w:eastAsia="zh-CN" w:bidi="ar-SA"/>
              </w:rPr>
              <w:t>）</w:t>
            </w:r>
            <w:r>
              <w:rPr>
                <w:rFonts w:hint="eastAsia" w:cs="Times New Roman"/>
                <w:color w:val="auto"/>
                <w:kern w:val="2"/>
                <w:sz w:val="24"/>
                <w:szCs w:val="24"/>
                <w:u w:val="single" w:color="auto"/>
                <w:lang w:val="en-US" w:eastAsia="zh-CN" w:bidi="ar-SA"/>
              </w:rPr>
              <w:t>表1中排放限值</w:t>
            </w:r>
          </w:p>
        </w:tc>
      </w:tr>
      <w:tr w14:paraId="78393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78" w:type="dxa"/>
            <w:vMerge w:val="continue"/>
            <w:vAlign w:val="center"/>
          </w:tcPr>
          <w:p w14:paraId="51CFA94C">
            <w:pPr>
              <w:pStyle w:val="7"/>
              <w:bidi w:val="0"/>
              <w:jc w:val="center"/>
              <w:rPr>
                <w:color w:val="4874CB" w:themeColor="accent1"/>
                <w:sz w:val="24"/>
                <w:szCs w:val="24"/>
                <w:u w:val="single" w:color="auto"/>
                <w14:textFill>
                  <w14:solidFill>
                    <w14:schemeClr w14:val="accent1"/>
                  </w14:solidFill>
                </w14:textFill>
              </w:rPr>
            </w:pPr>
          </w:p>
        </w:tc>
        <w:tc>
          <w:tcPr>
            <w:tcW w:w="1543" w:type="dxa"/>
            <w:vMerge w:val="restart"/>
            <w:vAlign w:val="center"/>
          </w:tcPr>
          <w:p w14:paraId="30B9B7B1">
            <w:pPr>
              <w:pStyle w:val="24"/>
              <w:bidi w:val="0"/>
              <w:ind w:firstLine="0" w:firstLineChars="0"/>
              <w:jc w:val="center"/>
              <w:rPr>
                <w:rFonts w:hint="eastAsia" w:eastAsia="宋体"/>
                <w:color w:val="4874CB" w:themeColor="accent1"/>
                <w:sz w:val="24"/>
                <w:szCs w:val="24"/>
                <w:u w:val="single" w:color="auto"/>
                <w:lang w:eastAsia="zh-CN"/>
                <w14:textFill>
                  <w14:solidFill>
                    <w14:schemeClr w14:val="accent1"/>
                  </w14:solidFill>
                </w14:textFill>
              </w:rPr>
            </w:pPr>
            <w:r>
              <w:rPr>
                <w:rFonts w:hint="eastAsia"/>
                <w:color w:val="auto"/>
                <w:sz w:val="24"/>
                <w:szCs w:val="24"/>
                <w:u w:val="single" w:color="auto"/>
                <w:lang w:val="en-US" w:eastAsia="zh-CN"/>
              </w:rPr>
              <w:t>热风炉烟气</w:t>
            </w:r>
            <w:r>
              <w:rPr>
                <w:rFonts w:hint="eastAsia"/>
                <w:lang w:eastAsia="zh-CN"/>
              </w:rPr>
              <w:t>（</w:t>
            </w:r>
            <w:r>
              <w:rPr>
                <w:rFonts w:hint="eastAsia"/>
                <w:lang w:val="en-US" w:eastAsia="zh-CN"/>
              </w:rPr>
              <w:t>DA002</w:t>
            </w:r>
            <w:r>
              <w:rPr>
                <w:rFonts w:hint="eastAsia"/>
                <w:lang w:eastAsia="zh-CN"/>
              </w:rPr>
              <w:t>）</w:t>
            </w:r>
          </w:p>
        </w:tc>
        <w:tc>
          <w:tcPr>
            <w:tcW w:w="1083" w:type="dxa"/>
            <w:vAlign w:val="center"/>
          </w:tcPr>
          <w:p w14:paraId="415F677A">
            <w:pPr>
              <w:pStyle w:val="24"/>
              <w:bidi w:val="0"/>
              <w:ind w:firstLine="0" w:firstLineChars="0"/>
              <w:jc w:val="center"/>
              <w:rPr>
                <w:color w:val="4874CB" w:themeColor="accent1"/>
                <w:sz w:val="24"/>
                <w:szCs w:val="24"/>
                <w:u w:val="single" w:color="auto"/>
                <w14:textFill>
                  <w14:solidFill>
                    <w14:schemeClr w14:val="accent1"/>
                  </w14:solidFill>
                </w14:textFill>
              </w:rPr>
            </w:pPr>
            <w:r>
              <w:rPr>
                <w:rFonts w:hint="eastAsia"/>
                <w:color w:val="auto"/>
                <w:sz w:val="24"/>
                <w:szCs w:val="24"/>
                <w:u w:val="single" w:color="auto"/>
                <w:lang w:val="en-US" w:eastAsia="zh-CN"/>
              </w:rPr>
              <w:t>颗粒物</w:t>
            </w:r>
          </w:p>
        </w:tc>
        <w:tc>
          <w:tcPr>
            <w:tcW w:w="3024" w:type="dxa"/>
            <w:vAlign w:val="center"/>
          </w:tcPr>
          <w:p w14:paraId="4D1FB793">
            <w:pPr>
              <w:pStyle w:val="24"/>
              <w:bidi w:val="0"/>
              <w:ind w:firstLine="0" w:firstLineChars="0"/>
              <w:jc w:val="center"/>
              <w:rPr>
                <w:rFonts w:hint="eastAsia"/>
                <w:color w:val="auto"/>
                <w:sz w:val="24"/>
                <w:szCs w:val="24"/>
                <w:u w:val="single" w:color="auto"/>
                <w:lang w:val="en-US" w:eastAsia="zh-CN"/>
              </w:rPr>
            </w:pPr>
            <w:r>
              <w:rPr>
                <w:rFonts w:hint="eastAsia"/>
                <w:color w:val="auto"/>
                <w:sz w:val="24"/>
                <w:szCs w:val="24"/>
                <w:u w:val="single" w:color="auto"/>
                <w:lang w:val="en-US" w:eastAsia="zh-CN"/>
              </w:rPr>
              <w:t>经1</w:t>
            </w:r>
            <w:r>
              <w:rPr>
                <w:rFonts w:hint="default"/>
                <w:color w:val="auto"/>
                <w:sz w:val="24"/>
                <w:szCs w:val="24"/>
                <w:u w:val="single" w:color="auto"/>
                <w:lang w:val="en-US" w:eastAsia="zh-CN"/>
              </w:rPr>
              <w:t>5</w:t>
            </w:r>
            <w:r>
              <w:rPr>
                <w:rFonts w:hint="eastAsia"/>
                <w:color w:val="auto"/>
                <w:sz w:val="24"/>
                <w:szCs w:val="24"/>
                <w:u w:val="single" w:color="auto"/>
                <w:lang w:val="en-US" w:eastAsia="zh-CN"/>
              </w:rPr>
              <w:t>m排气筒(DA002)排放</w:t>
            </w:r>
          </w:p>
        </w:tc>
        <w:tc>
          <w:tcPr>
            <w:tcW w:w="2172" w:type="dxa"/>
            <w:vAlign w:val="center"/>
          </w:tcPr>
          <w:p w14:paraId="65CAE3D4">
            <w:pPr>
              <w:pStyle w:val="7"/>
              <w:bidi w:val="0"/>
              <w:jc w:val="center"/>
              <w:rPr>
                <w:color w:val="4874CB" w:themeColor="accent1"/>
                <w:sz w:val="24"/>
                <w:szCs w:val="24"/>
                <w:u w:val="single" w:color="auto"/>
                <w14:textFill>
                  <w14:solidFill>
                    <w14:schemeClr w14:val="accent1"/>
                  </w14:solidFill>
                </w14:textFill>
              </w:rPr>
            </w:pPr>
            <w:r>
              <w:rPr>
                <w:rFonts w:hint="eastAsia"/>
                <w:b w:val="0"/>
                <w:bCs w:val="0"/>
                <w:color w:val="auto"/>
                <w:sz w:val="24"/>
                <w:szCs w:val="24"/>
                <w:u w:val="single" w:color="auto"/>
              </w:rPr>
              <w:t>《工业炉窑大气污染物排放标准》（GB 9078-1996）表2中</w:t>
            </w:r>
            <w:r>
              <w:rPr>
                <w:rFonts w:hint="eastAsia"/>
                <w:b w:val="0"/>
                <w:bCs w:val="0"/>
                <w:color w:val="auto"/>
                <w:sz w:val="24"/>
                <w:szCs w:val="24"/>
                <w:u w:val="single" w:color="auto"/>
                <w:lang w:val="en-US" w:eastAsia="zh-CN"/>
              </w:rPr>
              <w:t>干燥</w:t>
            </w:r>
            <w:r>
              <w:rPr>
                <w:rFonts w:hint="eastAsia"/>
                <w:b w:val="0"/>
                <w:bCs w:val="0"/>
                <w:color w:val="auto"/>
                <w:sz w:val="24"/>
                <w:szCs w:val="24"/>
                <w:u w:val="single" w:color="auto"/>
              </w:rPr>
              <w:t>炉二级排放标准</w:t>
            </w:r>
          </w:p>
        </w:tc>
      </w:tr>
      <w:tr w14:paraId="4815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978" w:type="dxa"/>
            <w:vMerge w:val="continue"/>
            <w:vAlign w:val="center"/>
          </w:tcPr>
          <w:p w14:paraId="2DFB8D96">
            <w:pPr>
              <w:pStyle w:val="7"/>
              <w:bidi w:val="0"/>
              <w:jc w:val="center"/>
              <w:rPr>
                <w:color w:val="4874CB" w:themeColor="accent1"/>
                <w:sz w:val="24"/>
                <w:szCs w:val="24"/>
                <w:u w:val="single" w:color="auto"/>
                <w14:textFill>
                  <w14:solidFill>
                    <w14:schemeClr w14:val="accent1"/>
                  </w14:solidFill>
                </w14:textFill>
              </w:rPr>
            </w:pPr>
          </w:p>
        </w:tc>
        <w:tc>
          <w:tcPr>
            <w:tcW w:w="1543" w:type="dxa"/>
            <w:vMerge w:val="continue"/>
            <w:vAlign w:val="center"/>
          </w:tcPr>
          <w:p w14:paraId="2C3C974A">
            <w:pPr>
              <w:pStyle w:val="24"/>
              <w:bidi w:val="0"/>
              <w:ind w:firstLine="0" w:firstLineChars="0"/>
              <w:jc w:val="center"/>
              <w:rPr>
                <w:rFonts w:hint="eastAsia"/>
                <w:color w:val="auto"/>
                <w:u w:val="single" w:color="auto"/>
                <w:lang w:val="en-US" w:eastAsia="zh-CN"/>
              </w:rPr>
            </w:pPr>
          </w:p>
        </w:tc>
        <w:tc>
          <w:tcPr>
            <w:tcW w:w="1083" w:type="dxa"/>
            <w:vAlign w:val="center"/>
          </w:tcPr>
          <w:p w14:paraId="6938B2A2">
            <w:pPr>
              <w:pStyle w:val="24"/>
              <w:bidi w:val="0"/>
              <w:ind w:firstLine="0" w:firstLineChars="0"/>
              <w:jc w:val="center"/>
              <w:rPr>
                <w:rFonts w:hint="eastAsia"/>
                <w:color w:val="4874CB" w:themeColor="accent1"/>
                <w:sz w:val="24"/>
                <w:szCs w:val="24"/>
                <w:u w:val="single" w:color="auto"/>
                <w:lang w:val="en-US" w:eastAsia="zh-CN"/>
                <w14:textFill>
                  <w14:solidFill>
                    <w14:schemeClr w14:val="accent1"/>
                  </w14:solidFill>
                </w14:textFill>
              </w:rPr>
            </w:pPr>
            <w:r>
              <w:rPr>
                <w:rFonts w:hint="eastAsia"/>
                <w:color w:val="auto"/>
                <w:sz w:val="24"/>
                <w:szCs w:val="24"/>
                <w:u w:val="single" w:color="auto"/>
                <w:lang w:val="en-US" w:eastAsia="zh-CN"/>
              </w:rPr>
              <w:t>SO</w:t>
            </w:r>
            <w:r>
              <w:rPr>
                <w:rFonts w:hint="eastAsia"/>
                <w:color w:val="auto"/>
                <w:sz w:val="24"/>
                <w:szCs w:val="24"/>
                <w:u w:val="single" w:color="auto"/>
                <w:vertAlign w:val="subscript"/>
                <w:lang w:val="en-US" w:eastAsia="zh-CN"/>
              </w:rPr>
              <w:t>2</w:t>
            </w:r>
          </w:p>
        </w:tc>
        <w:tc>
          <w:tcPr>
            <w:tcW w:w="3024" w:type="dxa"/>
            <w:vAlign w:val="center"/>
          </w:tcPr>
          <w:p w14:paraId="0857ACD4">
            <w:pPr>
              <w:pStyle w:val="24"/>
              <w:bidi w:val="0"/>
              <w:ind w:firstLine="0" w:firstLineChars="0"/>
              <w:jc w:val="center"/>
              <w:rPr>
                <w:rFonts w:hint="eastAsia"/>
                <w:color w:val="auto"/>
                <w:sz w:val="24"/>
                <w:szCs w:val="24"/>
                <w:u w:val="single" w:color="auto"/>
                <w:lang w:val="en-US" w:eastAsia="zh-CN"/>
              </w:rPr>
            </w:pPr>
            <w:r>
              <w:rPr>
                <w:rFonts w:hint="eastAsia"/>
                <w:color w:val="auto"/>
                <w:sz w:val="24"/>
                <w:szCs w:val="24"/>
                <w:u w:val="single" w:color="auto"/>
                <w:lang w:val="en-US" w:eastAsia="zh-CN"/>
              </w:rPr>
              <w:t>经1</w:t>
            </w:r>
            <w:r>
              <w:rPr>
                <w:rFonts w:hint="default"/>
                <w:color w:val="auto"/>
                <w:sz w:val="24"/>
                <w:szCs w:val="24"/>
                <w:u w:val="single" w:color="auto"/>
                <w:lang w:val="en-US" w:eastAsia="zh-CN"/>
              </w:rPr>
              <w:t>5</w:t>
            </w:r>
            <w:r>
              <w:rPr>
                <w:rFonts w:hint="eastAsia"/>
                <w:color w:val="auto"/>
                <w:sz w:val="24"/>
                <w:szCs w:val="24"/>
                <w:u w:val="single" w:color="auto"/>
                <w:lang w:val="en-US" w:eastAsia="zh-CN"/>
              </w:rPr>
              <w:t>m排气筒(DA002)排放</w:t>
            </w:r>
          </w:p>
        </w:tc>
        <w:tc>
          <w:tcPr>
            <w:tcW w:w="2172" w:type="dxa"/>
            <w:vAlign w:val="center"/>
          </w:tcPr>
          <w:p w14:paraId="156B5828">
            <w:pPr>
              <w:pStyle w:val="7"/>
              <w:bidi w:val="0"/>
              <w:jc w:val="center"/>
              <w:rPr>
                <w:color w:val="auto"/>
                <w:sz w:val="24"/>
                <w:szCs w:val="24"/>
                <w:u w:val="single" w:color="auto"/>
              </w:rPr>
            </w:pPr>
            <w:r>
              <w:rPr>
                <w:rFonts w:hint="eastAsia"/>
                <w:color w:val="auto"/>
                <w:sz w:val="24"/>
                <w:szCs w:val="24"/>
                <w:u w:val="single" w:color="auto"/>
              </w:rPr>
              <w:t>《工业炉窑大气污染物排放标准》（GB 9078-1996）表4中燃油炉窑二级排放标准</w:t>
            </w:r>
          </w:p>
        </w:tc>
      </w:tr>
      <w:tr w14:paraId="1573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78" w:type="dxa"/>
            <w:vMerge w:val="continue"/>
            <w:vAlign w:val="center"/>
          </w:tcPr>
          <w:p w14:paraId="39D7400E">
            <w:pPr>
              <w:pStyle w:val="7"/>
              <w:bidi w:val="0"/>
              <w:jc w:val="center"/>
              <w:rPr>
                <w:color w:val="4874CB" w:themeColor="accent1"/>
                <w:sz w:val="24"/>
                <w:szCs w:val="24"/>
                <w:u w:val="single" w:color="auto"/>
                <w14:textFill>
                  <w14:solidFill>
                    <w14:schemeClr w14:val="accent1"/>
                  </w14:solidFill>
                </w14:textFill>
              </w:rPr>
            </w:pPr>
          </w:p>
        </w:tc>
        <w:tc>
          <w:tcPr>
            <w:tcW w:w="1543" w:type="dxa"/>
            <w:vMerge w:val="continue"/>
            <w:vAlign w:val="center"/>
          </w:tcPr>
          <w:p w14:paraId="5336D718">
            <w:pPr>
              <w:pStyle w:val="24"/>
              <w:bidi w:val="0"/>
              <w:ind w:firstLine="0" w:firstLineChars="0"/>
              <w:jc w:val="center"/>
              <w:rPr>
                <w:rFonts w:hint="eastAsia"/>
                <w:color w:val="auto"/>
                <w:u w:val="single" w:color="auto"/>
                <w:lang w:val="en-US" w:eastAsia="zh-CN"/>
              </w:rPr>
            </w:pPr>
          </w:p>
        </w:tc>
        <w:tc>
          <w:tcPr>
            <w:tcW w:w="1083" w:type="dxa"/>
            <w:vAlign w:val="center"/>
          </w:tcPr>
          <w:p w14:paraId="08671170">
            <w:pPr>
              <w:pStyle w:val="24"/>
              <w:bidi w:val="0"/>
              <w:ind w:firstLine="0" w:firstLineChars="0"/>
              <w:jc w:val="center"/>
              <w:rPr>
                <w:rFonts w:hint="eastAsia"/>
                <w:color w:val="4874CB" w:themeColor="accent1"/>
                <w:sz w:val="24"/>
                <w:szCs w:val="24"/>
                <w:u w:val="single" w:color="auto"/>
                <w:lang w:val="en-US" w:eastAsia="zh-CN"/>
                <w14:textFill>
                  <w14:solidFill>
                    <w14:schemeClr w14:val="accent1"/>
                  </w14:solidFill>
                </w14:textFill>
              </w:rPr>
            </w:pPr>
            <w:r>
              <w:rPr>
                <w:rFonts w:hint="eastAsia"/>
                <w:color w:val="auto"/>
                <w:sz w:val="24"/>
                <w:szCs w:val="24"/>
                <w:u w:val="single" w:color="auto"/>
                <w:lang w:val="en-US" w:eastAsia="zh-CN"/>
              </w:rPr>
              <w:t>NO</w:t>
            </w:r>
            <w:r>
              <w:rPr>
                <w:rFonts w:hint="eastAsia"/>
                <w:color w:val="auto"/>
                <w:sz w:val="24"/>
                <w:szCs w:val="24"/>
                <w:u w:val="single" w:color="auto"/>
                <w:vertAlign w:val="subscript"/>
                <w:lang w:val="en-US" w:eastAsia="zh-CN"/>
              </w:rPr>
              <w:t>X</w:t>
            </w:r>
          </w:p>
        </w:tc>
        <w:tc>
          <w:tcPr>
            <w:tcW w:w="3024" w:type="dxa"/>
            <w:vAlign w:val="center"/>
          </w:tcPr>
          <w:p w14:paraId="71E4DB6E">
            <w:pPr>
              <w:pStyle w:val="24"/>
              <w:bidi w:val="0"/>
              <w:ind w:firstLine="0" w:firstLineChars="0"/>
              <w:jc w:val="center"/>
              <w:rPr>
                <w:rFonts w:hint="eastAsia"/>
                <w:color w:val="auto"/>
                <w:sz w:val="24"/>
                <w:szCs w:val="24"/>
                <w:u w:val="single" w:color="auto"/>
                <w:lang w:val="en-US" w:eastAsia="zh-CN"/>
              </w:rPr>
            </w:pPr>
            <w:r>
              <w:rPr>
                <w:rFonts w:hint="eastAsia"/>
                <w:color w:val="auto"/>
                <w:sz w:val="24"/>
                <w:szCs w:val="24"/>
                <w:u w:val="single" w:color="auto"/>
                <w:lang w:val="en-US" w:eastAsia="zh-CN"/>
              </w:rPr>
              <w:t>经1</w:t>
            </w:r>
            <w:r>
              <w:rPr>
                <w:rFonts w:hint="default"/>
                <w:color w:val="auto"/>
                <w:sz w:val="24"/>
                <w:szCs w:val="24"/>
                <w:u w:val="single" w:color="auto"/>
                <w:lang w:val="en-US" w:eastAsia="zh-CN"/>
              </w:rPr>
              <w:t>5</w:t>
            </w:r>
            <w:r>
              <w:rPr>
                <w:rFonts w:hint="eastAsia"/>
                <w:color w:val="auto"/>
                <w:sz w:val="24"/>
                <w:szCs w:val="24"/>
                <w:u w:val="single" w:color="auto"/>
                <w:lang w:val="en-US" w:eastAsia="zh-CN"/>
              </w:rPr>
              <w:t>m排气筒(DA002)排放</w:t>
            </w:r>
          </w:p>
        </w:tc>
        <w:tc>
          <w:tcPr>
            <w:tcW w:w="2172" w:type="dxa"/>
            <w:vAlign w:val="center"/>
          </w:tcPr>
          <w:p w14:paraId="2B15103D">
            <w:pPr>
              <w:pStyle w:val="7"/>
              <w:bidi w:val="0"/>
              <w:jc w:val="center"/>
              <w:rPr>
                <w:color w:val="auto"/>
                <w:sz w:val="24"/>
                <w:szCs w:val="24"/>
                <w:u w:val="single" w:color="auto"/>
              </w:rPr>
            </w:pPr>
            <w:r>
              <w:rPr>
                <w:rFonts w:hint="eastAsia"/>
                <w:color w:val="auto"/>
                <w:sz w:val="24"/>
                <w:szCs w:val="24"/>
                <w:u w:val="single" w:color="auto"/>
              </w:rPr>
              <w:t>《大气污染物综合排放标准》（GB16297-1996）表</w:t>
            </w:r>
            <w:r>
              <w:rPr>
                <w:rFonts w:hint="eastAsia"/>
                <w:color w:val="auto"/>
                <w:sz w:val="24"/>
                <w:szCs w:val="24"/>
                <w:u w:val="single" w:color="auto"/>
                <w:lang w:val="en-US" w:eastAsia="zh-CN"/>
              </w:rPr>
              <w:t>2</w:t>
            </w:r>
            <w:r>
              <w:rPr>
                <w:rFonts w:hint="eastAsia"/>
                <w:color w:val="auto"/>
                <w:sz w:val="24"/>
                <w:szCs w:val="24"/>
                <w:u w:val="single" w:color="auto"/>
              </w:rPr>
              <w:t>中其它类别</w:t>
            </w:r>
            <w:r>
              <w:rPr>
                <w:rFonts w:hint="eastAsia"/>
                <w:color w:val="auto"/>
                <w:sz w:val="24"/>
                <w:szCs w:val="24"/>
                <w:u w:val="single" w:color="auto"/>
                <w:lang w:val="en-US" w:eastAsia="zh-CN"/>
              </w:rPr>
              <w:t>二</w:t>
            </w:r>
            <w:r>
              <w:rPr>
                <w:rFonts w:hint="eastAsia"/>
                <w:color w:val="auto"/>
                <w:sz w:val="24"/>
                <w:szCs w:val="24"/>
                <w:u w:val="single" w:color="auto"/>
              </w:rPr>
              <w:t>级标准</w:t>
            </w:r>
          </w:p>
        </w:tc>
      </w:tr>
      <w:tr w14:paraId="6C729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78" w:type="dxa"/>
            <w:vMerge w:val="continue"/>
            <w:vAlign w:val="center"/>
          </w:tcPr>
          <w:p w14:paraId="241BE5EE">
            <w:pPr>
              <w:pStyle w:val="7"/>
              <w:bidi w:val="0"/>
              <w:jc w:val="center"/>
              <w:rPr>
                <w:color w:val="4874CB" w:themeColor="accent1"/>
                <w:sz w:val="24"/>
                <w:szCs w:val="24"/>
                <w:u w:val="single" w:color="auto"/>
                <w14:textFill>
                  <w14:solidFill>
                    <w14:schemeClr w14:val="accent1"/>
                  </w14:solidFill>
                </w14:textFill>
              </w:rPr>
            </w:pPr>
          </w:p>
        </w:tc>
        <w:tc>
          <w:tcPr>
            <w:tcW w:w="1543" w:type="dxa"/>
            <w:vMerge w:val="restart"/>
            <w:vAlign w:val="center"/>
          </w:tcPr>
          <w:p w14:paraId="5C108E3E">
            <w:pPr>
              <w:pStyle w:val="24"/>
              <w:bidi w:val="0"/>
              <w:ind w:firstLine="0" w:firstLineChars="0"/>
              <w:jc w:val="center"/>
              <w:rPr>
                <w:rFonts w:hint="default"/>
                <w:color w:val="auto"/>
                <w:u w:val="single" w:color="auto"/>
                <w:lang w:val="en-US" w:eastAsia="zh-CN"/>
              </w:rPr>
            </w:pPr>
            <w:r>
              <w:rPr>
                <w:rFonts w:hint="eastAsia"/>
                <w:color w:val="auto"/>
                <w:sz w:val="24"/>
                <w:szCs w:val="24"/>
                <w:u w:val="single" w:color="auto"/>
                <w:lang w:val="en-US" w:eastAsia="zh-CN"/>
              </w:rPr>
              <w:t>无组织废气</w:t>
            </w:r>
          </w:p>
        </w:tc>
        <w:tc>
          <w:tcPr>
            <w:tcW w:w="1083" w:type="dxa"/>
            <w:vAlign w:val="center"/>
          </w:tcPr>
          <w:p w14:paraId="5C1C544F">
            <w:pPr>
              <w:pStyle w:val="24"/>
              <w:bidi w:val="0"/>
              <w:ind w:firstLine="0" w:firstLineChars="0"/>
              <w:jc w:val="center"/>
              <w:rPr>
                <w:rFonts w:hint="default"/>
                <w:color w:val="auto"/>
                <w:sz w:val="24"/>
                <w:szCs w:val="24"/>
                <w:u w:val="single" w:color="auto"/>
                <w:lang w:val="en-US" w:eastAsia="zh-CN"/>
              </w:rPr>
            </w:pPr>
            <w:r>
              <w:rPr>
                <w:rFonts w:hint="eastAsia"/>
                <w:color w:val="auto"/>
                <w:sz w:val="24"/>
                <w:szCs w:val="24"/>
                <w:u w:val="single" w:color="auto"/>
                <w:lang w:val="en-US" w:eastAsia="zh-CN"/>
              </w:rPr>
              <w:t>颗粒物</w:t>
            </w:r>
          </w:p>
        </w:tc>
        <w:tc>
          <w:tcPr>
            <w:tcW w:w="3024" w:type="dxa"/>
            <w:vAlign w:val="center"/>
          </w:tcPr>
          <w:p w14:paraId="63B326A3">
            <w:pPr>
              <w:pStyle w:val="24"/>
              <w:bidi w:val="0"/>
              <w:ind w:firstLine="0" w:firstLineChars="0"/>
              <w:jc w:val="center"/>
              <w:rPr>
                <w:rFonts w:hint="default"/>
                <w:color w:val="auto"/>
                <w:sz w:val="24"/>
                <w:szCs w:val="24"/>
                <w:u w:val="single" w:color="auto"/>
                <w:lang w:val="en-US" w:eastAsia="zh-CN"/>
              </w:rPr>
            </w:pPr>
            <w:r>
              <w:rPr>
                <w:rFonts w:hint="eastAsia"/>
                <w:color w:val="auto"/>
                <w:sz w:val="24"/>
                <w:szCs w:val="24"/>
                <w:u w:val="single" w:color="auto"/>
                <w:lang w:val="en-US" w:eastAsia="zh-CN"/>
              </w:rPr>
              <w:t>生产车间全封闭、定时清扫</w:t>
            </w:r>
          </w:p>
        </w:tc>
        <w:tc>
          <w:tcPr>
            <w:tcW w:w="2172" w:type="dxa"/>
            <w:vMerge w:val="restart"/>
            <w:vAlign w:val="center"/>
          </w:tcPr>
          <w:p w14:paraId="42AD27BE">
            <w:pPr>
              <w:pStyle w:val="7"/>
              <w:bidi w:val="0"/>
              <w:jc w:val="center"/>
              <w:rPr>
                <w:rFonts w:hint="eastAsia"/>
                <w:color w:val="auto"/>
                <w:sz w:val="24"/>
                <w:szCs w:val="24"/>
                <w:u w:val="single" w:color="auto"/>
              </w:rPr>
            </w:pPr>
            <w:r>
              <w:rPr>
                <w:rFonts w:hint="eastAsia"/>
                <w:color w:val="auto"/>
                <w:sz w:val="24"/>
                <w:szCs w:val="24"/>
                <w:u w:val="single" w:color="auto"/>
              </w:rPr>
              <w:t>《大气污染物综合排放标准》（GB16297-1996）中无组织排放限值</w:t>
            </w:r>
          </w:p>
        </w:tc>
      </w:tr>
      <w:tr w14:paraId="7EADF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78" w:type="dxa"/>
            <w:vMerge w:val="continue"/>
            <w:vAlign w:val="center"/>
          </w:tcPr>
          <w:p w14:paraId="71A0E0A0">
            <w:pPr>
              <w:pStyle w:val="7"/>
              <w:bidi w:val="0"/>
              <w:jc w:val="center"/>
              <w:rPr>
                <w:color w:val="4874CB" w:themeColor="accent1"/>
                <w:sz w:val="24"/>
                <w:szCs w:val="24"/>
                <w:u w:val="single" w:color="auto"/>
                <w14:textFill>
                  <w14:solidFill>
                    <w14:schemeClr w14:val="accent1"/>
                  </w14:solidFill>
                </w14:textFill>
              </w:rPr>
            </w:pPr>
          </w:p>
        </w:tc>
        <w:tc>
          <w:tcPr>
            <w:tcW w:w="1543" w:type="dxa"/>
            <w:vMerge w:val="continue"/>
            <w:vAlign w:val="center"/>
          </w:tcPr>
          <w:p w14:paraId="66A8E835">
            <w:pPr>
              <w:pStyle w:val="24"/>
              <w:bidi w:val="0"/>
              <w:ind w:firstLine="0" w:firstLineChars="0"/>
              <w:jc w:val="center"/>
              <w:rPr>
                <w:rFonts w:hint="eastAsia"/>
                <w:color w:val="auto"/>
                <w:u w:val="single" w:color="auto"/>
                <w:lang w:val="en-US" w:eastAsia="zh-CN"/>
              </w:rPr>
            </w:pPr>
          </w:p>
        </w:tc>
        <w:tc>
          <w:tcPr>
            <w:tcW w:w="1083" w:type="dxa"/>
            <w:vAlign w:val="center"/>
          </w:tcPr>
          <w:p w14:paraId="113838D2">
            <w:pPr>
              <w:pStyle w:val="24"/>
              <w:bidi w:val="0"/>
              <w:ind w:firstLine="0" w:firstLineChars="0"/>
              <w:jc w:val="center"/>
              <w:rPr>
                <w:rFonts w:hint="default"/>
                <w:color w:val="auto"/>
                <w:sz w:val="24"/>
                <w:szCs w:val="24"/>
                <w:u w:val="single" w:color="auto"/>
                <w:lang w:val="en-US" w:eastAsia="zh-CN"/>
              </w:rPr>
            </w:pPr>
            <w:r>
              <w:rPr>
                <w:rFonts w:hint="eastAsia"/>
                <w:color w:val="auto"/>
                <w:sz w:val="24"/>
                <w:szCs w:val="24"/>
                <w:u w:val="single" w:color="auto"/>
                <w:lang w:val="en-US" w:eastAsia="zh-CN"/>
              </w:rPr>
              <w:t>氯化氢</w:t>
            </w:r>
          </w:p>
        </w:tc>
        <w:tc>
          <w:tcPr>
            <w:tcW w:w="3024" w:type="dxa"/>
            <w:vAlign w:val="center"/>
          </w:tcPr>
          <w:p w14:paraId="1AC08765">
            <w:pPr>
              <w:pStyle w:val="24"/>
              <w:bidi w:val="0"/>
              <w:ind w:firstLine="0" w:firstLineChars="0"/>
              <w:jc w:val="center"/>
              <w:rPr>
                <w:rFonts w:hint="default"/>
                <w:color w:val="auto"/>
                <w:sz w:val="24"/>
                <w:szCs w:val="24"/>
                <w:u w:val="single" w:color="auto"/>
                <w:lang w:val="en-US" w:eastAsia="zh-CN"/>
              </w:rPr>
            </w:pPr>
            <w:r>
              <w:rPr>
                <w:rFonts w:hint="eastAsia"/>
                <w:color w:val="auto"/>
                <w:sz w:val="24"/>
                <w:szCs w:val="24"/>
                <w:u w:val="single" w:color="auto"/>
                <w:lang w:val="en-US" w:eastAsia="zh-CN"/>
              </w:rPr>
              <w:t>生产车间全封闭</w:t>
            </w:r>
          </w:p>
        </w:tc>
        <w:tc>
          <w:tcPr>
            <w:tcW w:w="2172" w:type="dxa"/>
            <w:vMerge w:val="continue"/>
            <w:vAlign w:val="center"/>
          </w:tcPr>
          <w:p w14:paraId="069887BC">
            <w:pPr>
              <w:pStyle w:val="7"/>
              <w:bidi w:val="0"/>
              <w:jc w:val="center"/>
              <w:rPr>
                <w:rFonts w:hint="eastAsia"/>
                <w:color w:val="auto"/>
                <w:sz w:val="24"/>
                <w:szCs w:val="24"/>
                <w:u w:val="single" w:color="auto"/>
              </w:rPr>
            </w:pPr>
          </w:p>
        </w:tc>
      </w:tr>
      <w:tr w14:paraId="67244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78" w:type="dxa"/>
            <w:vMerge w:val="continue"/>
            <w:vAlign w:val="center"/>
          </w:tcPr>
          <w:p w14:paraId="19F18C9B">
            <w:pPr>
              <w:pStyle w:val="7"/>
              <w:bidi w:val="0"/>
              <w:jc w:val="center"/>
              <w:rPr>
                <w:color w:val="4874CB" w:themeColor="accent1"/>
                <w:sz w:val="24"/>
                <w:szCs w:val="24"/>
                <w:u w:val="single" w:color="auto"/>
                <w14:textFill>
                  <w14:solidFill>
                    <w14:schemeClr w14:val="accent1"/>
                  </w14:solidFill>
                </w14:textFill>
              </w:rPr>
            </w:pPr>
          </w:p>
        </w:tc>
        <w:tc>
          <w:tcPr>
            <w:tcW w:w="1543" w:type="dxa"/>
            <w:vMerge w:val="continue"/>
            <w:vAlign w:val="center"/>
          </w:tcPr>
          <w:p w14:paraId="5AA8288D">
            <w:pPr>
              <w:pStyle w:val="24"/>
              <w:bidi w:val="0"/>
              <w:ind w:firstLine="0" w:firstLineChars="0"/>
              <w:jc w:val="center"/>
              <w:rPr>
                <w:rFonts w:hint="eastAsia"/>
                <w:color w:val="auto"/>
                <w:u w:val="single" w:color="auto"/>
                <w:lang w:val="en-US" w:eastAsia="zh-CN"/>
              </w:rPr>
            </w:pPr>
          </w:p>
        </w:tc>
        <w:tc>
          <w:tcPr>
            <w:tcW w:w="1083" w:type="dxa"/>
            <w:vAlign w:val="center"/>
          </w:tcPr>
          <w:p w14:paraId="3A34977B">
            <w:pPr>
              <w:pStyle w:val="24"/>
              <w:bidi w:val="0"/>
              <w:ind w:firstLine="0" w:firstLineChars="0"/>
              <w:jc w:val="center"/>
              <w:rPr>
                <w:rFonts w:hint="default"/>
                <w:color w:val="auto"/>
                <w:sz w:val="24"/>
                <w:szCs w:val="24"/>
                <w:u w:val="single" w:color="auto"/>
                <w:lang w:val="en-US" w:eastAsia="zh-CN"/>
              </w:rPr>
            </w:pPr>
            <w:r>
              <w:rPr>
                <w:rFonts w:hint="eastAsia"/>
                <w:color w:val="auto"/>
                <w:sz w:val="24"/>
                <w:szCs w:val="24"/>
                <w:u w:val="single" w:color="auto"/>
                <w:lang w:val="en-US" w:eastAsia="zh-CN"/>
              </w:rPr>
              <w:t>氨</w:t>
            </w:r>
          </w:p>
        </w:tc>
        <w:tc>
          <w:tcPr>
            <w:tcW w:w="3024" w:type="dxa"/>
            <w:vAlign w:val="center"/>
          </w:tcPr>
          <w:p w14:paraId="109FDFA7">
            <w:pPr>
              <w:pStyle w:val="24"/>
              <w:bidi w:val="0"/>
              <w:ind w:firstLine="0" w:firstLineChars="0"/>
              <w:jc w:val="center"/>
              <w:rPr>
                <w:rFonts w:hint="default"/>
                <w:color w:val="auto"/>
                <w:sz w:val="24"/>
                <w:szCs w:val="24"/>
                <w:u w:val="single" w:color="auto"/>
                <w:lang w:val="en-US" w:eastAsia="zh-CN"/>
              </w:rPr>
            </w:pPr>
            <w:r>
              <w:rPr>
                <w:rFonts w:hint="eastAsia"/>
                <w:color w:val="auto"/>
                <w:sz w:val="24"/>
                <w:szCs w:val="24"/>
                <w:u w:val="single" w:color="auto"/>
                <w:lang w:val="en-US" w:eastAsia="zh-CN"/>
              </w:rPr>
              <w:t>生产车间全封闭</w:t>
            </w:r>
          </w:p>
        </w:tc>
        <w:tc>
          <w:tcPr>
            <w:tcW w:w="2172" w:type="dxa"/>
            <w:vAlign w:val="center"/>
          </w:tcPr>
          <w:p w14:paraId="23664FCC">
            <w:pPr>
              <w:pStyle w:val="7"/>
              <w:bidi w:val="0"/>
              <w:jc w:val="center"/>
              <w:rPr>
                <w:rFonts w:hint="eastAsia"/>
                <w:color w:val="auto"/>
                <w:sz w:val="24"/>
                <w:szCs w:val="24"/>
                <w:u w:val="single" w:color="auto"/>
              </w:rPr>
            </w:pPr>
            <w:r>
              <w:rPr>
                <w:rFonts w:hint="eastAsia"/>
                <w:color w:val="auto"/>
                <w:sz w:val="24"/>
                <w:szCs w:val="24"/>
                <w:u w:val="single" w:color="auto"/>
              </w:rPr>
              <w:t>《恶臭污染物排放标准》（GB 14554-1993）表1中无组织排放限值</w:t>
            </w:r>
          </w:p>
        </w:tc>
      </w:tr>
      <w:tr w14:paraId="3B04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78" w:type="dxa"/>
            <w:vMerge w:val="restart"/>
            <w:vAlign w:val="center"/>
          </w:tcPr>
          <w:p w14:paraId="2046748B">
            <w:pPr>
              <w:pStyle w:val="7"/>
              <w:bidi w:val="0"/>
              <w:jc w:val="center"/>
              <w:rPr>
                <w:rFonts w:hint="eastAsia" w:eastAsia="宋体"/>
                <w:color w:val="4874CB" w:themeColor="accent1"/>
                <w:sz w:val="24"/>
                <w:szCs w:val="24"/>
                <w:u w:val="single" w:color="auto"/>
                <w:lang w:val="en-US" w:eastAsia="zh-CN"/>
                <w14:textFill>
                  <w14:solidFill>
                    <w14:schemeClr w14:val="accent1"/>
                  </w14:solidFill>
                </w14:textFill>
              </w:rPr>
            </w:pPr>
            <w:r>
              <w:rPr>
                <w:rFonts w:hint="eastAsia"/>
                <w:color w:val="auto"/>
                <w:sz w:val="24"/>
                <w:szCs w:val="24"/>
                <w:u w:val="single" w:color="auto"/>
                <w:lang w:val="en-US" w:eastAsia="zh-CN"/>
              </w:rPr>
              <w:t>水环境</w:t>
            </w:r>
          </w:p>
        </w:tc>
        <w:tc>
          <w:tcPr>
            <w:tcW w:w="1543" w:type="dxa"/>
            <w:vAlign w:val="center"/>
          </w:tcPr>
          <w:p w14:paraId="2F4D7756">
            <w:pPr>
              <w:pStyle w:val="24"/>
              <w:bidi w:val="0"/>
              <w:ind w:firstLine="0" w:firstLineChars="0"/>
              <w:jc w:val="center"/>
              <w:rPr>
                <w:rFonts w:hint="eastAsia"/>
                <w:color w:val="auto"/>
                <w:sz w:val="24"/>
                <w:szCs w:val="24"/>
                <w:u w:val="single" w:color="auto"/>
                <w:lang w:val="en-US" w:eastAsia="zh-CN"/>
              </w:rPr>
            </w:pPr>
            <w:r>
              <w:rPr>
                <w:rFonts w:hint="eastAsia"/>
                <w:color w:val="auto"/>
                <w:sz w:val="24"/>
                <w:szCs w:val="24"/>
                <w:u w:val="single" w:color="auto"/>
                <w:lang w:val="en-US" w:eastAsia="zh-CN"/>
              </w:rPr>
              <w:t>喷淋废水</w:t>
            </w:r>
          </w:p>
        </w:tc>
        <w:tc>
          <w:tcPr>
            <w:tcW w:w="1083" w:type="dxa"/>
            <w:vAlign w:val="center"/>
          </w:tcPr>
          <w:p w14:paraId="5062317B">
            <w:pPr>
              <w:pStyle w:val="24"/>
              <w:bidi w:val="0"/>
              <w:ind w:firstLine="0" w:firstLineChars="0"/>
              <w:jc w:val="center"/>
              <w:rPr>
                <w:rFonts w:hint="eastAsia"/>
                <w:color w:val="auto"/>
                <w:sz w:val="24"/>
                <w:szCs w:val="24"/>
                <w:u w:val="single" w:color="auto"/>
                <w:lang w:val="en-US" w:eastAsia="zh-CN"/>
              </w:rPr>
            </w:pPr>
            <w:r>
              <w:rPr>
                <w:rFonts w:hint="eastAsia"/>
                <w:color w:val="auto"/>
                <w:sz w:val="24"/>
                <w:szCs w:val="24"/>
                <w:u w:val="single" w:color="auto"/>
                <w:lang w:val="en-US" w:eastAsia="zh-CN"/>
              </w:rPr>
              <w:t>SS</w:t>
            </w:r>
          </w:p>
        </w:tc>
        <w:tc>
          <w:tcPr>
            <w:tcW w:w="3024" w:type="dxa"/>
            <w:vAlign w:val="center"/>
          </w:tcPr>
          <w:p w14:paraId="2EE4E662">
            <w:pPr>
              <w:pStyle w:val="24"/>
              <w:bidi w:val="0"/>
              <w:ind w:firstLine="0" w:firstLineChars="0"/>
              <w:jc w:val="center"/>
              <w:rPr>
                <w:rFonts w:hint="default"/>
                <w:color w:val="auto"/>
                <w:sz w:val="24"/>
                <w:szCs w:val="24"/>
                <w:u w:val="single" w:color="auto"/>
                <w:lang w:val="en-US" w:eastAsia="zh-CN"/>
              </w:rPr>
            </w:pPr>
            <w:r>
              <w:rPr>
                <w:rFonts w:hint="eastAsia"/>
                <w:color w:val="auto"/>
                <w:sz w:val="24"/>
                <w:szCs w:val="24"/>
                <w:u w:val="single" w:color="auto"/>
                <w:lang w:val="en-US" w:eastAsia="zh-CN"/>
              </w:rPr>
              <w:t>沉淀池沉淀后回用于生产</w:t>
            </w:r>
          </w:p>
        </w:tc>
        <w:tc>
          <w:tcPr>
            <w:tcW w:w="2172" w:type="dxa"/>
            <w:vAlign w:val="center"/>
          </w:tcPr>
          <w:p w14:paraId="590E9653">
            <w:pPr>
              <w:pStyle w:val="7"/>
              <w:bidi w:val="0"/>
              <w:ind w:firstLine="0" w:firstLineChars="0"/>
              <w:jc w:val="center"/>
              <w:rPr>
                <w:color w:val="auto"/>
                <w:sz w:val="24"/>
                <w:szCs w:val="24"/>
                <w:u w:val="single" w:color="auto"/>
              </w:rPr>
            </w:pPr>
            <w:r>
              <w:rPr>
                <w:color w:val="auto"/>
                <w:sz w:val="24"/>
                <w:szCs w:val="24"/>
                <w:u w:val="single" w:color="auto"/>
              </w:rPr>
              <w:t>回用</w:t>
            </w:r>
            <w:r>
              <w:rPr>
                <w:rFonts w:hint="eastAsia"/>
                <w:color w:val="auto"/>
                <w:sz w:val="24"/>
                <w:szCs w:val="24"/>
                <w:u w:val="single" w:color="auto"/>
                <w:lang w:val="en-US" w:eastAsia="zh-CN"/>
              </w:rPr>
              <w:t>于生产</w:t>
            </w:r>
          </w:p>
        </w:tc>
      </w:tr>
      <w:tr w14:paraId="275E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78" w:type="dxa"/>
            <w:vMerge w:val="continue"/>
            <w:vAlign w:val="center"/>
          </w:tcPr>
          <w:p w14:paraId="4D0E3327">
            <w:pPr>
              <w:pStyle w:val="7"/>
              <w:bidi w:val="0"/>
              <w:jc w:val="center"/>
              <w:rPr>
                <w:color w:val="4874CB" w:themeColor="accent1"/>
                <w:sz w:val="24"/>
                <w:szCs w:val="24"/>
                <w:u w:val="single" w:color="auto"/>
                <w14:textFill>
                  <w14:solidFill>
                    <w14:schemeClr w14:val="accent1"/>
                  </w14:solidFill>
                </w14:textFill>
              </w:rPr>
            </w:pPr>
          </w:p>
        </w:tc>
        <w:tc>
          <w:tcPr>
            <w:tcW w:w="1543" w:type="dxa"/>
            <w:vAlign w:val="center"/>
          </w:tcPr>
          <w:p w14:paraId="49759B77">
            <w:pPr>
              <w:pStyle w:val="24"/>
              <w:bidi w:val="0"/>
              <w:ind w:firstLine="0" w:firstLineChars="0"/>
              <w:jc w:val="center"/>
              <w:rPr>
                <w:rFonts w:hint="default"/>
                <w:color w:val="auto"/>
                <w:u w:val="single" w:color="auto"/>
                <w:lang w:val="en-US" w:eastAsia="zh-CN"/>
              </w:rPr>
            </w:pPr>
            <w:r>
              <w:rPr>
                <w:rFonts w:hint="eastAsia"/>
                <w:color w:val="auto"/>
                <w:sz w:val="24"/>
                <w:szCs w:val="24"/>
                <w:u w:val="single" w:color="auto"/>
                <w:lang w:val="en-US" w:eastAsia="zh-CN"/>
              </w:rPr>
              <w:t>生活污水</w:t>
            </w:r>
          </w:p>
        </w:tc>
        <w:tc>
          <w:tcPr>
            <w:tcW w:w="1083" w:type="dxa"/>
            <w:vAlign w:val="center"/>
          </w:tcPr>
          <w:p w14:paraId="575A1EFE">
            <w:pPr>
              <w:pStyle w:val="7"/>
              <w:bidi w:val="0"/>
              <w:jc w:val="center"/>
              <w:rPr>
                <w:color w:val="auto"/>
                <w:sz w:val="24"/>
                <w:szCs w:val="24"/>
                <w:u w:val="single" w:color="auto"/>
              </w:rPr>
            </w:pPr>
            <w:r>
              <w:rPr>
                <w:color w:val="auto"/>
                <w:sz w:val="24"/>
                <w:szCs w:val="24"/>
                <w:u w:val="single" w:color="auto"/>
              </w:rPr>
              <w:t>COD、</w:t>
            </w:r>
          </w:p>
          <w:p w14:paraId="1302782B">
            <w:pPr>
              <w:pStyle w:val="24"/>
              <w:bidi w:val="0"/>
              <w:ind w:firstLine="0" w:firstLineChars="0"/>
              <w:jc w:val="center"/>
              <w:rPr>
                <w:rFonts w:hint="eastAsia"/>
                <w:color w:val="auto"/>
                <w:sz w:val="24"/>
                <w:szCs w:val="24"/>
                <w:u w:val="single" w:color="auto"/>
                <w:lang w:val="en-US" w:eastAsia="zh-CN"/>
              </w:rPr>
            </w:pPr>
            <w:r>
              <w:rPr>
                <w:rFonts w:hint="eastAsia"/>
                <w:color w:val="auto"/>
                <w:sz w:val="24"/>
                <w:szCs w:val="24"/>
                <w:u w:val="single" w:color="auto"/>
                <w:lang w:val="en-US" w:eastAsia="zh-CN"/>
              </w:rPr>
              <w:t>NH</w:t>
            </w:r>
            <w:r>
              <w:rPr>
                <w:rFonts w:hint="eastAsia"/>
                <w:color w:val="auto"/>
                <w:sz w:val="24"/>
                <w:szCs w:val="24"/>
                <w:u w:val="single" w:color="auto"/>
                <w:vertAlign w:val="subscript"/>
                <w:lang w:val="en-US" w:eastAsia="zh-CN"/>
              </w:rPr>
              <w:t>3</w:t>
            </w:r>
            <w:r>
              <w:rPr>
                <w:rFonts w:hint="eastAsia"/>
                <w:color w:val="auto"/>
                <w:sz w:val="24"/>
                <w:szCs w:val="24"/>
                <w:u w:val="single" w:color="auto"/>
                <w:lang w:val="en-US" w:eastAsia="zh-CN"/>
              </w:rPr>
              <w:t>-N</w:t>
            </w:r>
            <w:r>
              <w:rPr>
                <w:color w:val="auto"/>
                <w:sz w:val="24"/>
                <w:szCs w:val="24"/>
                <w:u w:val="single" w:color="auto"/>
              </w:rPr>
              <w:t>等</w:t>
            </w:r>
          </w:p>
        </w:tc>
        <w:tc>
          <w:tcPr>
            <w:tcW w:w="3024" w:type="dxa"/>
            <w:vAlign w:val="center"/>
          </w:tcPr>
          <w:p w14:paraId="6207AC47">
            <w:pPr>
              <w:pStyle w:val="24"/>
              <w:bidi w:val="0"/>
              <w:ind w:firstLine="0" w:firstLineChars="0"/>
              <w:jc w:val="center"/>
              <w:rPr>
                <w:rFonts w:hint="default"/>
                <w:color w:val="auto"/>
                <w:sz w:val="24"/>
                <w:szCs w:val="24"/>
                <w:u w:val="single" w:color="auto"/>
                <w:lang w:val="en-US" w:eastAsia="zh-CN"/>
              </w:rPr>
            </w:pPr>
            <w:r>
              <w:rPr>
                <w:rFonts w:hint="eastAsia"/>
                <w:color w:val="auto"/>
                <w:sz w:val="24"/>
                <w:szCs w:val="24"/>
                <w:u w:val="single" w:color="auto"/>
                <w:lang w:eastAsia="zh-CN"/>
              </w:rPr>
              <w:t>化粪池</w:t>
            </w:r>
            <w:r>
              <w:rPr>
                <w:rFonts w:hint="eastAsia"/>
                <w:color w:val="auto"/>
                <w:sz w:val="24"/>
                <w:szCs w:val="24"/>
                <w:u w:val="single" w:color="auto"/>
                <w:lang w:val="en-US" w:eastAsia="zh-CN"/>
              </w:rPr>
              <w:t>(6m</w:t>
            </w:r>
            <w:r>
              <w:rPr>
                <w:rFonts w:hint="eastAsia"/>
                <w:color w:val="auto"/>
                <w:sz w:val="24"/>
                <w:szCs w:val="24"/>
                <w:u w:val="single" w:color="auto"/>
                <w:vertAlign w:val="superscript"/>
                <w:lang w:val="en-US" w:eastAsia="zh-CN"/>
              </w:rPr>
              <w:t>3</w:t>
            </w:r>
            <w:r>
              <w:rPr>
                <w:rFonts w:hint="eastAsia"/>
                <w:color w:val="auto"/>
                <w:sz w:val="24"/>
                <w:szCs w:val="24"/>
                <w:u w:val="single" w:color="auto"/>
                <w:lang w:val="en-US" w:eastAsia="zh-CN"/>
              </w:rPr>
              <w:t>、四池净化)</w:t>
            </w:r>
          </w:p>
        </w:tc>
        <w:tc>
          <w:tcPr>
            <w:tcW w:w="2172" w:type="dxa"/>
            <w:vAlign w:val="center"/>
          </w:tcPr>
          <w:p w14:paraId="45E4FE0D">
            <w:pPr>
              <w:pStyle w:val="7"/>
              <w:bidi w:val="0"/>
              <w:ind w:firstLine="0" w:firstLineChars="0"/>
              <w:jc w:val="center"/>
              <w:rPr>
                <w:color w:val="auto"/>
                <w:sz w:val="24"/>
                <w:szCs w:val="24"/>
                <w:u w:val="single" w:color="auto"/>
              </w:rPr>
            </w:pPr>
            <w:r>
              <w:rPr>
                <w:rFonts w:hint="eastAsia"/>
                <w:color w:val="auto"/>
                <w:sz w:val="24"/>
                <w:szCs w:val="24"/>
                <w:u w:val="single" w:color="auto"/>
                <w:lang w:val="en-US" w:eastAsia="zh-CN"/>
              </w:rPr>
              <w:t>生活污水经化粪池处理后排入园区污水管网，最终进入岳阳高新技术产业园区长湖片污水处理厂集中处理。</w:t>
            </w:r>
          </w:p>
        </w:tc>
      </w:tr>
      <w:tr w14:paraId="02D6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78" w:type="dxa"/>
            <w:vAlign w:val="center"/>
          </w:tcPr>
          <w:p w14:paraId="778A5972">
            <w:pPr>
              <w:pStyle w:val="7"/>
              <w:bidi w:val="0"/>
              <w:jc w:val="center"/>
              <w:rPr>
                <w:color w:val="auto"/>
                <w:sz w:val="24"/>
                <w:szCs w:val="24"/>
                <w:u w:val="single" w:color="auto"/>
              </w:rPr>
            </w:pPr>
            <w:r>
              <w:rPr>
                <w:color w:val="auto"/>
                <w:sz w:val="24"/>
                <w:szCs w:val="24"/>
                <w:u w:val="single" w:color="auto"/>
              </w:rPr>
              <w:t>声环境</w:t>
            </w:r>
          </w:p>
        </w:tc>
        <w:tc>
          <w:tcPr>
            <w:tcW w:w="1543" w:type="dxa"/>
            <w:vAlign w:val="center"/>
          </w:tcPr>
          <w:p w14:paraId="2975204C">
            <w:pPr>
              <w:pStyle w:val="7"/>
              <w:bidi w:val="0"/>
              <w:jc w:val="center"/>
              <w:rPr>
                <w:color w:val="auto"/>
                <w:sz w:val="24"/>
                <w:szCs w:val="24"/>
                <w:u w:val="single" w:color="auto"/>
              </w:rPr>
            </w:pPr>
            <w:r>
              <w:rPr>
                <w:color w:val="auto"/>
                <w:sz w:val="24"/>
                <w:szCs w:val="24"/>
                <w:u w:val="single" w:color="auto"/>
              </w:rPr>
              <w:t>生产</w:t>
            </w:r>
          </w:p>
          <w:p w14:paraId="554DE9F8">
            <w:pPr>
              <w:pStyle w:val="7"/>
              <w:bidi w:val="0"/>
              <w:jc w:val="center"/>
              <w:rPr>
                <w:color w:val="auto"/>
                <w:sz w:val="24"/>
                <w:szCs w:val="24"/>
                <w:u w:val="single" w:color="auto"/>
              </w:rPr>
            </w:pPr>
            <w:r>
              <w:rPr>
                <w:color w:val="auto"/>
                <w:sz w:val="24"/>
                <w:szCs w:val="24"/>
                <w:u w:val="single" w:color="auto"/>
              </w:rPr>
              <w:t>设备</w:t>
            </w:r>
          </w:p>
        </w:tc>
        <w:tc>
          <w:tcPr>
            <w:tcW w:w="1083" w:type="dxa"/>
            <w:vAlign w:val="center"/>
          </w:tcPr>
          <w:p w14:paraId="1078A820">
            <w:pPr>
              <w:pStyle w:val="7"/>
              <w:bidi w:val="0"/>
              <w:jc w:val="center"/>
              <w:rPr>
                <w:color w:val="auto"/>
                <w:sz w:val="24"/>
                <w:szCs w:val="24"/>
                <w:u w:val="single" w:color="auto"/>
              </w:rPr>
            </w:pPr>
            <w:r>
              <w:rPr>
                <w:color w:val="auto"/>
                <w:sz w:val="24"/>
                <w:szCs w:val="24"/>
                <w:u w:val="single" w:color="auto"/>
              </w:rPr>
              <w:t>Leq(dBA)</w:t>
            </w:r>
          </w:p>
        </w:tc>
        <w:tc>
          <w:tcPr>
            <w:tcW w:w="3024" w:type="dxa"/>
            <w:vAlign w:val="center"/>
          </w:tcPr>
          <w:p w14:paraId="3906CF95">
            <w:pPr>
              <w:pStyle w:val="7"/>
              <w:bidi w:val="0"/>
              <w:jc w:val="center"/>
              <w:rPr>
                <w:color w:val="auto"/>
                <w:sz w:val="24"/>
                <w:szCs w:val="24"/>
                <w:u w:val="single" w:color="auto"/>
              </w:rPr>
            </w:pPr>
            <w:r>
              <w:rPr>
                <w:rFonts w:hint="default"/>
                <w:sz w:val="24"/>
                <w:szCs w:val="24"/>
                <w:u w:val="single" w:color="auto"/>
              </w:rPr>
              <w:t>合理布局</w:t>
            </w:r>
            <w:r>
              <w:rPr>
                <w:rFonts w:hint="default"/>
                <w:sz w:val="24"/>
                <w:szCs w:val="24"/>
                <w:u w:val="single" w:color="auto"/>
                <w:lang w:eastAsia="zh-CN"/>
              </w:rPr>
              <w:t>、</w:t>
            </w:r>
            <w:r>
              <w:rPr>
                <w:rFonts w:hint="default"/>
                <w:sz w:val="24"/>
                <w:szCs w:val="24"/>
                <w:u w:val="single" w:color="auto"/>
                <w:lang w:val="en-US" w:eastAsia="zh-CN"/>
              </w:rPr>
              <w:t>选用低噪声设备、基础减振</w:t>
            </w:r>
            <w:r>
              <w:rPr>
                <w:rFonts w:hint="eastAsia"/>
                <w:sz w:val="24"/>
                <w:szCs w:val="24"/>
                <w:u w:val="single" w:color="auto"/>
                <w:lang w:val="en-US" w:eastAsia="zh-CN"/>
              </w:rPr>
              <w:t>、</w:t>
            </w:r>
            <w:r>
              <w:rPr>
                <w:rFonts w:hint="default"/>
                <w:sz w:val="24"/>
                <w:szCs w:val="24"/>
                <w:u w:val="single" w:color="auto"/>
                <w:lang w:val="en-US" w:eastAsia="zh-CN"/>
              </w:rPr>
              <w:t>厂房</w:t>
            </w:r>
            <w:r>
              <w:rPr>
                <w:rFonts w:hint="default"/>
                <w:sz w:val="24"/>
                <w:szCs w:val="24"/>
                <w:u w:val="single" w:color="auto"/>
              </w:rPr>
              <w:t>隔声</w:t>
            </w:r>
            <w:r>
              <w:rPr>
                <w:rFonts w:hint="eastAsia"/>
                <w:sz w:val="24"/>
                <w:szCs w:val="24"/>
                <w:u w:val="single" w:color="auto"/>
                <w:lang w:eastAsia="zh-CN"/>
              </w:rPr>
              <w:t>、</w:t>
            </w:r>
            <w:r>
              <w:rPr>
                <w:rFonts w:hint="eastAsia"/>
                <w:sz w:val="24"/>
                <w:szCs w:val="24"/>
                <w:u w:val="single" w:color="auto"/>
                <w:lang w:val="en-US" w:eastAsia="zh-CN"/>
              </w:rPr>
              <w:t>限速</w:t>
            </w:r>
            <w:r>
              <w:rPr>
                <w:rFonts w:hint="eastAsia"/>
                <w:sz w:val="24"/>
                <w:szCs w:val="24"/>
                <w:u w:val="single" w:color="auto"/>
              </w:rPr>
              <w:t>禁</w:t>
            </w:r>
            <w:r>
              <w:rPr>
                <w:rFonts w:hint="eastAsia"/>
                <w:sz w:val="24"/>
                <w:szCs w:val="24"/>
                <w:u w:val="single" w:color="auto"/>
                <w:lang w:val="en-US" w:eastAsia="zh-CN"/>
              </w:rPr>
              <w:t>鸣，</w:t>
            </w:r>
            <w:r>
              <w:rPr>
                <w:rFonts w:hint="eastAsia"/>
                <w:sz w:val="24"/>
                <w:szCs w:val="24"/>
                <w:u w:val="single" w:color="auto"/>
              </w:rPr>
              <w:t>加强管理</w:t>
            </w:r>
          </w:p>
        </w:tc>
        <w:tc>
          <w:tcPr>
            <w:tcW w:w="2172" w:type="dxa"/>
            <w:vAlign w:val="center"/>
          </w:tcPr>
          <w:p w14:paraId="799ED6B5">
            <w:pPr>
              <w:pStyle w:val="7"/>
              <w:bidi w:val="0"/>
              <w:jc w:val="center"/>
              <w:rPr>
                <w:color w:val="auto"/>
                <w:sz w:val="24"/>
                <w:szCs w:val="24"/>
                <w:u w:val="single" w:color="auto"/>
              </w:rPr>
            </w:pPr>
            <w:r>
              <w:rPr>
                <w:rFonts w:hint="eastAsia"/>
                <w:color w:val="auto"/>
                <w:sz w:val="24"/>
                <w:szCs w:val="24"/>
                <w:u w:val="single" w:color="auto"/>
              </w:rPr>
              <w:t>《工业企业厂界环境噪声排放标准》（GB12348-2008）中的</w:t>
            </w:r>
            <w:r>
              <w:rPr>
                <w:rFonts w:hint="eastAsia"/>
                <w:color w:val="auto"/>
                <w:sz w:val="24"/>
                <w:szCs w:val="24"/>
                <w:u w:val="single" w:color="auto"/>
                <w:lang w:val="en-US" w:eastAsia="zh-CN"/>
              </w:rPr>
              <w:t>3类</w:t>
            </w:r>
            <w:r>
              <w:rPr>
                <w:rFonts w:hint="eastAsia"/>
                <w:color w:val="auto"/>
                <w:sz w:val="24"/>
                <w:szCs w:val="24"/>
                <w:u w:val="single" w:color="auto"/>
              </w:rPr>
              <w:t>标准</w:t>
            </w:r>
          </w:p>
        </w:tc>
      </w:tr>
      <w:tr w14:paraId="6484B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78" w:type="dxa"/>
            <w:vAlign w:val="center"/>
          </w:tcPr>
          <w:p w14:paraId="54475F89">
            <w:pPr>
              <w:pStyle w:val="7"/>
              <w:bidi w:val="0"/>
              <w:jc w:val="center"/>
              <w:rPr>
                <w:color w:val="auto"/>
                <w:sz w:val="24"/>
                <w:szCs w:val="24"/>
                <w:u w:val="none" w:color="auto"/>
              </w:rPr>
            </w:pPr>
            <w:r>
              <w:rPr>
                <w:color w:val="auto"/>
                <w:sz w:val="24"/>
                <w:szCs w:val="24"/>
                <w:u w:val="none" w:color="auto"/>
              </w:rPr>
              <w:t>固体</w:t>
            </w:r>
          </w:p>
          <w:p w14:paraId="706BDC69">
            <w:pPr>
              <w:pStyle w:val="7"/>
              <w:bidi w:val="0"/>
              <w:jc w:val="center"/>
              <w:rPr>
                <w:color w:val="4874CB" w:themeColor="accent1"/>
                <w:sz w:val="24"/>
                <w:szCs w:val="24"/>
                <w:u w:val="none" w:color="auto"/>
                <w14:textFill>
                  <w14:solidFill>
                    <w14:schemeClr w14:val="accent1"/>
                  </w14:solidFill>
                </w14:textFill>
              </w:rPr>
            </w:pPr>
            <w:r>
              <w:rPr>
                <w:color w:val="auto"/>
                <w:sz w:val="24"/>
                <w:szCs w:val="24"/>
                <w:u w:val="none" w:color="auto"/>
              </w:rPr>
              <w:t>废物</w:t>
            </w:r>
          </w:p>
        </w:tc>
        <w:tc>
          <w:tcPr>
            <w:tcW w:w="7822" w:type="dxa"/>
            <w:gridSpan w:val="4"/>
            <w:vAlign w:val="center"/>
          </w:tcPr>
          <w:p w14:paraId="5C586408">
            <w:pPr>
              <w:pStyle w:val="7"/>
              <w:bidi w:val="0"/>
              <w:jc w:val="center"/>
              <w:rPr>
                <w:color w:val="4874CB" w:themeColor="accent1"/>
                <w:sz w:val="24"/>
                <w:szCs w:val="24"/>
                <w:u w:val="none" w:color="auto"/>
                <w14:textFill>
                  <w14:solidFill>
                    <w14:schemeClr w14:val="accent1"/>
                  </w14:solidFill>
                </w14:textFill>
              </w:rPr>
            </w:pPr>
            <w:r>
              <w:rPr>
                <w:rFonts w:hint="eastAsia"/>
                <w:sz w:val="24"/>
                <w:szCs w:val="24"/>
              </w:rPr>
              <w:t>生活垃圾交由当地环卫部门处置</w:t>
            </w:r>
            <w:r>
              <w:rPr>
                <w:rFonts w:hint="eastAsia"/>
                <w:sz w:val="24"/>
                <w:szCs w:val="24"/>
                <w:lang w:eastAsia="zh-CN"/>
              </w:rPr>
              <w:t>；</w:t>
            </w:r>
            <w:r>
              <w:rPr>
                <w:rFonts w:hint="eastAsia"/>
                <w:sz w:val="24"/>
                <w:szCs w:val="24"/>
              </w:rPr>
              <w:t>废气除尘系统收集的烟尘</w:t>
            </w:r>
            <w:r>
              <w:rPr>
                <w:rFonts w:hint="eastAsia"/>
                <w:sz w:val="24"/>
                <w:szCs w:val="24"/>
                <w:lang w:val="en-US" w:eastAsia="zh-CN"/>
              </w:rPr>
              <w:t>以及沉淀池沉渣</w:t>
            </w:r>
            <w:r>
              <w:rPr>
                <w:rFonts w:hint="eastAsia"/>
                <w:sz w:val="24"/>
                <w:szCs w:val="24"/>
              </w:rPr>
              <w:t>全部回用于生产工序，不外排</w:t>
            </w:r>
            <w:r>
              <w:rPr>
                <w:rFonts w:hint="eastAsia"/>
                <w:sz w:val="24"/>
                <w:szCs w:val="24"/>
                <w:lang w:eastAsia="zh-CN"/>
              </w:rPr>
              <w:t>；</w:t>
            </w:r>
            <w:r>
              <w:rPr>
                <w:rFonts w:hint="eastAsia"/>
                <w:sz w:val="24"/>
                <w:szCs w:val="24"/>
              </w:rPr>
              <w:t>废编织袋</w:t>
            </w:r>
            <w:r>
              <w:rPr>
                <w:rFonts w:hint="default"/>
                <w:color w:val="auto"/>
                <w:sz w:val="24"/>
                <w:szCs w:val="24"/>
                <w:lang w:val="en-US" w:eastAsia="zh-CN"/>
              </w:rPr>
              <w:t>做</w:t>
            </w:r>
            <w:r>
              <w:rPr>
                <w:rFonts w:hint="eastAsia"/>
                <w:color w:val="auto"/>
                <w:sz w:val="24"/>
                <w:szCs w:val="24"/>
                <w:lang w:val="en-US" w:eastAsia="zh-CN"/>
              </w:rPr>
              <w:t>为</w:t>
            </w:r>
            <w:r>
              <w:rPr>
                <w:rFonts w:hint="default"/>
                <w:color w:val="auto"/>
                <w:sz w:val="24"/>
                <w:szCs w:val="24"/>
                <w:lang w:val="en-US" w:eastAsia="zh-CN"/>
              </w:rPr>
              <w:t>可回收垃圾外售处理</w:t>
            </w:r>
            <w:r>
              <w:rPr>
                <w:rFonts w:hint="eastAsia"/>
                <w:color w:val="auto"/>
                <w:sz w:val="24"/>
                <w:szCs w:val="24"/>
                <w:lang w:val="en-US" w:eastAsia="zh-CN"/>
              </w:rPr>
              <w:t>；</w:t>
            </w:r>
            <w:r>
              <w:rPr>
                <w:rFonts w:hint="eastAsia"/>
                <w:color w:val="auto"/>
                <w:sz w:val="24"/>
                <w:szCs w:val="24"/>
                <w:u w:val="none" w:color="auto"/>
                <w:lang w:val="en-US" w:eastAsia="zh-CN"/>
              </w:rPr>
              <w:t>废含油抹布及手套、废矿物油及包装桶暂存于危废暂存间，定期交由有资质的单位处置</w:t>
            </w:r>
            <w:r>
              <w:rPr>
                <w:rFonts w:hint="default"/>
                <w:color w:val="auto"/>
                <w:sz w:val="24"/>
                <w:szCs w:val="24"/>
                <w:lang w:val="en-US" w:eastAsia="zh-CN"/>
              </w:rPr>
              <w:t>。</w:t>
            </w:r>
          </w:p>
        </w:tc>
      </w:tr>
      <w:tr w14:paraId="6062C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78" w:type="dxa"/>
            <w:vAlign w:val="center"/>
          </w:tcPr>
          <w:p w14:paraId="38B52C48">
            <w:pPr>
              <w:pStyle w:val="7"/>
              <w:bidi w:val="0"/>
              <w:jc w:val="center"/>
              <w:rPr>
                <w:color w:val="auto"/>
                <w:sz w:val="24"/>
                <w:szCs w:val="24"/>
                <w:u w:val="none" w:color="auto"/>
              </w:rPr>
            </w:pPr>
            <w:r>
              <w:rPr>
                <w:color w:val="auto"/>
                <w:sz w:val="24"/>
                <w:szCs w:val="24"/>
                <w:u w:val="none" w:color="auto"/>
              </w:rPr>
              <w:t>土壤及地下水污染防治措施</w:t>
            </w:r>
          </w:p>
        </w:tc>
        <w:tc>
          <w:tcPr>
            <w:tcW w:w="7822" w:type="dxa"/>
            <w:gridSpan w:val="4"/>
            <w:vAlign w:val="center"/>
          </w:tcPr>
          <w:p w14:paraId="36528ECF">
            <w:pPr>
              <w:pStyle w:val="7"/>
              <w:bidi w:val="0"/>
              <w:jc w:val="center"/>
              <w:rPr>
                <w:color w:val="auto"/>
                <w:sz w:val="24"/>
                <w:szCs w:val="24"/>
                <w:u w:val="none" w:color="auto"/>
              </w:rPr>
            </w:pPr>
            <w:r>
              <w:rPr>
                <w:color w:val="auto"/>
                <w:sz w:val="24"/>
                <w:szCs w:val="24"/>
                <w:u w:val="none" w:color="auto"/>
              </w:rPr>
              <w:t>危废暂存间</w:t>
            </w:r>
            <w:r>
              <w:rPr>
                <w:rFonts w:hint="eastAsia"/>
                <w:color w:val="auto"/>
                <w:sz w:val="24"/>
                <w:szCs w:val="24"/>
                <w:u w:val="none" w:color="auto"/>
                <w:lang w:val="en-US" w:eastAsia="zh-CN"/>
              </w:rPr>
              <w:t>进行重点防渗，采取有效的</w:t>
            </w:r>
            <w:r>
              <w:rPr>
                <w:color w:val="auto"/>
                <w:sz w:val="24"/>
                <w:szCs w:val="24"/>
                <w:u w:val="none" w:color="auto"/>
              </w:rPr>
              <w:t>防雨、防渗漏、防溢流</w:t>
            </w:r>
            <w:r>
              <w:rPr>
                <w:rFonts w:hint="eastAsia"/>
                <w:color w:val="auto"/>
                <w:sz w:val="24"/>
                <w:szCs w:val="24"/>
                <w:u w:val="none" w:color="auto"/>
                <w:lang w:val="en-US" w:eastAsia="zh-CN"/>
              </w:rPr>
              <w:t>措施，加强危险废物收集、贮存的管理；生产车间地面、</w:t>
            </w:r>
            <w:r>
              <w:rPr>
                <w:rFonts w:hint="eastAsia"/>
                <w:b w:val="0"/>
                <w:bCs/>
                <w:color w:val="auto"/>
                <w:lang w:val="en-US" w:eastAsia="zh-CN"/>
              </w:rPr>
              <w:t>沉降槽</w:t>
            </w:r>
            <w:r>
              <w:rPr>
                <w:rFonts w:hint="eastAsia"/>
                <w:color w:val="auto"/>
                <w:sz w:val="24"/>
                <w:szCs w:val="24"/>
                <w:u w:val="none" w:color="auto"/>
              </w:rPr>
              <w:t>、</w:t>
            </w:r>
            <w:r>
              <w:rPr>
                <w:rFonts w:hint="eastAsia"/>
                <w:color w:val="auto"/>
                <w:sz w:val="24"/>
                <w:szCs w:val="24"/>
                <w:u w:val="none" w:color="auto"/>
                <w:lang w:val="en-US" w:eastAsia="zh-CN"/>
              </w:rPr>
              <w:t>化粪池</w:t>
            </w:r>
            <w:r>
              <w:rPr>
                <w:rFonts w:hint="eastAsia"/>
                <w:color w:val="auto"/>
                <w:sz w:val="24"/>
                <w:szCs w:val="24"/>
                <w:u w:val="none" w:color="auto"/>
                <w:lang w:eastAsia="zh-CN"/>
              </w:rPr>
              <w:t>采取</w:t>
            </w:r>
            <w:r>
              <w:rPr>
                <w:rFonts w:hint="eastAsia"/>
                <w:color w:val="auto"/>
                <w:sz w:val="24"/>
                <w:szCs w:val="24"/>
                <w:u w:val="none" w:color="auto"/>
                <w:lang w:val="en-US" w:eastAsia="zh-CN"/>
              </w:rPr>
              <w:t>一般</w:t>
            </w:r>
            <w:r>
              <w:rPr>
                <w:rFonts w:hint="eastAsia"/>
                <w:color w:val="auto"/>
                <w:sz w:val="24"/>
                <w:szCs w:val="24"/>
                <w:u w:val="none" w:color="auto"/>
                <w:lang w:eastAsia="zh-CN"/>
              </w:rPr>
              <w:t>防渗措施。</w:t>
            </w:r>
          </w:p>
        </w:tc>
      </w:tr>
      <w:tr w14:paraId="23A2D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78" w:type="dxa"/>
            <w:vAlign w:val="center"/>
          </w:tcPr>
          <w:p w14:paraId="30133DA0">
            <w:pPr>
              <w:pStyle w:val="7"/>
              <w:bidi w:val="0"/>
              <w:jc w:val="center"/>
              <w:rPr>
                <w:color w:val="auto"/>
                <w:sz w:val="24"/>
                <w:szCs w:val="24"/>
                <w:u w:val="none" w:color="auto"/>
              </w:rPr>
            </w:pPr>
            <w:r>
              <w:rPr>
                <w:color w:val="auto"/>
                <w:sz w:val="24"/>
                <w:szCs w:val="24"/>
                <w:u w:val="none" w:color="auto"/>
              </w:rPr>
              <w:t>环境风险防范措施</w:t>
            </w:r>
          </w:p>
        </w:tc>
        <w:tc>
          <w:tcPr>
            <w:tcW w:w="7822" w:type="dxa"/>
            <w:gridSpan w:val="4"/>
            <w:vAlign w:val="center"/>
          </w:tcPr>
          <w:p w14:paraId="795FE66D">
            <w:pPr>
              <w:pStyle w:val="7"/>
              <w:bidi w:val="0"/>
              <w:jc w:val="center"/>
              <w:rPr>
                <w:color w:val="auto"/>
                <w:sz w:val="24"/>
                <w:szCs w:val="24"/>
                <w:u w:val="none" w:color="auto"/>
              </w:rPr>
            </w:pPr>
            <w:r>
              <w:rPr>
                <w:rFonts w:hint="default"/>
                <w:color w:val="auto"/>
                <w:sz w:val="24"/>
                <w:szCs w:val="24"/>
                <w:u w:val="none" w:color="auto"/>
              </w:rPr>
              <w:t>①</w:t>
            </w:r>
            <w:r>
              <w:rPr>
                <w:rFonts w:hint="default"/>
                <w:color w:val="auto"/>
                <w:sz w:val="24"/>
                <w:szCs w:val="24"/>
                <w:u w:val="none" w:color="auto"/>
                <w:lang w:val="en-US" w:eastAsia="zh-CN"/>
              </w:rPr>
              <w:t>规范</w:t>
            </w:r>
            <w:r>
              <w:rPr>
                <w:rFonts w:hint="default"/>
                <w:color w:val="auto"/>
                <w:sz w:val="24"/>
                <w:szCs w:val="24"/>
                <w:u w:val="none" w:color="auto"/>
              </w:rPr>
              <w:t>沉淀池施工建设，对沉淀池进行加盖密闭处理，确保沉淀池体质量达标、满足收集处理要求，防止因池体质量不达标导致的池体破损。②加强人员管理，定期对沉淀池周围进行检查，预防风险事故的发生。③雨季期间，加强对自然天气状况的监控，发生暴雨等自然环境影响时，及时做好项目</w:t>
            </w:r>
            <w:r>
              <w:rPr>
                <w:rFonts w:hint="default"/>
                <w:color w:val="auto"/>
                <w:sz w:val="24"/>
                <w:szCs w:val="24"/>
                <w:u w:val="none" w:color="auto"/>
                <w:lang w:val="en-US" w:eastAsia="zh-CN"/>
              </w:rPr>
              <w:t>厂</w:t>
            </w:r>
            <w:r>
              <w:rPr>
                <w:rFonts w:hint="default"/>
                <w:color w:val="auto"/>
                <w:sz w:val="24"/>
                <w:szCs w:val="24"/>
                <w:u w:val="none" w:color="auto"/>
              </w:rPr>
              <w:t>区排水工程，防止沉淀池废水外溢情况发生。④设置有专人负责废气收集与处理设施的维修与保养工作。对出现</w:t>
            </w:r>
            <w:r>
              <w:rPr>
                <w:rFonts w:hint="default"/>
                <w:color w:val="auto"/>
                <w:sz w:val="24"/>
                <w:szCs w:val="24"/>
                <w:u w:val="none" w:color="auto"/>
                <w:lang w:val="en-US" w:eastAsia="zh-CN"/>
              </w:rPr>
              <w:t>故障的</w:t>
            </w:r>
            <w:r>
              <w:rPr>
                <w:rFonts w:hint="default"/>
                <w:color w:val="auto"/>
                <w:sz w:val="24"/>
                <w:szCs w:val="24"/>
                <w:u w:val="none" w:color="auto"/>
              </w:rPr>
              <w:t>废气处理设施进行排查，分析故障原因，对破损</w:t>
            </w:r>
            <w:r>
              <w:rPr>
                <w:rFonts w:hint="default"/>
                <w:color w:val="auto"/>
                <w:sz w:val="24"/>
                <w:szCs w:val="24"/>
                <w:u w:val="none" w:color="auto"/>
                <w:lang w:eastAsia="zh-CN"/>
              </w:rPr>
              <w:t>部位</w:t>
            </w:r>
            <w:r>
              <w:rPr>
                <w:rFonts w:hint="default"/>
                <w:color w:val="auto"/>
                <w:sz w:val="24"/>
                <w:szCs w:val="24"/>
                <w:u w:val="none" w:color="auto"/>
              </w:rPr>
              <w:t>进行修补。待废气处理装置恢复正常后，方可再投入生产。⑤</w:t>
            </w:r>
            <w:r>
              <w:rPr>
                <w:rFonts w:hint="eastAsia"/>
                <w:color w:val="auto"/>
                <w:sz w:val="24"/>
                <w:szCs w:val="24"/>
                <w:u w:val="none" w:color="auto"/>
                <w:lang w:val="en-US" w:eastAsia="zh-CN"/>
              </w:rPr>
              <w:t>危废暂存间地面采取硬化和重点防渗。一旦出现</w:t>
            </w:r>
            <w:r>
              <w:rPr>
                <w:color w:val="auto"/>
                <w:sz w:val="24"/>
                <w:szCs w:val="24"/>
                <w:u w:val="none" w:color="auto"/>
              </w:rPr>
              <w:t>泄漏现象，</w:t>
            </w:r>
            <w:r>
              <w:rPr>
                <w:color w:val="auto"/>
                <w:sz w:val="24"/>
                <w:szCs w:val="24"/>
                <w:u w:val="none" w:color="auto"/>
                <w:lang w:val="zh-CN"/>
              </w:rPr>
              <w:t>及时控制泄漏点，</w:t>
            </w:r>
            <w:r>
              <w:rPr>
                <w:rFonts w:hint="eastAsia"/>
                <w:color w:val="auto"/>
                <w:sz w:val="24"/>
                <w:szCs w:val="24"/>
                <w:u w:val="none" w:color="auto"/>
                <w:lang w:val="en-US" w:eastAsia="zh-CN"/>
              </w:rPr>
              <w:t>并</w:t>
            </w:r>
            <w:r>
              <w:rPr>
                <w:color w:val="auto"/>
                <w:sz w:val="24"/>
                <w:szCs w:val="24"/>
                <w:u w:val="none" w:color="auto"/>
              </w:rPr>
              <w:t>更换盛装容器</w:t>
            </w:r>
            <w:r>
              <w:rPr>
                <w:rFonts w:hint="eastAsia"/>
                <w:color w:val="auto"/>
                <w:sz w:val="24"/>
                <w:szCs w:val="24"/>
                <w:u w:val="none" w:color="auto"/>
                <w:lang w:eastAsia="zh-CN"/>
              </w:rPr>
              <w:t>，</w:t>
            </w:r>
            <w:r>
              <w:rPr>
                <w:color w:val="auto"/>
                <w:sz w:val="24"/>
                <w:szCs w:val="24"/>
                <w:u w:val="none" w:color="auto"/>
                <w:lang w:val="zh-CN"/>
              </w:rPr>
              <w:t>将泄漏的</w:t>
            </w:r>
            <w:r>
              <w:rPr>
                <w:rFonts w:hint="eastAsia"/>
                <w:color w:val="auto"/>
                <w:sz w:val="24"/>
                <w:szCs w:val="24"/>
                <w:u w:val="none" w:color="auto"/>
                <w:lang w:val="en-US" w:eastAsia="zh-CN"/>
              </w:rPr>
              <w:t>废矿物油</w:t>
            </w:r>
            <w:r>
              <w:rPr>
                <w:color w:val="auto"/>
                <w:sz w:val="24"/>
                <w:szCs w:val="24"/>
                <w:u w:val="none" w:color="auto"/>
                <w:lang w:val="zh-CN"/>
              </w:rPr>
              <w:t>采用专门的容器收集，及时清理或清洗泄漏的地点</w:t>
            </w:r>
            <w:r>
              <w:rPr>
                <w:rFonts w:hint="eastAsia"/>
                <w:color w:val="auto"/>
                <w:sz w:val="24"/>
                <w:szCs w:val="24"/>
                <w:u w:val="none" w:color="auto"/>
                <w:lang w:val="zh-CN"/>
              </w:rPr>
              <w:t>，</w:t>
            </w:r>
            <w:r>
              <w:rPr>
                <w:rFonts w:hint="eastAsia"/>
                <w:color w:val="auto"/>
                <w:sz w:val="24"/>
                <w:szCs w:val="24"/>
                <w:u w:val="none" w:color="auto"/>
                <w:lang w:val="en-US" w:eastAsia="zh-CN"/>
              </w:rPr>
              <w:t>防止废矿物油漫流或下渗</w:t>
            </w:r>
            <w:r>
              <w:rPr>
                <w:color w:val="auto"/>
                <w:sz w:val="24"/>
                <w:szCs w:val="24"/>
                <w:u w:val="none" w:color="auto"/>
              </w:rPr>
              <w:t>。</w:t>
            </w:r>
          </w:p>
        </w:tc>
      </w:tr>
      <w:tr w14:paraId="08F2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 w:hRule="atLeast"/>
          <w:jc w:val="center"/>
        </w:trPr>
        <w:tc>
          <w:tcPr>
            <w:tcW w:w="978" w:type="dxa"/>
            <w:vAlign w:val="center"/>
          </w:tcPr>
          <w:p w14:paraId="7283F153">
            <w:pPr>
              <w:pStyle w:val="7"/>
              <w:bidi w:val="0"/>
              <w:jc w:val="center"/>
              <w:rPr>
                <w:color w:val="4874CB" w:themeColor="accent1"/>
                <w:sz w:val="24"/>
                <w:szCs w:val="24"/>
                <w:u w:val="none" w:color="auto"/>
                <w14:textFill>
                  <w14:solidFill>
                    <w14:schemeClr w14:val="accent1"/>
                  </w14:solidFill>
                </w14:textFill>
              </w:rPr>
            </w:pPr>
            <w:r>
              <w:rPr>
                <w:color w:val="auto"/>
                <w:sz w:val="24"/>
                <w:szCs w:val="24"/>
                <w:u w:val="none" w:color="auto"/>
              </w:rPr>
              <w:t>其他环境管理要求</w:t>
            </w:r>
          </w:p>
        </w:tc>
        <w:tc>
          <w:tcPr>
            <w:tcW w:w="7822" w:type="dxa"/>
            <w:gridSpan w:val="4"/>
            <w:vAlign w:val="center"/>
          </w:tcPr>
          <w:p w14:paraId="4B1B640E">
            <w:pPr>
              <w:pStyle w:val="7"/>
              <w:bidi w:val="0"/>
              <w:ind w:firstLine="480" w:firstLineChars="200"/>
              <w:jc w:val="both"/>
              <w:rPr>
                <w:rFonts w:hint="default"/>
                <w:color w:val="auto"/>
                <w:sz w:val="24"/>
                <w:szCs w:val="24"/>
                <w:u w:val="none" w:color="auto"/>
              </w:rPr>
            </w:pPr>
            <w:r>
              <w:rPr>
                <w:rFonts w:hint="default"/>
                <w:color w:val="auto"/>
                <w:sz w:val="24"/>
                <w:szCs w:val="24"/>
                <w:u w:val="none" w:color="auto"/>
              </w:rPr>
              <w:t>①环境管理</w:t>
            </w:r>
          </w:p>
          <w:p w14:paraId="03751D26">
            <w:pPr>
              <w:pStyle w:val="7"/>
              <w:bidi w:val="0"/>
              <w:ind w:firstLine="480" w:firstLineChars="200"/>
              <w:jc w:val="both"/>
              <w:rPr>
                <w:rFonts w:hint="default"/>
                <w:color w:val="auto"/>
                <w:sz w:val="24"/>
                <w:szCs w:val="24"/>
                <w:u w:val="none" w:color="auto"/>
              </w:rPr>
            </w:pPr>
            <w:r>
              <w:rPr>
                <w:rFonts w:hint="default"/>
                <w:color w:val="auto"/>
                <w:sz w:val="24"/>
                <w:szCs w:val="24"/>
                <w:u w:val="none" w:color="auto"/>
              </w:rPr>
              <w:t>根据</w:t>
            </w:r>
            <w:r>
              <w:rPr>
                <w:rFonts w:hint="eastAsia"/>
                <w:color w:val="auto"/>
                <w:sz w:val="24"/>
                <w:szCs w:val="24"/>
                <w:u w:val="none" w:color="auto"/>
                <w:lang w:eastAsia="zh-CN"/>
              </w:rPr>
              <w:t>《</w:t>
            </w:r>
            <w:r>
              <w:rPr>
                <w:rFonts w:hint="eastAsia"/>
                <w:color w:val="auto"/>
                <w:sz w:val="24"/>
                <w:szCs w:val="24"/>
                <w:u w:val="none" w:color="auto"/>
                <w:lang w:val="en-US" w:eastAsia="zh-CN"/>
              </w:rPr>
              <w:t>排污单位污染物排放口监测点位技术规范</w:t>
            </w:r>
            <w:r>
              <w:rPr>
                <w:rFonts w:hint="eastAsia"/>
                <w:color w:val="auto"/>
                <w:sz w:val="24"/>
                <w:szCs w:val="24"/>
                <w:u w:val="none" w:color="auto"/>
                <w:lang w:eastAsia="zh-CN"/>
              </w:rPr>
              <w:t>》（</w:t>
            </w:r>
            <w:r>
              <w:rPr>
                <w:rFonts w:hint="eastAsia"/>
                <w:color w:val="auto"/>
                <w:sz w:val="24"/>
                <w:szCs w:val="24"/>
                <w:u w:val="none" w:color="auto"/>
                <w:lang w:val="en-US" w:eastAsia="zh-CN"/>
              </w:rPr>
              <w:t>HJ 1045-2024</w:t>
            </w:r>
            <w:r>
              <w:rPr>
                <w:rFonts w:hint="eastAsia"/>
                <w:color w:val="auto"/>
                <w:sz w:val="24"/>
                <w:szCs w:val="24"/>
                <w:u w:val="none" w:color="auto"/>
                <w:lang w:eastAsia="zh-CN"/>
              </w:rPr>
              <w:t>）、</w:t>
            </w:r>
            <w:r>
              <w:rPr>
                <w:rFonts w:hint="default"/>
                <w:color w:val="auto"/>
                <w:sz w:val="24"/>
                <w:szCs w:val="24"/>
                <w:u w:val="none" w:color="auto"/>
              </w:rPr>
              <w:t>《关于开展排放口规范化整治工作的通知》（国家环境保护总局环发[1999]24号）</w:t>
            </w:r>
            <w:r>
              <w:rPr>
                <w:rFonts w:hint="eastAsia"/>
                <w:color w:val="auto"/>
                <w:sz w:val="24"/>
                <w:szCs w:val="24"/>
                <w:u w:val="none" w:color="auto"/>
                <w:lang w:val="en-US" w:eastAsia="zh-CN"/>
              </w:rPr>
              <w:t>以及</w:t>
            </w:r>
            <w:r>
              <w:rPr>
                <w:rFonts w:hint="default"/>
                <w:color w:val="auto"/>
                <w:sz w:val="24"/>
                <w:szCs w:val="24"/>
                <w:u w:val="none" w:color="auto"/>
              </w:rPr>
              <w:t>《排放口规范化整治技术》（国家环境保护总局环发[1999]24号文</w:t>
            </w:r>
            <w:r>
              <w:rPr>
                <w:rFonts w:hint="eastAsia"/>
                <w:color w:val="auto"/>
                <w:sz w:val="24"/>
                <w:szCs w:val="24"/>
                <w:u w:val="none" w:color="auto"/>
                <w:lang w:val="en-US" w:eastAsia="zh-CN"/>
              </w:rPr>
              <w:t xml:space="preserve"> </w:t>
            </w:r>
            <w:r>
              <w:rPr>
                <w:rFonts w:hint="default"/>
                <w:color w:val="auto"/>
                <w:sz w:val="24"/>
                <w:szCs w:val="24"/>
                <w:u w:val="none" w:color="auto"/>
              </w:rPr>
              <w:t>附件二）：一切新建、改建的排污单位以及限期治理的排污单位，必须在建设污染治理设施的同时，建设规范化排污口。项目工程投产时，各类排污口必须规范化建设和管理，而且规范化工作应与污染治理同步实施，即治理设施完工时，规范化工作必须同时完成，并列入污染物治理设施的验收内容。</w:t>
            </w:r>
          </w:p>
          <w:p w14:paraId="371F49B4">
            <w:pPr>
              <w:pStyle w:val="7"/>
              <w:bidi w:val="0"/>
              <w:ind w:firstLine="480" w:firstLineChars="200"/>
              <w:jc w:val="both"/>
              <w:rPr>
                <w:rFonts w:hint="default"/>
                <w:color w:val="auto"/>
                <w:sz w:val="24"/>
                <w:szCs w:val="24"/>
                <w:u w:val="none" w:color="auto"/>
              </w:rPr>
            </w:pPr>
            <w:r>
              <w:rPr>
                <w:rFonts w:hint="default"/>
                <w:color w:val="auto"/>
                <w:sz w:val="24"/>
                <w:szCs w:val="24"/>
                <w:u w:val="none" w:color="auto"/>
              </w:rPr>
              <w:t>企业污染物排放口（源）及固体废物贮存、堆放场必须按照国家标准《环境保护图形标志》（GB15562.1-1995）</w:t>
            </w:r>
            <w:r>
              <w:rPr>
                <w:rFonts w:hint="eastAsia"/>
                <w:color w:val="auto"/>
                <w:sz w:val="24"/>
                <w:szCs w:val="24"/>
                <w:u w:val="none" w:color="auto"/>
                <w:lang w:val="en-US" w:eastAsia="zh-CN"/>
              </w:rPr>
              <w:t>以及</w:t>
            </w:r>
            <w:r>
              <w:rPr>
                <w:rFonts w:hint="eastAsia"/>
                <w:color w:val="auto"/>
              </w:rPr>
              <w:fldChar w:fldCharType="begin"/>
            </w:r>
            <w:r>
              <w:rPr>
                <w:rFonts w:hint="eastAsia"/>
                <w:color w:val="auto"/>
              </w:rPr>
              <w:instrText xml:space="preserve"> HYPERLINK "https://www.mee.gov.cn/xxgk2018/xxgk/xxgk01/202302/W020230224719650513549.pdf" </w:instrText>
            </w:r>
            <w:r>
              <w:rPr>
                <w:rFonts w:hint="eastAsia"/>
                <w:color w:val="auto"/>
              </w:rPr>
              <w:fldChar w:fldCharType="separate"/>
            </w:r>
            <w:r>
              <w:rPr>
                <w:rFonts w:hint="eastAsia"/>
                <w:color w:val="auto"/>
              </w:rPr>
              <w:t>《环境保护图形标志—固体废物贮存（处置）场》（GB 15562.2-1995）</w:t>
            </w:r>
            <w:r>
              <w:rPr>
                <w:rFonts w:hint="eastAsia"/>
                <w:color w:val="auto"/>
                <w:lang w:val="en-US" w:eastAsia="zh-CN"/>
              </w:rPr>
              <w:t>修改单中</w:t>
            </w:r>
            <w:r>
              <w:rPr>
                <w:rFonts w:hint="eastAsia"/>
                <w:color w:val="auto"/>
              </w:rPr>
              <w:fldChar w:fldCharType="end"/>
            </w:r>
            <w:r>
              <w:rPr>
                <w:rFonts w:hint="default"/>
                <w:color w:val="auto"/>
                <w:sz w:val="24"/>
                <w:szCs w:val="24"/>
                <w:u w:val="none" w:color="auto"/>
              </w:rPr>
              <w:t>的规定设置与之相适应的环境保护图形标志牌，环境保护图形标志牌设置位置应距污染物排放口（源）、固体废物贮存（堆放）场或采样点较近且醒目处，并能长久保留。建设单位必须对排污口进行规范化建设，设立排放口标志，标志牌应注明污染物名称以警示周围群众。建设单位应将相关排污情况，如：排污口的性质、编号、排污口的位置以及主要排放的污染物种类、数量、浓度、排放规律及污染治理设施的运行情况等进行建档管理。</w:t>
            </w:r>
          </w:p>
          <w:p w14:paraId="2C59DA02">
            <w:pPr>
              <w:pStyle w:val="7"/>
              <w:bidi w:val="0"/>
              <w:ind w:firstLine="480" w:firstLineChars="200"/>
              <w:jc w:val="both"/>
              <w:rPr>
                <w:rFonts w:hint="eastAsia"/>
                <w:color w:val="auto"/>
                <w:sz w:val="24"/>
                <w:szCs w:val="24"/>
                <w:u w:val="none" w:color="auto"/>
                <w:lang w:val="en-US" w:eastAsia="zh-CN"/>
              </w:rPr>
            </w:pPr>
            <w:r>
              <w:rPr>
                <w:rFonts w:hint="default"/>
                <w:color w:val="auto"/>
                <w:sz w:val="24"/>
                <w:szCs w:val="24"/>
                <w:u w:val="none" w:color="auto"/>
              </w:rPr>
              <w:t>②</w:t>
            </w:r>
            <w:r>
              <w:rPr>
                <w:rFonts w:hint="eastAsia"/>
                <w:color w:val="auto"/>
                <w:sz w:val="24"/>
                <w:szCs w:val="24"/>
                <w:u w:val="none" w:color="auto"/>
                <w:lang w:val="en-US" w:eastAsia="zh-CN"/>
              </w:rPr>
              <w:t>排污许可</w:t>
            </w:r>
          </w:p>
          <w:p w14:paraId="6249D16F">
            <w:pPr>
              <w:pStyle w:val="7"/>
              <w:bidi w:val="0"/>
              <w:ind w:firstLine="480" w:firstLineChars="200"/>
              <w:jc w:val="both"/>
              <w:rPr>
                <w:rFonts w:hint="default"/>
                <w:color w:val="auto"/>
                <w:sz w:val="24"/>
                <w:szCs w:val="24"/>
                <w:u w:val="none" w:color="auto"/>
              </w:rPr>
            </w:pPr>
            <w:r>
              <w:rPr>
                <w:color w:val="auto"/>
              </w:rPr>
              <w:t>根据《排污许可证申请与核发技术规范</w:t>
            </w:r>
            <w:r>
              <w:rPr>
                <w:rFonts w:hint="eastAsia"/>
                <w:color w:val="auto"/>
              </w:rPr>
              <w:t xml:space="preserve">  </w:t>
            </w:r>
            <w:r>
              <w:rPr>
                <w:color w:val="auto"/>
              </w:rPr>
              <w:t>总则》（HJ942-2018）、《排污许可管理办法》及</w:t>
            </w:r>
            <w:r>
              <w:rPr>
                <w:color w:val="auto"/>
                <w:highlight w:val="none"/>
              </w:rPr>
              <w:t>《</w:t>
            </w:r>
            <w:r>
              <w:rPr>
                <w:rFonts w:hint="eastAsia"/>
                <w:color w:val="auto"/>
                <w:highlight w:val="none"/>
                <w:lang w:val="en-US" w:eastAsia="zh-CN"/>
              </w:rPr>
              <w:t>2020年纳入排污许可管理的行业和管理类别表</w:t>
            </w:r>
            <w:r>
              <w:rPr>
                <w:color w:val="auto"/>
                <w:highlight w:val="none"/>
              </w:rPr>
              <w:t>》</w:t>
            </w:r>
            <w:r>
              <w:rPr>
                <w:rFonts w:hint="default"/>
                <w:color w:val="auto"/>
                <w:sz w:val="24"/>
                <w:szCs w:val="24"/>
                <w:u w:val="none" w:color="auto"/>
              </w:rPr>
              <w:t>，本项目</w:t>
            </w:r>
            <w:r>
              <w:rPr>
                <w:rFonts w:hint="eastAsia"/>
                <w:color w:val="auto"/>
                <w:sz w:val="24"/>
                <w:szCs w:val="24"/>
                <w:u w:val="none" w:color="auto"/>
                <w:lang w:val="en-US" w:eastAsia="zh-CN"/>
              </w:rPr>
              <w:t>属于</w:t>
            </w:r>
            <w:r>
              <w:rPr>
                <w:rFonts w:hint="default" w:ascii="Times New Roman" w:hAnsi="Times New Roman" w:eastAsia="宋体" w:cs="Times New Roman"/>
                <w:color w:val="auto"/>
                <w:szCs w:val="21"/>
                <w:u w:val="none" w:color="auto"/>
                <w:lang w:val="en-US" w:eastAsia="zh-CN"/>
              </w:rPr>
              <w:t>二十</w:t>
            </w:r>
            <w:r>
              <w:rPr>
                <w:rFonts w:hint="eastAsia" w:cs="Times New Roman"/>
                <w:color w:val="auto"/>
                <w:szCs w:val="21"/>
                <w:u w:val="none" w:color="auto"/>
                <w:lang w:val="en-US" w:eastAsia="zh-CN"/>
              </w:rPr>
              <w:t>三</w:t>
            </w:r>
            <w:r>
              <w:rPr>
                <w:rFonts w:hint="default" w:ascii="Times New Roman" w:hAnsi="Times New Roman" w:eastAsia="宋体" w:cs="Times New Roman"/>
                <w:color w:val="auto"/>
                <w:szCs w:val="21"/>
                <w:u w:val="none" w:color="auto"/>
                <w:lang w:val="en-US" w:eastAsia="zh-CN"/>
              </w:rPr>
              <w:t>、</w:t>
            </w:r>
            <w:r>
              <w:rPr>
                <w:rFonts w:hint="eastAsia" w:cs="Times New Roman"/>
                <w:color w:val="auto"/>
                <w:szCs w:val="21"/>
                <w:u w:val="none" w:color="auto"/>
                <w:lang w:val="en-US" w:eastAsia="zh-CN"/>
              </w:rPr>
              <w:t>化学原料和化学制品制造业 45</w:t>
            </w:r>
            <w:r>
              <w:rPr>
                <w:rFonts w:hint="default" w:ascii="Times New Roman" w:hAnsi="Times New Roman" w:eastAsia="宋体" w:cs="Times New Roman"/>
                <w:color w:val="auto"/>
                <w:szCs w:val="21"/>
                <w:u w:val="none" w:color="auto"/>
                <w:lang w:val="en-US" w:eastAsia="zh-CN"/>
              </w:rPr>
              <w:t xml:space="preserve"> </w:t>
            </w:r>
            <w:r>
              <w:rPr>
                <w:rFonts w:hint="eastAsia" w:cs="Times New Roman"/>
                <w:color w:val="auto"/>
                <w:szCs w:val="21"/>
                <w:u w:val="none" w:color="auto"/>
                <w:lang w:val="en-US" w:eastAsia="zh-CN"/>
              </w:rPr>
              <w:t>肥料制造 262 其它类别</w:t>
            </w:r>
            <w:r>
              <w:rPr>
                <w:rFonts w:hint="default"/>
                <w:color w:val="auto"/>
                <w:sz w:val="24"/>
                <w:szCs w:val="24"/>
                <w:u w:val="none" w:color="auto"/>
              </w:rPr>
              <w:t>，</w:t>
            </w:r>
            <w:r>
              <w:rPr>
                <w:rFonts w:hint="eastAsia"/>
                <w:color w:val="auto"/>
                <w:sz w:val="24"/>
                <w:szCs w:val="24"/>
                <w:u w:val="none" w:color="auto"/>
                <w:lang w:val="en-US" w:eastAsia="zh-CN"/>
              </w:rPr>
              <w:t>本项目产品为复混、掺混肥料，</w:t>
            </w:r>
            <w:r>
              <w:rPr>
                <w:rFonts w:hint="default"/>
                <w:color w:val="auto"/>
                <w:sz w:val="24"/>
                <w:szCs w:val="24"/>
                <w:u w:val="none" w:color="auto"/>
              </w:rPr>
              <w:t>属于</w:t>
            </w:r>
            <w:r>
              <w:rPr>
                <w:rFonts w:hint="default" w:ascii="Times New Roman" w:hAnsi="Times New Roman" w:eastAsia="宋体" w:cs="Times New Roman"/>
                <w:color w:val="auto"/>
                <w:szCs w:val="21"/>
                <w:u w:val="none" w:color="auto"/>
                <w:lang w:val="en-US"/>
              </w:rPr>
              <w:t>C</w:t>
            </w:r>
            <w:r>
              <w:rPr>
                <w:rFonts w:hint="eastAsia" w:cs="Times New Roman"/>
                <w:color w:val="auto"/>
                <w:szCs w:val="21"/>
                <w:u w:val="none" w:color="auto"/>
                <w:lang w:val="en-US" w:eastAsia="zh-CN"/>
              </w:rPr>
              <w:t>2624</w:t>
            </w:r>
            <w:r>
              <w:rPr>
                <w:rFonts w:hint="default" w:ascii="Times New Roman" w:hAnsi="Times New Roman" w:eastAsia="宋体" w:cs="Times New Roman"/>
                <w:color w:val="auto"/>
                <w:szCs w:val="21"/>
                <w:u w:val="none" w:color="auto"/>
                <w:lang w:val="en-US"/>
              </w:rPr>
              <w:t xml:space="preserve"> </w:t>
            </w:r>
            <w:r>
              <w:rPr>
                <w:rFonts w:hint="eastAsia" w:cs="Times New Roman"/>
                <w:color w:val="auto"/>
                <w:szCs w:val="21"/>
                <w:u w:val="none" w:color="auto"/>
                <w:lang w:val="en-US" w:eastAsia="zh-CN"/>
              </w:rPr>
              <w:t>复混肥料</w:t>
            </w:r>
            <w:r>
              <w:rPr>
                <w:rFonts w:hint="default" w:ascii="Times New Roman" w:hAnsi="Times New Roman" w:eastAsia="宋体" w:cs="Times New Roman"/>
                <w:color w:val="auto"/>
                <w:szCs w:val="21"/>
                <w:u w:val="none" w:color="auto"/>
                <w:lang w:val="en-US"/>
              </w:rPr>
              <w:t>制造</w:t>
            </w:r>
            <w:r>
              <w:rPr>
                <w:rFonts w:hint="eastAsia"/>
                <w:color w:val="auto"/>
                <w:sz w:val="24"/>
                <w:szCs w:val="24"/>
                <w:u w:val="none" w:color="auto"/>
                <w:lang w:eastAsia="zh-CN"/>
              </w:rPr>
              <w:t>，</w:t>
            </w:r>
            <w:r>
              <w:rPr>
                <w:rFonts w:hint="eastAsia"/>
                <w:color w:val="auto"/>
                <w:sz w:val="24"/>
                <w:szCs w:val="24"/>
                <w:u w:val="none" w:color="auto"/>
                <w:lang w:val="en-US" w:eastAsia="zh-CN"/>
              </w:rPr>
              <w:t>为</w:t>
            </w:r>
            <w:r>
              <w:rPr>
                <w:rFonts w:hint="eastAsia"/>
                <w:color w:val="auto"/>
                <w:sz w:val="24"/>
                <w:szCs w:val="24"/>
                <w:u w:val="none" w:color="auto"/>
                <w:lang w:eastAsia="zh-CN"/>
              </w:rPr>
              <w:t>“</w:t>
            </w:r>
            <w:r>
              <w:rPr>
                <w:rFonts w:hint="default"/>
                <w:color w:val="auto"/>
                <w:sz w:val="24"/>
                <w:szCs w:val="24"/>
                <w:u w:val="none" w:color="auto"/>
              </w:rPr>
              <w:t>登记管理</w:t>
            </w:r>
            <w:r>
              <w:rPr>
                <w:rFonts w:hint="eastAsia"/>
                <w:color w:val="auto"/>
                <w:sz w:val="24"/>
                <w:szCs w:val="24"/>
                <w:u w:val="none" w:color="auto"/>
                <w:lang w:eastAsia="zh-CN"/>
              </w:rPr>
              <w:t>”</w:t>
            </w:r>
            <w:r>
              <w:rPr>
                <w:rFonts w:hint="default"/>
                <w:color w:val="auto"/>
                <w:sz w:val="24"/>
                <w:szCs w:val="24"/>
                <w:u w:val="none" w:color="auto"/>
              </w:rPr>
              <w:t>。</w:t>
            </w:r>
          </w:p>
          <w:p w14:paraId="6C4EDC55">
            <w:pPr>
              <w:pStyle w:val="7"/>
              <w:bidi w:val="0"/>
              <w:ind w:firstLine="480" w:firstLineChars="200"/>
              <w:jc w:val="both"/>
              <w:rPr>
                <w:rFonts w:hint="default"/>
                <w:color w:val="auto"/>
                <w:sz w:val="24"/>
                <w:szCs w:val="24"/>
                <w:u w:val="none" w:color="auto"/>
                <w:lang w:eastAsia="zh-CN"/>
              </w:rPr>
            </w:pPr>
            <w:r>
              <w:rPr>
                <w:rFonts w:hint="default"/>
                <w:color w:val="auto"/>
                <w:sz w:val="24"/>
                <w:szCs w:val="24"/>
                <w:u w:val="none" w:color="auto"/>
                <w:lang w:val="en-US" w:eastAsia="zh-CN"/>
              </w:rPr>
              <w:t>根据</w:t>
            </w:r>
            <w:r>
              <w:rPr>
                <w:rFonts w:hint="default"/>
                <w:color w:val="auto"/>
                <w:sz w:val="24"/>
                <w:szCs w:val="24"/>
                <w:u w:val="none" w:color="auto"/>
              </w:rPr>
              <w:t>《排污许可证申请与核发技术规范</w:t>
            </w:r>
            <w:r>
              <w:rPr>
                <w:rFonts w:hint="default"/>
                <w:color w:val="auto"/>
                <w:sz w:val="24"/>
                <w:szCs w:val="24"/>
                <w:u w:val="none" w:color="auto"/>
                <w:lang w:val="en-US" w:eastAsia="zh-CN"/>
              </w:rPr>
              <w:t xml:space="preserve"> </w:t>
            </w:r>
            <w:r>
              <w:rPr>
                <w:rFonts w:hint="default"/>
                <w:color w:val="auto"/>
                <w:sz w:val="24"/>
                <w:szCs w:val="24"/>
                <w:u w:val="none" w:color="auto"/>
              </w:rPr>
              <w:t>总则》（HJ942-2018）、《排污单位自行监测技术指南 总则》（HJ819-2017）</w:t>
            </w:r>
            <w:r>
              <w:rPr>
                <w:rFonts w:hint="default"/>
                <w:color w:val="auto"/>
                <w:sz w:val="24"/>
                <w:szCs w:val="24"/>
                <w:u w:val="none" w:color="auto"/>
                <w:lang w:val="en-US" w:eastAsia="zh-CN"/>
              </w:rPr>
              <w:t>要求</w:t>
            </w:r>
            <w:r>
              <w:rPr>
                <w:rFonts w:hint="default"/>
                <w:color w:val="auto"/>
                <w:sz w:val="24"/>
                <w:szCs w:val="24"/>
                <w:u w:val="none" w:color="auto"/>
                <w:lang w:eastAsia="zh-CN"/>
              </w:rPr>
              <w:t>，</w:t>
            </w:r>
            <w:r>
              <w:rPr>
                <w:rFonts w:hint="default"/>
                <w:color w:val="auto"/>
                <w:sz w:val="24"/>
                <w:szCs w:val="24"/>
                <w:u w:val="none" w:color="auto"/>
              </w:rPr>
              <w:t>项目</w:t>
            </w:r>
            <w:r>
              <w:rPr>
                <w:rFonts w:hint="default"/>
                <w:color w:val="auto"/>
                <w:sz w:val="24"/>
                <w:szCs w:val="24"/>
                <w:u w:val="none" w:color="auto"/>
                <w:lang w:val="en-US" w:eastAsia="zh-CN"/>
              </w:rPr>
              <w:t>在排污前须</w:t>
            </w:r>
            <w:r>
              <w:rPr>
                <w:rFonts w:hint="eastAsia"/>
                <w:color w:val="auto"/>
                <w:sz w:val="24"/>
                <w:szCs w:val="24"/>
                <w:u w:val="none" w:color="auto"/>
                <w:lang w:val="en-US" w:eastAsia="zh-CN"/>
              </w:rPr>
              <w:t>依法</w:t>
            </w:r>
            <w:r>
              <w:rPr>
                <w:rFonts w:hint="default"/>
                <w:color w:val="auto"/>
                <w:sz w:val="24"/>
                <w:szCs w:val="24"/>
                <w:u w:val="none" w:color="auto"/>
                <w:lang w:val="en-US" w:eastAsia="zh-CN"/>
              </w:rPr>
              <w:t>履行排污许可</w:t>
            </w:r>
            <w:r>
              <w:rPr>
                <w:rFonts w:hint="eastAsia"/>
                <w:color w:val="auto"/>
                <w:sz w:val="24"/>
                <w:szCs w:val="24"/>
                <w:u w:val="none" w:color="auto"/>
                <w:lang w:val="en-US" w:eastAsia="zh-CN"/>
              </w:rPr>
              <w:t>登记</w:t>
            </w:r>
            <w:r>
              <w:rPr>
                <w:rFonts w:hint="default"/>
                <w:color w:val="auto"/>
                <w:sz w:val="24"/>
                <w:szCs w:val="24"/>
                <w:u w:val="none" w:color="auto"/>
                <w:lang w:val="en-US" w:eastAsia="zh-CN"/>
              </w:rPr>
              <w:t>手续</w:t>
            </w:r>
            <w:r>
              <w:rPr>
                <w:rFonts w:hint="default"/>
                <w:color w:val="auto"/>
                <w:sz w:val="24"/>
                <w:szCs w:val="24"/>
                <w:u w:val="none" w:color="auto"/>
                <w:lang w:eastAsia="zh-CN"/>
              </w:rPr>
              <w:t>。</w:t>
            </w:r>
          </w:p>
          <w:p w14:paraId="1EDED488">
            <w:pPr>
              <w:pStyle w:val="7"/>
              <w:bidi w:val="0"/>
              <w:ind w:firstLine="480" w:firstLineChars="200"/>
              <w:jc w:val="both"/>
              <w:rPr>
                <w:rFonts w:hint="default"/>
                <w:color w:val="auto"/>
                <w:sz w:val="24"/>
                <w:szCs w:val="24"/>
                <w:u w:val="none" w:color="auto"/>
              </w:rPr>
            </w:pPr>
            <w:r>
              <w:rPr>
                <w:rFonts w:hint="default"/>
                <w:color w:val="auto"/>
                <w:sz w:val="24"/>
                <w:szCs w:val="24"/>
                <w:u w:val="none" w:color="auto"/>
              </w:rPr>
              <w:t>③排污口及标识标牌规范化</w:t>
            </w:r>
          </w:p>
          <w:p w14:paraId="0FD7A4E2">
            <w:pPr>
              <w:pStyle w:val="7"/>
              <w:bidi w:val="0"/>
              <w:ind w:firstLine="480" w:firstLineChars="200"/>
              <w:jc w:val="both"/>
              <w:rPr>
                <w:rFonts w:hint="default"/>
                <w:color w:val="auto"/>
                <w:sz w:val="24"/>
                <w:szCs w:val="24"/>
                <w:u w:val="none" w:color="auto"/>
              </w:rPr>
            </w:pPr>
            <w:r>
              <w:rPr>
                <w:rFonts w:hint="default"/>
                <w:color w:val="auto"/>
                <w:sz w:val="24"/>
                <w:szCs w:val="24"/>
                <w:u w:val="none" w:color="auto"/>
              </w:rPr>
              <w:t>企业根据《排污口规范化整治技术要求（试行）》（环监[1996]470号）和《&lt;环境保护图形标志&gt;实施细则（试行）》（环监[1996]463 号）等文件的规定，各废气和废水排放口均设置标准化采样孔或者采样口，各固废暂存场、主要噪声源均应设置规范化的标志牌。</w:t>
            </w:r>
          </w:p>
          <w:p w14:paraId="0F9C60BE">
            <w:pPr>
              <w:pStyle w:val="7"/>
              <w:bidi w:val="0"/>
              <w:ind w:firstLine="480" w:firstLineChars="200"/>
              <w:jc w:val="both"/>
              <w:rPr>
                <w:rFonts w:hint="default"/>
                <w:color w:val="auto"/>
                <w:sz w:val="24"/>
                <w:szCs w:val="24"/>
                <w:u w:val="none" w:color="auto"/>
              </w:rPr>
            </w:pPr>
            <w:r>
              <w:rPr>
                <w:rFonts w:hint="eastAsia"/>
                <w:color w:val="auto"/>
                <w:sz w:val="24"/>
                <w:szCs w:val="24"/>
                <w:u w:val="none" w:color="auto"/>
                <w:lang w:val="en-US" w:eastAsia="zh-CN"/>
              </w:rPr>
              <w:t>A、</w:t>
            </w:r>
            <w:r>
              <w:rPr>
                <w:rFonts w:hint="default"/>
                <w:color w:val="auto"/>
                <w:sz w:val="24"/>
                <w:szCs w:val="24"/>
                <w:u w:val="none" w:color="auto"/>
              </w:rPr>
              <w:t>排污口管理。建设单位应在各个排污口处竖立标志牌，并如实填《中华人民共和国规范化排污口标记登记证》，由环保部门签发。环保主管部门和建设单位可分别按以下内容建立排污口管理的专门档案：排污口性质和编号；位置；排放主要污染物种类、数量、浓度；排放去向；达标情况；治理设施运行情况及整改意见。</w:t>
            </w:r>
          </w:p>
          <w:p w14:paraId="2A825147">
            <w:pPr>
              <w:pStyle w:val="7"/>
              <w:bidi w:val="0"/>
              <w:ind w:firstLine="480" w:firstLineChars="200"/>
              <w:jc w:val="both"/>
              <w:rPr>
                <w:rFonts w:hint="default"/>
                <w:color w:val="4874CB" w:themeColor="accent1"/>
                <w:sz w:val="24"/>
                <w:szCs w:val="24"/>
                <w:u w:val="none" w:color="auto"/>
                <w14:textFill>
                  <w14:solidFill>
                    <w14:schemeClr w14:val="accent1"/>
                  </w14:solidFill>
                </w14:textFill>
              </w:rPr>
            </w:pPr>
            <w:r>
              <w:rPr>
                <w:rFonts w:hint="eastAsia"/>
                <w:color w:val="auto"/>
                <w:sz w:val="24"/>
                <w:szCs w:val="24"/>
                <w:u w:val="none" w:color="auto"/>
                <w:lang w:val="en-US" w:eastAsia="zh-CN"/>
              </w:rPr>
              <w:t>B、</w:t>
            </w:r>
            <w:r>
              <w:rPr>
                <w:rFonts w:hint="default"/>
                <w:color w:val="auto"/>
                <w:sz w:val="24"/>
                <w:szCs w:val="24"/>
                <w:u w:val="none" w:color="auto"/>
              </w:rPr>
              <w:t>环境保护图形标志在厂区的废气排放源、固体废物贮存处置场应设置环境保护图形标志，图形符号分为提示图形和警告图形符号两种，分别按GB15562.1-1995、GB15562.2-1995执行。</w:t>
            </w:r>
          </w:p>
          <w:p w14:paraId="09A08D24">
            <w:pPr>
              <w:pStyle w:val="23"/>
              <w:bidi w:val="0"/>
              <w:rPr>
                <w:rFonts w:hint="default"/>
                <w:color w:val="auto"/>
                <w:sz w:val="24"/>
                <w:szCs w:val="24"/>
                <w:u w:val="none" w:color="auto"/>
              </w:rPr>
            </w:pPr>
            <w:r>
              <w:rPr>
                <w:rFonts w:hint="default"/>
                <w:color w:val="auto"/>
                <w:sz w:val="24"/>
                <w:szCs w:val="24"/>
                <w:u w:val="none" w:color="auto"/>
              </w:rPr>
              <w:t>表5-1</w:t>
            </w:r>
            <w:r>
              <w:rPr>
                <w:rFonts w:hint="eastAsia"/>
                <w:color w:val="auto"/>
                <w:sz w:val="24"/>
                <w:szCs w:val="24"/>
                <w:u w:val="none" w:color="auto"/>
                <w:lang w:val="en-US" w:eastAsia="zh-CN"/>
              </w:rPr>
              <w:t xml:space="preserve">  </w:t>
            </w:r>
            <w:r>
              <w:rPr>
                <w:rFonts w:hint="default"/>
                <w:color w:val="auto"/>
                <w:sz w:val="24"/>
                <w:szCs w:val="24"/>
                <w:u w:val="none" w:color="auto"/>
              </w:rPr>
              <w:t>环境保护图形符号一览表</w:t>
            </w:r>
          </w:p>
          <w:tbl>
            <w:tblPr>
              <w:tblStyle w:val="16"/>
              <w:tblW w:w="7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3"/>
              <w:gridCol w:w="2600"/>
              <w:gridCol w:w="1825"/>
              <w:gridCol w:w="1087"/>
              <w:gridCol w:w="1371"/>
            </w:tblGrid>
            <w:tr w14:paraId="3BD9A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vAlign w:val="center"/>
                </w:tcPr>
                <w:p w14:paraId="737F5988">
                  <w:pPr>
                    <w:pStyle w:val="24"/>
                    <w:bidi w:val="0"/>
                    <w:jc w:val="center"/>
                    <w:rPr>
                      <w:rFonts w:hint="default"/>
                      <w:color w:val="auto"/>
                      <w:sz w:val="24"/>
                      <w:szCs w:val="24"/>
                      <w:u w:val="none" w:color="auto"/>
                    </w:rPr>
                  </w:pPr>
                  <w:r>
                    <w:rPr>
                      <w:rFonts w:hint="default"/>
                      <w:color w:val="auto"/>
                      <w:sz w:val="24"/>
                      <w:szCs w:val="24"/>
                      <w:u w:val="none" w:color="auto"/>
                    </w:rPr>
                    <w:t>序号</w:t>
                  </w:r>
                </w:p>
              </w:tc>
              <w:tc>
                <w:tcPr>
                  <w:tcW w:w="2600" w:type="dxa"/>
                  <w:vAlign w:val="center"/>
                </w:tcPr>
                <w:p w14:paraId="42FA83B6">
                  <w:pPr>
                    <w:pStyle w:val="24"/>
                    <w:bidi w:val="0"/>
                    <w:jc w:val="center"/>
                    <w:rPr>
                      <w:rFonts w:hint="default"/>
                      <w:color w:val="auto"/>
                      <w:sz w:val="24"/>
                      <w:szCs w:val="24"/>
                      <w:u w:val="none" w:color="auto"/>
                    </w:rPr>
                  </w:pPr>
                  <w:r>
                    <w:rPr>
                      <w:rFonts w:hint="default"/>
                      <w:color w:val="auto"/>
                      <w:sz w:val="24"/>
                      <w:szCs w:val="24"/>
                      <w:u w:val="none" w:color="auto"/>
                    </w:rPr>
                    <w:t>提示图形符号</w:t>
                  </w:r>
                </w:p>
              </w:tc>
              <w:tc>
                <w:tcPr>
                  <w:tcW w:w="1825" w:type="dxa"/>
                  <w:vAlign w:val="center"/>
                </w:tcPr>
                <w:p w14:paraId="0954D322">
                  <w:pPr>
                    <w:pStyle w:val="24"/>
                    <w:bidi w:val="0"/>
                    <w:jc w:val="center"/>
                    <w:rPr>
                      <w:rFonts w:hint="default"/>
                      <w:color w:val="auto"/>
                      <w:sz w:val="24"/>
                      <w:szCs w:val="24"/>
                      <w:u w:val="none" w:color="auto"/>
                    </w:rPr>
                  </w:pPr>
                  <w:r>
                    <w:rPr>
                      <w:rFonts w:hint="default"/>
                      <w:color w:val="auto"/>
                      <w:sz w:val="24"/>
                      <w:szCs w:val="24"/>
                      <w:u w:val="none" w:color="auto"/>
                    </w:rPr>
                    <w:t>警告图形符号</w:t>
                  </w:r>
                </w:p>
              </w:tc>
              <w:tc>
                <w:tcPr>
                  <w:tcW w:w="1087" w:type="dxa"/>
                  <w:vAlign w:val="center"/>
                </w:tcPr>
                <w:p w14:paraId="75F000DB">
                  <w:pPr>
                    <w:pStyle w:val="24"/>
                    <w:bidi w:val="0"/>
                    <w:jc w:val="center"/>
                    <w:rPr>
                      <w:rFonts w:hint="default"/>
                      <w:color w:val="auto"/>
                      <w:sz w:val="24"/>
                      <w:szCs w:val="24"/>
                      <w:u w:val="none" w:color="auto"/>
                    </w:rPr>
                  </w:pPr>
                  <w:r>
                    <w:rPr>
                      <w:rFonts w:hint="default"/>
                      <w:color w:val="auto"/>
                      <w:sz w:val="24"/>
                      <w:szCs w:val="24"/>
                      <w:u w:val="none" w:color="auto"/>
                    </w:rPr>
                    <w:t>名称</w:t>
                  </w:r>
                </w:p>
              </w:tc>
              <w:tc>
                <w:tcPr>
                  <w:tcW w:w="1371" w:type="dxa"/>
                  <w:vAlign w:val="center"/>
                </w:tcPr>
                <w:p w14:paraId="37EE5F48">
                  <w:pPr>
                    <w:pStyle w:val="24"/>
                    <w:bidi w:val="0"/>
                    <w:jc w:val="center"/>
                    <w:rPr>
                      <w:rFonts w:hint="default"/>
                      <w:color w:val="auto"/>
                      <w:sz w:val="24"/>
                      <w:szCs w:val="24"/>
                      <w:u w:val="none" w:color="auto"/>
                    </w:rPr>
                  </w:pPr>
                  <w:r>
                    <w:rPr>
                      <w:rFonts w:hint="default"/>
                      <w:color w:val="auto"/>
                      <w:sz w:val="24"/>
                      <w:szCs w:val="24"/>
                      <w:u w:val="none" w:color="auto"/>
                    </w:rPr>
                    <w:t>功能</w:t>
                  </w:r>
                </w:p>
              </w:tc>
            </w:tr>
            <w:tr w14:paraId="48C8F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vAlign w:val="center"/>
                </w:tcPr>
                <w:p w14:paraId="0C61B2F4">
                  <w:pPr>
                    <w:pStyle w:val="24"/>
                    <w:bidi w:val="0"/>
                    <w:jc w:val="center"/>
                    <w:rPr>
                      <w:rFonts w:hint="eastAsia" w:eastAsia="宋体"/>
                      <w:color w:val="auto"/>
                      <w:sz w:val="24"/>
                      <w:szCs w:val="24"/>
                      <w:u w:val="none" w:color="auto"/>
                      <w:lang w:val="en-US" w:eastAsia="zh-CN"/>
                    </w:rPr>
                  </w:pPr>
                  <w:r>
                    <w:rPr>
                      <w:rFonts w:hint="eastAsia"/>
                      <w:color w:val="auto"/>
                      <w:sz w:val="24"/>
                      <w:szCs w:val="24"/>
                      <w:u w:val="none" w:color="auto"/>
                      <w:lang w:val="en-US" w:eastAsia="zh-CN"/>
                    </w:rPr>
                    <w:t>1</w:t>
                  </w:r>
                </w:p>
              </w:tc>
              <w:tc>
                <w:tcPr>
                  <w:tcW w:w="2600" w:type="dxa"/>
                  <w:vAlign w:val="center"/>
                </w:tcPr>
                <w:p w14:paraId="3BEEB669">
                  <w:pPr>
                    <w:pStyle w:val="24"/>
                    <w:bidi w:val="0"/>
                    <w:jc w:val="center"/>
                    <w:rPr>
                      <w:rFonts w:hint="default"/>
                      <w:color w:val="auto"/>
                      <w:sz w:val="24"/>
                      <w:szCs w:val="24"/>
                      <w:u w:val="none" w:color="auto"/>
                    </w:rPr>
                  </w:pPr>
                  <w:r>
                    <w:rPr>
                      <w:color w:val="auto"/>
                      <w:sz w:val="24"/>
                      <w:szCs w:val="24"/>
                      <w:u w:val="none" w:color="auto"/>
                    </w:rPr>
                    <w:drawing>
                      <wp:inline distT="0" distB="0" distL="114300" distR="114300">
                        <wp:extent cx="1407795" cy="880110"/>
                        <wp:effectExtent l="0" t="0" r="1905" b="15240"/>
                        <wp:docPr id="20"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8"/>
                                <pic:cNvPicPr>
                                  <a:picLocks noChangeAspect="1"/>
                                </pic:cNvPicPr>
                              </pic:nvPicPr>
                              <pic:blipFill>
                                <a:blip r:embed="rId10"/>
                                <a:stretch>
                                  <a:fillRect/>
                                </a:stretch>
                              </pic:blipFill>
                              <pic:spPr>
                                <a:xfrm>
                                  <a:off x="0" y="0"/>
                                  <a:ext cx="1407795" cy="880110"/>
                                </a:xfrm>
                                <a:prstGeom prst="rect">
                                  <a:avLst/>
                                </a:prstGeom>
                                <a:noFill/>
                                <a:ln>
                                  <a:noFill/>
                                </a:ln>
                              </pic:spPr>
                            </pic:pic>
                          </a:graphicData>
                        </a:graphic>
                      </wp:inline>
                    </w:drawing>
                  </w:r>
                </w:p>
              </w:tc>
              <w:tc>
                <w:tcPr>
                  <w:tcW w:w="1825" w:type="dxa"/>
                  <w:vAlign w:val="center"/>
                </w:tcPr>
                <w:p w14:paraId="497988D2">
                  <w:pPr>
                    <w:pStyle w:val="24"/>
                    <w:bidi w:val="0"/>
                    <w:jc w:val="center"/>
                    <w:rPr>
                      <w:rFonts w:hint="default"/>
                      <w:color w:val="auto"/>
                      <w:sz w:val="24"/>
                      <w:szCs w:val="24"/>
                      <w:u w:val="none" w:color="auto"/>
                    </w:rPr>
                  </w:pPr>
                  <w:r>
                    <w:rPr>
                      <w:rFonts w:hint="eastAsia"/>
                      <w:color w:val="auto"/>
                      <w:sz w:val="24"/>
                      <w:szCs w:val="24"/>
                      <w:u w:val="none" w:color="auto"/>
                    </w:rPr>
                    <w:drawing>
                      <wp:inline distT="0" distB="0" distL="114300" distR="114300">
                        <wp:extent cx="992505" cy="883920"/>
                        <wp:effectExtent l="0" t="0" r="17145" b="11430"/>
                        <wp:docPr id="25" name="图片 9" descr="171090277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descr="1710902773317"/>
                                <pic:cNvPicPr>
                                  <a:picLocks noChangeAspect="1"/>
                                </pic:cNvPicPr>
                              </pic:nvPicPr>
                              <pic:blipFill>
                                <a:blip r:embed="rId11"/>
                                <a:stretch>
                                  <a:fillRect/>
                                </a:stretch>
                              </pic:blipFill>
                              <pic:spPr>
                                <a:xfrm>
                                  <a:off x="0" y="0"/>
                                  <a:ext cx="992505" cy="883920"/>
                                </a:xfrm>
                                <a:prstGeom prst="rect">
                                  <a:avLst/>
                                </a:prstGeom>
                                <a:noFill/>
                                <a:ln>
                                  <a:noFill/>
                                </a:ln>
                              </pic:spPr>
                            </pic:pic>
                          </a:graphicData>
                        </a:graphic>
                      </wp:inline>
                    </w:drawing>
                  </w:r>
                </w:p>
              </w:tc>
              <w:tc>
                <w:tcPr>
                  <w:tcW w:w="1087" w:type="dxa"/>
                  <w:vAlign w:val="center"/>
                </w:tcPr>
                <w:p w14:paraId="0FCE2014">
                  <w:pPr>
                    <w:pStyle w:val="24"/>
                    <w:bidi w:val="0"/>
                    <w:jc w:val="center"/>
                    <w:rPr>
                      <w:rFonts w:hint="default"/>
                      <w:color w:val="auto"/>
                      <w:sz w:val="24"/>
                      <w:szCs w:val="24"/>
                      <w:u w:val="none" w:color="auto"/>
                    </w:rPr>
                  </w:pPr>
                  <w:r>
                    <w:rPr>
                      <w:rFonts w:hint="default"/>
                      <w:color w:val="auto"/>
                      <w:sz w:val="24"/>
                      <w:szCs w:val="24"/>
                      <w:u w:val="none" w:color="auto"/>
                    </w:rPr>
                    <w:t>废气排放口</w:t>
                  </w:r>
                </w:p>
              </w:tc>
              <w:tc>
                <w:tcPr>
                  <w:tcW w:w="1371" w:type="dxa"/>
                  <w:vAlign w:val="center"/>
                </w:tcPr>
                <w:p w14:paraId="7FA137CC">
                  <w:pPr>
                    <w:pStyle w:val="24"/>
                    <w:bidi w:val="0"/>
                    <w:jc w:val="center"/>
                    <w:rPr>
                      <w:rFonts w:hint="default"/>
                      <w:color w:val="auto"/>
                      <w:sz w:val="24"/>
                      <w:szCs w:val="24"/>
                      <w:u w:val="none" w:color="auto"/>
                    </w:rPr>
                  </w:pPr>
                  <w:r>
                    <w:rPr>
                      <w:rFonts w:hint="default"/>
                      <w:color w:val="auto"/>
                      <w:sz w:val="24"/>
                      <w:szCs w:val="24"/>
                      <w:u w:val="none" w:color="auto"/>
                    </w:rPr>
                    <w:t>表示废气向大气环境排放</w:t>
                  </w:r>
                </w:p>
              </w:tc>
            </w:tr>
            <w:tr w14:paraId="09DA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vAlign w:val="center"/>
                </w:tcPr>
                <w:p w14:paraId="151423E8">
                  <w:pPr>
                    <w:pStyle w:val="24"/>
                    <w:bidi w:val="0"/>
                    <w:jc w:val="center"/>
                    <w:rPr>
                      <w:rFonts w:hint="eastAsia" w:eastAsia="宋体"/>
                      <w:color w:val="auto"/>
                      <w:sz w:val="24"/>
                      <w:szCs w:val="24"/>
                      <w:u w:val="none" w:color="auto"/>
                      <w:lang w:val="en-US" w:eastAsia="zh-CN"/>
                    </w:rPr>
                  </w:pPr>
                  <w:r>
                    <w:rPr>
                      <w:rFonts w:hint="eastAsia"/>
                      <w:color w:val="auto"/>
                      <w:sz w:val="24"/>
                      <w:szCs w:val="24"/>
                      <w:u w:val="none" w:color="auto"/>
                      <w:lang w:val="en-US" w:eastAsia="zh-CN"/>
                    </w:rPr>
                    <w:t>2</w:t>
                  </w:r>
                </w:p>
              </w:tc>
              <w:tc>
                <w:tcPr>
                  <w:tcW w:w="2600" w:type="dxa"/>
                  <w:vAlign w:val="center"/>
                </w:tcPr>
                <w:p w14:paraId="09C7CDFE">
                  <w:pPr>
                    <w:pStyle w:val="24"/>
                    <w:bidi w:val="0"/>
                    <w:jc w:val="center"/>
                    <w:rPr>
                      <w:rFonts w:hint="default"/>
                      <w:color w:val="auto"/>
                      <w:sz w:val="24"/>
                      <w:szCs w:val="24"/>
                      <w:u w:val="none" w:color="auto"/>
                    </w:rPr>
                  </w:pPr>
                  <w:r>
                    <w:rPr>
                      <w:color w:val="auto"/>
                      <w:sz w:val="24"/>
                      <w:szCs w:val="24"/>
                      <w:u w:val="none" w:color="auto"/>
                    </w:rPr>
                    <w:drawing>
                      <wp:inline distT="0" distB="0" distL="114300" distR="114300">
                        <wp:extent cx="1382395" cy="864235"/>
                        <wp:effectExtent l="0" t="0" r="8255" b="12065"/>
                        <wp:docPr id="3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pic:cNvPicPr>
                                  <a:picLocks noChangeAspect="1"/>
                                </pic:cNvPicPr>
                              </pic:nvPicPr>
                              <pic:blipFill>
                                <a:blip r:embed="rId12"/>
                                <a:stretch>
                                  <a:fillRect/>
                                </a:stretch>
                              </pic:blipFill>
                              <pic:spPr>
                                <a:xfrm>
                                  <a:off x="0" y="0"/>
                                  <a:ext cx="1382395" cy="864235"/>
                                </a:xfrm>
                                <a:prstGeom prst="rect">
                                  <a:avLst/>
                                </a:prstGeom>
                                <a:noFill/>
                                <a:ln>
                                  <a:noFill/>
                                </a:ln>
                              </pic:spPr>
                            </pic:pic>
                          </a:graphicData>
                        </a:graphic>
                      </wp:inline>
                    </w:drawing>
                  </w:r>
                </w:p>
              </w:tc>
              <w:tc>
                <w:tcPr>
                  <w:tcW w:w="1825" w:type="dxa"/>
                  <w:vAlign w:val="center"/>
                </w:tcPr>
                <w:p w14:paraId="51181F7B">
                  <w:pPr>
                    <w:pStyle w:val="24"/>
                    <w:bidi w:val="0"/>
                    <w:jc w:val="center"/>
                    <w:rPr>
                      <w:rFonts w:hint="default"/>
                      <w:color w:val="auto"/>
                      <w:sz w:val="24"/>
                      <w:szCs w:val="24"/>
                      <w:u w:val="none" w:color="auto"/>
                    </w:rPr>
                  </w:pPr>
                  <w:r>
                    <w:rPr>
                      <w:rFonts w:hint="eastAsia"/>
                      <w:color w:val="auto"/>
                      <w:sz w:val="24"/>
                      <w:szCs w:val="24"/>
                      <w:u w:val="none" w:color="auto"/>
                    </w:rPr>
                    <w:drawing>
                      <wp:inline distT="0" distB="0" distL="114300" distR="114300">
                        <wp:extent cx="1014095" cy="878840"/>
                        <wp:effectExtent l="0" t="0" r="14605" b="16510"/>
                        <wp:docPr id="36" name="图片 11" descr="171090284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 descr="1710902844529"/>
                                <pic:cNvPicPr>
                                  <a:picLocks noChangeAspect="1"/>
                                </pic:cNvPicPr>
                              </pic:nvPicPr>
                              <pic:blipFill>
                                <a:blip r:embed="rId13"/>
                                <a:stretch>
                                  <a:fillRect/>
                                </a:stretch>
                              </pic:blipFill>
                              <pic:spPr>
                                <a:xfrm>
                                  <a:off x="0" y="0"/>
                                  <a:ext cx="1014095" cy="878840"/>
                                </a:xfrm>
                                <a:prstGeom prst="rect">
                                  <a:avLst/>
                                </a:prstGeom>
                                <a:noFill/>
                                <a:ln>
                                  <a:noFill/>
                                </a:ln>
                              </pic:spPr>
                            </pic:pic>
                          </a:graphicData>
                        </a:graphic>
                      </wp:inline>
                    </w:drawing>
                  </w:r>
                </w:p>
              </w:tc>
              <w:tc>
                <w:tcPr>
                  <w:tcW w:w="1087" w:type="dxa"/>
                  <w:vAlign w:val="center"/>
                </w:tcPr>
                <w:p w14:paraId="49810C6A">
                  <w:pPr>
                    <w:pStyle w:val="24"/>
                    <w:bidi w:val="0"/>
                    <w:jc w:val="center"/>
                    <w:rPr>
                      <w:rFonts w:hint="default"/>
                      <w:color w:val="auto"/>
                      <w:sz w:val="24"/>
                      <w:szCs w:val="24"/>
                      <w:u w:val="none" w:color="auto"/>
                    </w:rPr>
                  </w:pPr>
                  <w:r>
                    <w:rPr>
                      <w:rFonts w:hint="eastAsia"/>
                      <w:color w:val="auto"/>
                      <w:sz w:val="24"/>
                      <w:szCs w:val="24"/>
                      <w:u w:val="none" w:color="auto"/>
                    </w:rPr>
                    <w:t>噪声排放源</w:t>
                  </w:r>
                </w:p>
              </w:tc>
              <w:tc>
                <w:tcPr>
                  <w:tcW w:w="1371" w:type="dxa"/>
                  <w:vAlign w:val="center"/>
                </w:tcPr>
                <w:p w14:paraId="71131086">
                  <w:pPr>
                    <w:pStyle w:val="24"/>
                    <w:bidi w:val="0"/>
                    <w:jc w:val="center"/>
                    <w:rPr>
                      <w:rFonts w:hint="default"/>
                      <w:color w:val="auto"/>
                      <w:sz w:val="24"/>
                      <w:szCs w:val="24"/>
                      <w:u w:val="none" w:color="auto"/>
                    </w:rPr>
                  </w:pPr>
                  <w:r>
                    <w:rPr>
                      <w:rFonts w:hint="eastAsia"/>
                      <w:color w:val="auto"/>
                      <w:sz w:val="24"/>
                      <w:szCs w:val="24"/>
                      <w:u w:val="none" w:color="auto"/>
                    </w:rPr>
                    <w:t>表示噪声向外环境排放</w:t>
                  </w:r>
                </w:p>
              </w:tc>
            </w:tr>
            <w:tr w14:paraId="10C89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vAlign w:val="center"/>
                </w:tcPr>
                <w:p w14:paraId="442F1FAE">
                  <w:pPr>
                    <w:pStyle w:val="24"/>
                    <w:bidi w:val="0"/>
                    <w:jc w:val="center"/>
                    <w:rPr>
                      <w:rFonts w:hint="eastAsia" w:eastAsia="宋体"/>
                      <w:color w:val="auto"/>
                      <w:sz w:val="24"/>
                      <w:szCs w:val="24"/>
                      <w:u w:val="none" w:color="auto"/>
                      <w:lang w:val="en-US" w:eastAsia="zh-CN"/>
                    </w:rPr>
                  </w:pPr>
                  <w:r>
                    <w:rPr>
                      <w:rFonts w:hint="eastAsia"/>
                      <w:color w:val="auto"/>
                      <w:sz w:val="24"/>
                      <w:szCs w:val="24"/>
                      <w:u w:val="none" w:color="auto"/>
                      <w:lang w:val="en-US" w:eastAsia="zh-CN"/>
                    </w:rPr>
                    <w:t>3</w:t>
                  </w:r>
                </w:p>
              </w:tc>
              <w:tc>
                <w:tcPr>
                  <w:tcW w:w="2600" w:type="dxa"/>
                  <w:vAlign w:val="center"/>
                </w:tcPr>
                <w:p w14:paraId="3ED4CD14">
                  <w:pPr>
                    <w:pStyle w:val="24"/>
                    <w:bidi w:val="0"/>
                    <w:jc w:val="center"/>
                    <w:rPr>
                      <w:rFonts w:hint="default"/>
                      <w:color w:val="auto"/>
                      <w:sz w:val="24"/>
                      <w:szCs w:val="24"/>
                      <w:u w:val="none" w:color="auto"/>
                    </w:rPr>
                  </w:pPr>
                  <w:r>
                    <w:rPr>
                      <w:rFonts w:hint="eastAsia"/>
                      <w:color w:val="auto"/>
                      <w:sz w:val="24"/>
                      <w:szCs w:val="24"/>
                      <w:u w:val="none" w:color="auto"/>
                    </w:rPr>
                    <w:drawing>
                      <wp:inline distT="0" distB="0" distL="114300" distR="114300">
                        <wp:extent cx="1365250" cy="915670"/>
                        <wp:effectExtent l="0" t="0" r="6350" b="17780"/>
                        <wp:docPr id="38" name="图片 12" descr="13b48be79e599d775d7d21d52973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2" descr="13b48be79e599d775d7d21d52973691"/>
                                <pic:cNvPicPr>
                                  <a:picLocks noChangeAspect="1"/>
                                </pic:cNvPicPr>
                              </pic:nvPicPr>
                              <pic:blipFill>
                                <a:blip r:embed="rId14"/>
                                <a:stretch>
                                  <a:fillRect/>
                                </a:stretch>
                              </pic:blipFill>
                              <pic:spPr>
                                <a:xfrm>
                                  <a:off x="0" y="0"/>
                                  <a:ext cx="1365250" cy="915670"/>
                                </a:xfrm>
                                <a:prstGeom prst="rect">
                                  <a:avLst/>
                                </a:prstGeom>
                                <a:noFill/>
                                <a:ln>
                                  <a:noFill/>
                                </a:ln>
                              </pic:spPr>
                            </pic:pic>
                          </a:graphicData>
                        </a:graphic>
                      </wp:inline>
                    </w:drawing>
                  </w:r>
                </w:p>
              </w:tc>
              <w:tc>
                <w:tcPr>
                  <w:tcW w:w="1825" w:type="dxa"/>
                  <w:vAlign w:val="center"/>
                </w:tcPr>
                <w:p w14:paraId="26F8B3F5">
                  <w:pPr>
                    <w:pStyle w:val="24"/>
                    <w:bidi w:val="0"/>
                    <w:jc w:val="center"/>
                    <w:rPr>
                      <w:rFonts w:hint="default"/>
                      <w:color w:val="auto"/>
                      <w:sz w:val="24"/>
                      <w:szCs w:val="24"/>
                      <w:u w:val="none" w:color="auto"/>
                    </w:rPr>
                  </w:pPr>
                  <w:r>
                    <w:rPr>
                      <w:rFonts w:hint="eastAsia"/>
                      <w:color w:val="auto"/>
                      <w:sz w:val="24"/>
                      <w:szCs w:val="24"/>
                      <w:u w:val="none" w:color="auto"/>
                    </w:rPr>
                    <w:drawing>
                      <wp:inline distT="0" distB="0" distL="114300" distR="114300">
                        <wp:extent cx="1039495" cy="887730"/>
                        <wp:effectExtent l="0" t="0" r="8255" b="7620"/>
                        <wp:docPr id="39" name="图片 13" descr="1710902921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3" descr="1710902921779"/>
                                <pic:cNvPicPr>
                                  <a:picLocks noChangeAspect="1"/>
                                </pic:cNvPicPr>
                              </pic:nvPicPr>
                              <pic:blipFill>
                                <a:blip r:embed="rId15"/>
                                <a:stretch>
                                  <a:fillRect/>
                                </a:stretch>
                              </pic:blipFill>
                              <pic:spPr>
                                <a:xfrm>
                                  <a:off x="0" y="0"/>
                                  <a:ext cx="1039495" cy="887730"/>
                                </a:xfrm>
                                <a:prstGeom prst="rect">
                                  <a:avLst/>
                                </a:prstGeom>
                                <a:noFill/>
                                <a:ln>
                                  <a:noFill/>
                                </a:ln>
                              </pic:spPr>
                            </pic:pic>
                          </a:graphicData>
                        </a:graphic>
                      </wp:inline>
                    </w:drawing>
                  </w:r>
                </w:p>
              </w:tc>
              <w:tc>
                <w:tcPr>
                  <w:tcW w:w="1087" w:type="dxa"/>
                  <w:vAlign w:val="center"/>
                </w:tcPr>
                <w:p w14:paraId="32DA1B94">
                  <w:pPr>
                    <w:pStyle w:val="24"/>
                    <w:bidi w:val="0"/>
                    <w:jc w:val="center"/>
                    <w:rPr>
                      <w:rFonts w:hint="default"/>
                      <w:color w:val="auto"/>
                      <w:sz w:val="24"/>
                      <w:szCs w:val="24"/>
                      <w:u w:val="none" w:color="auto"/>
                    </w:rPr>
                  </w:pPr>
                  <w:r>
                    <w:rPr>
                      <w:rFonts w:hint="eastAsia"/>
                      <w:color w:val="auto"/>
                      <w:sz w:val="24"/>
                      <w:szCs w:val="24"/>
                      <w:u w:val="none" w:color="auto"/>
                    </w:rPr>
                    <w:t>一般固体废物</w:t>
                  </w:r>
                </w:p>
              </w:tc>
              <w:tc>
                <w:tcPr>
                  <w:tcW w:w="1371" w:type="dxa"/>
                  <w:vAlign w:val="center"/>
                </w:tcPr>
                <w:p w14:paraId="62A849F0">
                  <w:pPr>
                    <w:pStyle w:val="24"/>
                    <w:bidi w:val="0"/>
                    <w:jc w:val="center"/>
                    <w:rPr>
                      <w:rFonts w:hint="default"/>
                      <w:color w:val="auto"/>
                      <w:sz w:val="24"/>
                      <w:szCs w:val="24"/>
                      <w:u w:val="none" w:color="auto"/>
                    </w:rPr>
                  </w:pPr>
                  <w:r>
                    <w:rPr>
                      <w:rFonts w:hint="default"/>
                      <w:color w:val="auto"/>
                      <w:sz w:val="24"/>
                      <w:szCs w:val="24"/>
                      <w:u w:val="none" w:color="auto"/>
                    </w:rPr>
                    <w:t>表示一般固体废物贮存、处置</w:t>
                  </w:r>
                </w:p>
              </w:tc>
            </w:tr>
            <w:tr w14:paraId="59B9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vAlign w:val="center"/>
                </w:tcPr>
                <w:p w14:paraId="1D8CBFB6">
                  <w:pPr>
                    <w:pStyle w:val="24"/>
                    <w:bidi w:val="0"/>
                    <w:jc w:val="center"/>
                    <w:rPr>
                      <w:rFonts w:hint="eastAsia" w:eastAsia="宋体"/>
                      <w:color w:val="auto"/>
                      <w:sz w:val="24"/>
                      <w:szCs w:val="24"/>
                      <w:u w:val="none" w:color="auto"/>
                      <w:lang w:val="en-US" w:eastAsia="zh-CN"/>
                    </w:rPr>
                  </w:pPr>
                  <w:r>
                    <w:rPr>
                      <w:rFonts w:hint="eastAsia"/>
                      <w:color w:val="auto"/>
                      <w:sz w:val="24"/>
                      <w:szCs w:val="24"/>
                      <w:u w:val="none" w:color="auto"/>
                      <w:lang w:val="en-US" w:eastAsia="zh-CN"/>
                    </w:rPr>
                    <w:t>4</w:t>
                  </w:r>
                </w:p>
              </w:tc>
              <w:tc>
                <w:tcPr>
                  <w:tcW w:w="2600" w:type="dxa"/>
                  <w:vAlign w:val="center"/>
                </w:tcPr>
                <w:p w14:paraId="5E668E42">
                  <w:pPr>
                    <w:pStyle w:val="24"/>
                    <w:bidi w:val="0"/>
                    <w:jc w:val="center"/>
                    <w:rPr>
                      <w:rFonts w:hint="eastAsia" w:eastAsia="宋体"/>
                      <w:color w:val="auto"/>
                      <w:sz w:val="24"/>
                      <w:szCs w:val="24"/>
                      <w:u w:val="none" w:color="auto"/>
                      <w:lang w:val="en-US" w:eastAsia="zh-CN"/>
                    </w:rPr>
                  </w:pPr>
                  <w:r>
                    <w:rPr>
                      <w:rFonts w:hint="eastAsia"/>
                      <w:color w:val="auto"/>
                      <w:sz w:val="24"/>
                      <w:szCs w:val="24"/>
                      <w:u w:val="none" w:color="auto"/>
                      <w:lang w:val="en-US" w:eastAsia="zh-CN"/>
                    </w:rPr>
                    <w:t>/</w:t>
                  </w:r>
                </w:p>
              </w:tc>
              <w:tc>
                <w:tcPr>
                  <w:tcW w:w="1825" w:type="dxa"/>
                  <w:vAlign w:val="center"/>
                </w:tcPr>
                <w:p w14:paraId="5340DAB2">
                  <w:pPr>
                    <w:pStyle w:val="24"/>
                    <w:bidi w:val="0"/>
                    <w:jc w:val="center"/>
                    <w:rPr>
                      <w:rFonts w:hint="default"/>
                      <w:color w:val="auto"/>
                      <w:sz w:val="24"/>
                      <w:szCs w:val="24"/>
                      <w:u w:val="none" w:color="auto"/>
                    </w:rPr>
                  </w:pPr>
                  <w:r>
                    <w:rPr>
                      <w:color w:val="auto"/>
                      <w:sz w:val="24"/>
                      <w:szCs w:val="24"/>
                      <w:u w:val="none" w:color="auto"/>
                    </w:rPr>
                    <w:drawing>
                      <wp:inline distT="0" distB="0" distL="114300" distR="114300">
                        <wp:extent cx="1084580" cy="756920"/>
                        <wp:effectExtent l="0" t="0" r="1270" b="5080"/>
                        <wp:docPr id="4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14"/>
                                <pic:cNvPicPr>
                                  <a:picLocks noChangeAspect="1"/>
                                </pic:cNvPicPr>
                              </pic:nvPicPr>
                              <pic:blipFill>
                                <a:blip r:embed="rId16"/>
                                <a:stretch>
                                  <a:fillRect/>
                                </a:stretch>
                              </pic:blipFill>
                              <pic:spPr>
                                <a:xfrm>
                                  <a:off x="0" y="0"/>
                                  <a:ext cx="1084580" cy="756920"/>
                                </a:xfrm>
                                <a:prstGeom prst="rect">
                                  <a:avLst/>
                                </a:prstGeom>
                                <a:noFill/>
                                <a:ln>
                                  <a:noFill/>
                                </a:ln>
                              </pic:spPr>
                            </pic:pic>
                          </a:graphicData>
                        </a:graphic>
                      </wp:inline>
                    </w:drawing>
                  </w:r>
                </w:p>
              </w:tc>
              <w:tc>
                <w:tcPr>
                  <w:tcW w:w="1087" w:type="dxa"/>
                  <w:vAlign w:val="center"/>
                </w:tcPr>
                <w:p w14:paraId="571E09A6">
                  <w:pPr>
                    <w:pStyle w:val="24"/>
                    <w:bidi w:val="0"/>
                    <w:jc w:val="center"/>
                    <w:rPr>
                      <w:rFonts w:hint="default"/>
                      <w:color w:val="auto"/>
                      <w:sz w:val="24"/>
                      <w:szCs w:val="24"/>
                      <w:u w:val="none" w:color="auto"/>
                    </w:rPr>
                  </w:pPr>
                  <w:r>
                    <w:rPr>
                      <w:rFonts w:hint="default"/>
                      <w:color w:val="auto"/>
                      <w:sz w:val="24"/>
                      <w:szCs w:val="24"/>
                      <w:u w:val="none" w:color="auto"/>
                    </w:rPr>
                    <w:t>危险废物</w:t>
                  </w:r>
                </w:p>
              </w:tc>
              <w:tc>
                <w:tcPr>
                  <w:tcW w:w="1371" w:type="dxa"/>
                  <w:vAlign w:val="center"/>
                </w:tcPr>
                <w:p w14:paraId="7D21E503">
                  <w:pPr>
                    <w:pStyle w:val="24"/>
                    <w:bidi w:val="0"/>
                    <w:jc w:val="center"/>
                    <w:rPr>
                      <w:rFonts w:hint="default"/>
                      <w:color w:val="auto"/>
                      <w:sz w:val="24"/>
                      <w:szCs w:val="24"/>
                      <w:u w:val="none" w:color="auto"/>
                    </w:rPr>
                  </w:pPr>
                  <w:r>
                    <w:rPr>
                      <w:rFonts w:hint="default"/>
                      <w:color w:val="auto"/>
                      <w:sz w:val="24"/>
                      <w:szCs w:val="24"/>
                      <w:u w:val="none" w:color="auto"/>
                    </w:rPr>
                    <w:t>危险废物贮存、处置场</w:t>
                  </w:r>
                </w:p>
              </w:tc>
            </w:tr>
            <w:tr w14:paraId="38BE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3" w:type="dxa"/>
                  <w:vAlign w:val="center"/>
                </w:tcPr>
                <w:p w14:paraId="274DA1C5">
                  <w:pPr>
                    <w:pStyle w:val="24"/>
                    <w:bidi w:val="0"/>
                    <w:jc w:val="center"/>
                    <w:rPr>
                      <w:rFonts w:hint="eastAsia" w:eastAsia="宋体"/>
                      <w:color w:val="auto"/>
                      <w:sz w:val="24"/>
                      <w:szCs w:val="24"/>
                      <w:u w:val="none" w:color="auto"/>
                      <w:lang w:val="en-US" w:eastAsia="zh-CN"/>
                    </w:rPr>
                  </w:pPr>
                  <w:r>
                    <w:rPr>
                      <w:rFonts w:hint="eastAsia"/>
                      <w:color w:val="auto"/>
                      <w:sz w:val="24"/>
                      <w:szCs w:val="24"/>
                      <w:u w:val="none" w:color="auto"/>
                      <w:lang w:val="en-US" w:eastAsia="zh-CN"/>
                    </w:rPr>
                    <w:t>5</w:t>
                  </w:r>
                </w:p>
              </w:tc>
              <w:tc>
                <w:tcPr>
                  <w:tcW w:w="2600" w:type="dxa"/>
                  <w:vAlign w:val="center"/>
                </w:tcPr>
                <w:p w14:paraId="4C7E164B">
                  <w:pPr>
                    <w:pStyle w:val="24"/>
                    <w:bidi w:val="0"/>
                    <w:jc w:val="center"/>
                    <w:rPr>
                      <w:rFonts w:hint="eastAsia" w:eastAsia="宋体"/>
                      <w:color w:val="auto"/>
                      <w:sz w:val="24"/>
                      <w:szCs w:val="24"/>
                      <w:u w:val="none" w:color="auto"/>
                      <w:lang w:val="en-US" w:eastAsia="zh-CN"/>
                    </w:rPr>
                  </w:pPr>
                  <w:r>
                    <w:rPr>
                      <w:rFonts w:hint="eastAsia"/>
                      <w:color w:val="auto"/>
                      <w:sz w:val="24"/>
                      <w:szCs w:val="24"/>
                      <w:u w:val="none" w:color="auto"/>
                      <w:lang w:val="en-US" w:eastAsia="zh-CN"/>
                    </w:rPr>
                    <w:t>/</w:t>
                  </w:r>
                </w:p>
              </w:tc>
              <w:tc>
                <w:tcPr>
                  <w:tcW w:w="1825" w:type="dxa"/>
                  <w:vAlign w:val="center"/>
                </w:tcPr>
                <w:p w14:paraId="02147BBE">
                  <w:pPr>
                    <w:pStyle w:val="24"/>
                    <w:bidi w:val="0"/>
                    <w:jc w:val="center"/>
                    <w:rPr>
                      <w:color w:val="auto"/>
                      <w:sz w:val="24"/>
                      <w:szCs w:val="24"/>
                      <w:u w:val="none" w:color="auto"/>
                    </w:rPr>
                  </w:pPr>
                  <w:r>
                    <w:rPr>
                      <w:color w:val="auto"/>
                      <w:sz w:val="24"/>
                      <w:szCs w:val="24"/>
                      <w:u w:val="none" w:color="auto"/>
                    </w:rPr>
                    <w:drawing>
                      <wp:inline distT="0" distB="0" distL="114300" distR="114300">
                        <wp:extent cx="1102360" cy="1078230"/>
                        <wp:effectExtent l="0" t="0" r="2540" b="7620"/>
                        <wp:docPr id="5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5"/>
                                <pic:cNvPicPr>
                                  <a:picLocks noChangeAspect="1"/>
                                </pic:cNvPicPr>
                              </pic:nvPicPr>
                              <pic:blipFill>
                                <a:blip r:embed="rId17"/>
                                <a:stretch>
                                  <a:fillRect/>
                                </a:stretch>
                              </pic:blipFill>
                              <pic:spPr>
                                <a:xfrm>
                                  <a:off x="0" y="0"/>
                                  <a:ext cx="1102360" cy="1078230"/>
                                </a:xfrm>
                                <a:prstGeom prst="rect">
                                  <a:avLst/>
                                </a:prstGeom>
                                <a:noFill/>
                                <a:ln>
                                  <a:noFill/>
                                </a:ln>
                              </pic:spPr>
                            </pic:pic>
                          </a:graphicData>
                        </a:graphic>
                      </wp:inline>
                    </w:drawing>
                  </w:r>
                </w:p>
              </w:tc>
              <w:tc>
                <w:tcPr>
                  <w:tcW w:w="1087" w:type="dxa"/>
                  <w:vAlign w:val="center"/>
                </w:tcPr>
                <w:p w14:paraId="2336B01D">
                  <w:pPr>
                    <w:pStyle w:val="24"/>
                    <w:bidi w:val="0"/>
                    <w:jc w:val="center"/>
                    <w:rPr>
                      <w:rFonts w:hint="default"/>
                      <w:color w:val="auto"/>
                      <w:sz w:val="24"/>
                      <w:szCs w:val="24"/>
                      <w:u w:val="none" w:color="auto"/>
                    </w:rPr>
                  </w:pPr>
                  <w:r>
                    <w:rPr>
                      <w:rFonts w:hint="default"/>
                      <w:color w:val="auto"/>
                      <w:sz w:val="24"/>
                      <w:szCs w:val="24"/>
                      <w:u w:val="none" w:color="auto"/>
                    </w:rPr>
                    <w:t>危险废物</w:t>
                  </w:r>
                </w:p>
              </w:tc>
              <w:tc>
                <w:tcPr>
                  <w:tcW w:w="1371" w:type="dxa"/>
                  <w:vAlign w:val="center"/>
                </w:tcPr>
                <w:p w14:paraId="07FC6986">
                  <w:pPr>
                    <w:pStyle w:val="24"/>
                    <w:bidi w:val="0"/>
                    <w:jc w:val="center"/>
                    <w:rPr>
                      <w:rFonts w:hint="default"/>
                      <w:color w:val="auto"/>
                      <w:sz w:val="24"/>
                      <w:szCs w:val="24"/>
                      <w:u w:val="none" w:color="auto"/>
                    </w:rPr>
                  </w:pPr>
                  <w:r>
                    <w:rPr>
                      <w:rFonts w:hint="default"/>
                      <w:color w:val="auto"/>
                      <w:sz w:val="24"/>
                      <w:szCs w:val="24"/>
                      <w:u w:val="none" w:color="auto"/>
                    </w:rPr>
                    <w:t>粘贴或系挂于危险废物储存容器或包装物上</w:t>
                  </w:r>
                </w:p>
              </w:tc>
            </w:tr>
          </w:tbl>
          <w:p w14:paraId="6FEF7E45">
            <w:pPr>
              <w:pStyle w:val="23"/>
              <w:bidi w:val="0"/>
              <w:rPr>
                <w:rFonts w:hint="default"/>
                <w:color w:val="auto"/>
                <w:sz w:val="24"/>
                <w:szCs w:val="24"/>
                <w:u w:val="none" w:color="auto"/>
              </w:rPr>
            </w:pPr>
          </w:p>
          <w:p w14:paraId="058638F0">
            <w:pPr>
              <w:pStyle w:val="7"/>
              <w:bidi w:val="0"/>
              <w:ind w:firstLine="480" w:firstLineChars="200"/>
              <w:jc w:val="both"/>
              <w:rPr>
                <w:rFonts w:hint="eastAsia" w:eastAsia="宋体"/>
                <w:color w:val="auto"/>
                <w:sz w:val="24"/>
                <w:szCs w:val="24"/>
                <w:u w:val="none" w:color="auto"/>
                <w:lang w:val="en-US" w:eastAsia="zh-CN"/>
              </w:rPr>
            </w:pPr>
            <w:r>
              <w:rPr>
                <w:rFonts w:hint="default"/>
                <w:color w:val="auto"/>
                <w:sz w:val="24"/>
                <w:szCs w:val="24"/>
                <w:u w:val="none" w:color="auto"/>
              </w:rPr>
              <w:t>④竣工环境保护验收</w:t>
            </w:r>
            <w:r>
              <w:rPr>
                <w:rFonts w:hint="eastAsia"/>
                <w:color w:val="auto"/>
                <w:sz w:val="24"/>
                <w:szCs w:val="24"/>
                <w:u w:val="none" w:color="auto"/>
                <w:lang w:val="en-US" w:eastAsia="zh-CN"/>
              </w:rPr>
              <w:t>内容和要求</w:t>
            </w:r>
          </w:p>
          <w:p w14:paraId="1FC230F9">
            <w:pPr>
              <w:pStyle w:val="7"/>
              <w:bidi w:val="0"/>
              <w:ind w:firstLine="480" w:firstLineChars="200"/>
              <w:jc w:val="both"/>
              <w:rPr>
                <w:rFonts w:hint="default"/>
                <w:color w:val="auto"/>
                <w:sz w:val="24"/>
                <w:szCs w:val="24"/>
                <w:u w:val="none" w:color="auto"/>
              </w:rPr>
            </w:pPr>
            <w:r>
              <w:rPr>
                <w:rFonts w:hint="default"/>
                <w:color w:val="auto"/>
                <w:sz w:val="24"/>
                <w:szCs w:val="24"/>
                <w:u w:val="none" w:color="auto"/>
              </w:rPr>
              <w:t>建设项目竣工环境保护企业自行验收工作程序：</w:t>
            </w:r>
          </w:p>
          <w:p w14:paraId="5945E0B9">
            <w:pPr>
              <w:pStyle w:val="7"/>
              <w:bidi w:val="0"/>
              <w:ind w:firstLine="480" w:firstLineChars="200"/>
              <w:jc w:val="both"/>
              <w:rPr>
                <w:rFonts w:hint="default"/>
                <w:color w:val="auto"/>
                <w:sz w:val="24"/>
                <w:szCs w:val="24"/>
                <w:u w:val="none" w:color="auto"/>
              </w:rPr>
            </w:pPr>
            <w:r>
              <w:rPr>
                <w:rFonts w:hint="eastAsia"/>
                <w:color w:val="auto"/>
                <w:sz w:val="24"/>
                <w:szCs w:val="24"/>
                <w:u w:val="none" w:color="auto"/>
                <w:lang w:val="en-US" w:eastAsia="zh-CN"/>
              </w:rPr>
              <w:t>A、</w:t>
            </w:r>
            <w:r>
              <w:rPr>
                <w:rFonts w:hint="default"/>
                <w:color w:val="auto"/>
                <w:sz w:val="24"/>
                <w:szCs w:val="24"/>
                <w:u w:val="none" w:color="auto"/>
              </w:rPr>
              <w:t>在建设项目竣工后、正式投入生产或运行前，企业按照环境影响报告表及其批复文件要求，对与主体工程配套建设的环境保护设施落实情况进行查验。</w:t>
            </w:r>
          </w:p>
          <w:p w14:paraId="12F440A6">
            <w:pPr>
              <w:pStyle w:val="7"/>
              <w:bidi w:val="0"/>
              <w:ind w:firstLine="480" w:firstLineChars="200"/>
              <w:jc w:val="both"/>
              <w:rPr>
                <w:rFonts w:hint="default"/>
                <w:color w:val="auto"/>
                <w:sz w:val="24"/>
                <w:szCs w:val="24"/>
                <w:u w:val="none" w:color="auto"/>
              </w:rPr>
            </w:pPr>
            <w:r>
              <w:rPr>
                <w:rFonts w:hint="eastAsia"/>
                <w:color w:val="auto"/>
                <w:sz w:val="24"/>
                <w:szCs w:val="24"/>
                <w:u w:val="none" w:color="auto"/>
                <w:lang w:val="en-US" w:eastAsia="zh-CN"/>
              </w:rPr>
              <w:t>B、</w:t>
            </w:r>
            <w:r>
              <w:rPr>
                <w:rFonts w:hint="default"/>
                <w:color w:val="auto"/>
                <w:sz w:val="24"/>
                <w:szCs w:val="24"/>
                <w:u w:val="none" w:color="auto"/>
              </w:rPr>
              <w:t>按照环境保护主管部门制定的竣工环境保护验收技术规范，企业自行编制或委托具备相应技术能力的机构，对建设项目环境保护设施落实情况进行调查，开展相关环境监测，编制竣工环境保护验收调查（监测）报告。企业、验收调查（监测）机构及其相关人员对验收调查（监测）报告结论终身负责。</w:t>
            </w:r>
          </w:p>
          <w:p w14:paraId="657CA7C4">
            <w:pPr>
              <w:pStyle w:val="7"/>
              <w:bidi w:val="0"/>
              <w:ind w:firstLine="480" w:firstLineChars="200"/>
              <w:jc w:val="both"/>
              <w:rPr>
                <w:rFonts w:hint="default"/>
                <w:color w:val="auto"/>
                <w:sz w:val="24"/>
                <w:szCs w:val="24"/>
                <w:u w:val="none" w:color="auto"/>
              </w:rPr>
            </w:pPr>
            <w:r>
              <w:rPr>
                <w:rFonts w:hint="eastAsia"/>
                <w:color w:val="auto"/>
                <w:sz w:val="24"/>
                <w:szCs w:val="24"/>
                <w:u w:val="none" w:color="auto"/>
                <w:lang w:val="en-US" w:eastAsia="zh-CN"/>
              </w:rPr>
              <w:t>C、</w:t>
            </w:r>
            <w:r>
              <w:rPr>
                <w:rFonts w:hint="default"/>
                <w:color w:val="auto"/>
                <w:sz w:val="24"/>
                <w:szCs w:val="24"/>
                <w:u w:val="none" w:color="auto"/>
              </w:rPr>
              <w:t>验收调查（监测）报告编制完成后，由企业法人组织对建设项目环境保护设施和环境保护措施进行验收，形成书面报告备查，并向社会公开。</w:t>
            </w:r>
          </w:p>
          <w:p w14:paraId="73411427">
            <w:pPr>
              <w:pStyle w:val="7"/>
              <w:bidi w:val="0"/>
              <w:ind w:firstLine="480" w:firstLineChars="200"/>
              <w:jc w:val="both"/>
              <w:rPr>
                <w:rFonts w:hint="default"/>
                <w:color w:val="auto"/>
                <w:sz w:val="24"/>
                <w:szCs w:val="24"/>
                <w:u w:val="none" w:color="auto"/>
              </w:rPr>
            </w:pPr>
            <w:r>
              <w:rPr>
                <w:rFonts w:hint="eastAsia"/>
                <w:color w:val="auto"/>
                <w:sz w:val="24"/>
                <w:szCs w:val="24"/>
                <w:u w:val="none" w:color="auto"/>
                <w:lang w:val="en-US" w:eastAsia="zh-CN"/>
              </w:rPr>
              <w:t>D、</w:t>
            </w:r>
            <w:r>
              <w:rPr>
                <w:rFonts w:hint="default"/>
                <w:color w:val="auto"/>
                <w:sz w:val="24"/>
                <w:szCs w:val="24"/>
                <w:u w:val="none" w:color="auto"/>
              </w:rPr>
              <w:t>企业自行组织竣工环境保护验收时，应成立验收组，对建设项目环境保护设施及其他环境保护措施进行资料审查、现场踏勘，形成验收意见，验收组成员名单附后。</w:t>
            </w:r>
          </w:p>
          <w:p w14:paraId="3EF3812E">
            <w:pPr>
              <w:pStyle w:val="7"/>
              <w:bidi w:val="0"/>
              <w:ind w:firstLine="480" w:firstLineChars="200"/>
              <w:jc w:val="both"/>
              <w:rPr>
                <w:rFonts w:hint="eastAsia"/>
                <w:color w:val="auto"/>
                <w:sz w:val="24"/>
                <w:szCs w:val="24"/>
                <w:u w:val="none" w:color="auto"/>
                <w:lang w:val="en-US" w:eastAsia="zh-CN"/>
              </w:rPr>
            </w:pPr>
            <w:r>
              <w:rPr>
                <w:rFonts w:hint="eastAsia"/>
                <w:color w:val="auto"/>
                <w:sz w:val="24"/>
                <w:szCs w:val="24"/>
                <w:u w:val="none" w:color="auto"/>
                <w:lang w:val="en-US" w:eastAsia="zh-CN"/>
              </w:rPr>
              <w:t>⑤三同时”管理要求</w:t>
            </w:r>
          </w:p>
          <w:p w14:paraId="04E09CA3">
            <w:pPr>
              <w:pStyle w:val="7"/>
              <w:bidi w:val="0"/>
              <w:ind w:firstLine="480" w:firstLineChars="200"/>
              <w:jc w:val="both"/>
              <w:rPr>
                <w:rFonts w:hint="default" w:eastAsia="宋体"/>
                <w:color w:val="auto"/>
                <w:sz w:val="24"/>
                <w:szCs w:val="24"/>
                <w:u w:val="none" w:color="auto"/>
                <w:lang w:val="en-US" w:eastAsia="zh-CN"/>
              </w:rPr>
            </w:pPr>
            <w:r>
              <w:rPr>
                <w:rFonts w:hint="eastAsia"/>
                <w:color w:val="auto"/>
                <w:sz w:val="24"/>
                <w:szCs w:val="24"/>
                <w:u w:val="none" w:color="auto"/>
                <w:lang w:val="en-US" w:eastAsia="zh-CN"/>
              </w:rPr>
              <w:t>本项目配套的环境保护设施应与主体工程同时设计、同时施工、同时投产使用；根据《建设项目环境保护管理条例》，企业自主验收，需进一步强化对环境保护“三同时”主体责任，各级环境保护部门加强对建设单位的指导和监督检查，确保验收内容不缺项，验收标准不降低，验收结果全公开。</w:t>
            </w:r>
          </w:p>
        </w:tc>
      </w:tr>
    </w:tbl>
    <w:p w14:paraId="3E66EEC9">
      <w:pPr>
        <w:rPr>
          <w:rFonts w:hint="eastAsia"/>
          <w:color w:val="4874CB" w:themeColor="accent1"/>
          <w:lang w:val="en-US" w:eastAsia="zh-CN"/>
          <w14:textFill>
            <w14:solidFill>
              <w14:schemeClr w14:val="accent1"/>
            </w14:solidFill>
          </w14:textFill>
        </w:rPr>
      </w:pPr>
      <w:r>
        <w:rPr>
          <w:rFonts w:hint="eastAsia"/>
          <w:color w:val="4874CB" w:themeColor="accent1"/>
          <w:lang w:val="en-US" w:eastAsia="zh-CN"/>
          <w14:textFill>
            <w14:solidFill>
              <w14:schemeClr w14:val="accent1"/>
            </w14:solidFill>
          </w14:textFill>
        </w:rPr>
        <w:br w:type="page"/>
      </w:r>
    </w:p>
    <w:p w14:paraId="57333CFA">
      <w:pPr>
        <w:pStyle w:val="2"/>
        <w:numPr>
          <w:ilvl w:val="0"/>
          <w:numId w:val="4"/>
        </w:numPr>
        <w:bidi w:val="0"/>
        <w:ind w:left="0" w:leftChars="0" w:firstLine="0" w:firstLineChars="0"/>
        <w:rPr>
          <w:rFonts w:hint="eastAsia"/>
          <w:color w:val="auto"/>
          <w:lang w:val="en-US" w:eastAsia="zh-CN"/>
        </w:rPr>
      </w:pPr>
      <w:bookmarkStart w:id="15" w:name="_Toc17199"/>
      <w:bookmarkStart w:id="16" w:name="_Toc18087"/>
      <w:r>
        <w:rPr>
          <w:rFonts w:hint="eastAsia"/>
          <w:color w:val="auto"/>
          <w:lang w:val="en-US" w:eastAsia="zh-CN"/>
        </w:rPr>
        <w:t>结论</w:t>
      </w:r>
      <w:bookmarkEnd w:id="15"/>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3EE5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218285E9">
            <w:pPr>
              <w:pStyle w:val="5"/>
              <w:bidi w:val="0"/>
              <w:rPr>
                <w:rFonts w:hint="eastAsia"/>
                <w:color w:val="auto"/>
                <w:lang w:val="en-US" w:eastAsia="zh-CN"/>
              </w:rPr>
            </w:pPr>
            <w:r>
              <w:rPr>
                <w:rFonts w:hint="eastAsia"/>
                <w:color w:val="auto"/>
                <w:lang w:val="en-US" w:eastAsia="zh-CN"/>
              </w:rPr>
              <w:t>本项目建设符合现行国家产业政策要求，选址地不占用生态红线，符合当地“三线一单”生态环境分区管控要求。通过严格落实报告表提出的各项污染防治措施和环境风险防控措施前提下，排放的污染物均能达标排放，其对周边区域环境影响较小。从环境保护的角度考虑，本项目建设是可行的。</w:t>
            </w:r>
          </w:p>
          <w:p w14:paraId="3A6582BC">
            <w:pPr>
              <w:rPr>
                <w:rFonts w:hint="eastAsia"/>
                <w:color w:val="4874CB" w:themeColor="accent1"/>
                <w:lang w:val="en-US" w:eastAsia="zh-CN"/>
                <w14:textFill>
                  <w14:solidFill>
                    <w14:schemeClr w14:val="accent1"/>
                  </w14:solidFill>
                </w14:textFill>
              </w:rPr>
            </w:pPr>
          </w:p>
          <w:p w14:paraId="55059873">
            <w:pPr>
              <w:rPr>
                <w:rFonts w:hint="eastAsia"/>
                <w:color w:val="4874CB" w:themeColor="accent1"/>
                <w:lang w:val="en-US" w:eastAsia="zh-CN"/>
                <w14:textFill>
                  <w14:solidFill>
                    <w14:schemeClr w14:val="accent1"/>
                  </w14:solidFill>
                </w14:textFill>
              </w:rPr>
            </w:pPr>
          </w:p>
          <w:p w14:paraId="2B946022">
            <w:pPr>
              <w:rPr>
                <w:rFonts w:hint="eastAsia"/>
                <w:color w:val="4874CB" w:themeColor="accent1"/>
                <w:lang w:val="en-US" w:eastAsia="zh-CN"/>
                <w14:textFill>
                  <w14:solidFill>
                    <w14:schemeClr w14:val="accent1"/>
                  </w14:solidFill>
                </w14:textFill>
              </w:rPr>
            </w:pPr>
          </w:p>
          <w:p w14:paraId="56D88791">
            <w:pPr>
              <w:rPr>
                <w:rFonts w:hint="eastAsia"/>
                <w:color w:val="4874CB" w:themeColor="accent1"/>
                <w:lang w:val="en-US" w:eastAsia="zh-CN"/>
                <w14:textFill>
                  <w14:solidFill>
                    <w14:schemeClr w14:val="accent1"/>
                  </w14:solidFill>
                </w14:textFill>
              </w:rPr>
            </w:pPr>
          </w:p>
          <w:p w14:paraId="535B41D3">
            <w:pPr>
              <w:rPr>
                <w:rFonts w:hint="eastAsia"/>
                <w:color w:val="4874CB" w:themeColor="accent1"/>
                <w:lang w:val="en-US" w:eastAsia="zh-CN"/>
                <w14:textFill>
                  <w14:solidFill>
                    <w14:schemeClr w14:val="accent1"/>
                  </w14:solidFill>
                </w14:textFill>
              </w:rPr>
            </w:pPr>
          </w:p>
          <w:p w14:paraId="776C377B">
            <w:pPr>
              <w:rPr>
                <w:rFonts w:hint="eastAsia"/>
                <w:color w:val="4874CB" w:themeColor="accent1"/>
                <w:lang w:val="en-US" w:eastAsia="zh-CN"/>
                <w14:textFill>
                  <w14:solidFill>
                    <w14:schemeClr w14:val="accent1"/>
                  </w14:solidFill>
                </w14:textFill>
              </w:rPr>
            </w:pPr>
          </w:p>
          <w:p w14:paraId="06F7EBBD">
            <w:pPr>
              <w:rPr>
                <w:rFonts w:hint="eastAsia"/>
                <w:color w:val="4874CB" w:themeColor="accent1"/>
                <w:lang w:val="en-US" w:eastAsia="zh-CN"/>
                <w14:textFill>
                  <w14:solidFill>
                    <w14:schemeClr w14:val="accent1"/>
                  </w14:solidFill>
                </w14:textFill>
              </w:rPr>
            </w:pPr>
          </w:p>
          <w:p w14:paraId="4E5B272B">
            <w:pPr>
              <w:rPr>
                <w:rFonts w:hint="eastAsia"/>
                <w:color w:val="4874CB" w:themeColor="accent1"/>
                <w:lang w:val="en-US" w:eastAsia="zh-CN"/>
                <w14:textFill>
                  <w14:solidFill>
                    <w14:schemeClr w14:val="accent1"/>
                  </w14:solidFill>
                </w14:textFill>
              </w:rPr>
            </w:pPr>
          </w:p>
          <w:p w14:paraId="1637F12C">
            <w:pPr>
              <w:rPr>
                <w:rFonts w:hint="eastAsia"/>
                <w:color w:val="4874CB" w:themeColor="accent1"/>
                <w:lang w:val="en-US" w:eastAsia="zh-CN"/>
                <w14:textFill>
                  <w14:solidFill>
                    <w14:schemeClr w14:val="accent1"/>
                  </w14:solidFill>
                </w14:textFill>
              </w:rPr>
            </w:pPr>
          </w:p>
          <w:p w14:paraId="122A5779">
            <w:pPr>
              <w:rPr>
                <w:rFonts w:hint="eastAsia"/>
                <w:color w:val="4874CB" w:themeColor="accent1"/>
                <w:lang w:val="en-US" w:eastAsia="zh-CN"/>
                <w14:textFill>
                  <w14:solidFill>
                    <w14:schemeClr w14:val="accent1"/>
                  </w14:solidFill>
                </w14:textFill>
              </w:rPr>
            </w:pPr>
          </w:p>
          <w:p w14:paraId="738BF9A5">
            <w:pPr>
              <w:rPr>
                <w:rFonts w:hint="eastAsia"/>
                <w:color w:val="4874CB" w:themeColor="accent1"/>
                <w:lang w:val="en-US" w:eastAsia="zh-CN"/>
                <w14:textFill>
                  <w14:solidFill>
                    <w14:schemeClr w14:val="accent1"/>
                  </w14:solidFill>
                </w14:textFill>
              </w:rPr>
            </w:pPr>
          </w:p>
          <w:p w14:paraId="73097AE7">
            <w:pPr>
              <w:rPr>
                <w:rFonts w:hint="eastAsia"/>
                <w:color w:val="4874CB" w:themeColor="accent1"/>
                <w:lang w:val="en-US" w:eastAsia="zh-CN"/>
                <w14:textFill>
                  <w14:solidFill>
                    <w14:schemeClr w14:val="accent1"/>
                  </w14:solidFill>
                </w14:textFill>
              </w:rPr>
            </w:pPr>
          </w:p>
          <w:p w14:paraId="074B7601">
            <w:pPr>
              <w:rPr>
                <w:rFonts w:hint="eastAsia"/>
                <w:color w:val="4874CB" w:themeColor="accent1"/>
                <w:lang w:val="en-US" w:eastAsia="zh-CN"/>
                <w14:textFill>
                  <w14:solidFill>
                    <w14:schemeClr w14:val="accent1"/>
                  </w14:solidFill>
                </w14:textFill>
              </w:rPr>
            </w:pPr>
          </w:p>
          <w:p w14:paraId="4D69B495">
            <w:pPr>
              <w:rPr>
                <w:rFonts w:hint="eastAsia"/>
                <w:color w:val="4874CB" w:themeColor="accent1"/>
                <w:lang w:val="en-US" w:eastAsia="zh-CN"/>
                <w14:textFill>
                  <w14:solidFill>
                    <w14:schemeClr w14:val="accent1"/>
                  </w14:solidFill>
                </w14:textFill>
              </w:rPr>
            </w:pPr>
          </w:p>
          <w:p w14:paraId="025E087E">
            <w:pPr>
              <w:rPr>
                <w:rFonts w:hint="eastAsia"/>
                <w:color w:val="4874CB" w:themeColor="accent1"/>
                <w:lang w:val="en-US" w:eastAsia="zh-CN"/>
                <w14:textFill>
                  <w14:solidFill>
                    <w14:schemeClr w14:val="accent1"/>
                  </w14:solidFill>
                </w14:textFill>
              </w:rPr>
            </w:pPr>
          </w:p>
          <w:p w14:paraId="16765C1B">
            <w:pPr>
              <w:rPr>
                <w:rFonts w:hint="eastAsia"/>
                <w:color w:val="4874CB" w:themeColor="accent1"/>
                <w:lang w:val="en-US" w:eastAsia="zh-CN"/>
                <w14:textFill>
                  <w14:solidFill>
                    <w14:schemeClr w14:val="accent1"/>
                  </w14:solidFill>
                </w14:textFill>
              </w:rPr>
            </w:pPr>
          </w:p>
          <w:p w14:paraId="16E9160B">
            <w:pPr>
              <w:rPr>
                <w:rFonts w:hint="eastAsia"/>
                <w:color w:val="4874CB" w:themeColor="accent1"/>
                <w:lang w:val="en-US" w:eastAsia="zh-CN"/>
                <w14:textFill>
                  <w14:solidFill>
                    <w14:schemeClr w14:val="accent1"/>
                  </w14:solidFill>
                </w14:textFill>
              </w:rPr>
            </w:pPr>
          </w:p>
          <w:p w14:paraId="6B969EDC">
            <w:pPr>
              <w:rPr>
                <w:rFonts w:hint="eastAsia"/>
                <w:color w:val="4874CB" w:themeColor="accent1"/>
                <w:lang w:val="en-US" w:eastAsia="zh-CN"/>
                <w14:textFill>
                  <w14:solidFill>
                    <w14:schemeClr w14:val="accent1"/>
                  </w14:solidFill>
                </w14:textFill>
              </w:rPr>
            </w:pPr>
          </w:p>
          <w:p w14:paraId="169E5823">
            <w:pPr>
              <w:rPr>
                <w:rFonts w:hint="eastAsia"/>
                <w:color w:val="4874CB" w:themeColor="accent1"/>
                <w:lang w:val="en-US" w:eastAsia="zh-CN"/>
                <w14:textFill>
                  <w14:solidFill>
                    <w14:schemeClr w14:val="accent1"/>
                  </w14:solidFill>
                </w14:textFill>
              </w:rPr>
            </w:pPr>
          </w:p>
          <w:p w14:paraId="5DD00D22">
            <w:pPr>
              <w:rPr>
                <w:rFonts w:hint="eastAsia"/>
                <w:color w:val="4874CB" w:themeColor="accent1"/>
                <w:lang w:val="en-US" w:eastAsia="zh-CN"/>
                <w14:textFill>
                  <w14:solidFill>
                    <w14:schemeClr w14:val="accent1"/>
                  </w14:solidFill>
                </w14:textFill>
              </w:rPr>
            </w:pPr>
          </w:p>
          <w:p w14:paraId="6DBC748B">
            <w:pPr>
              <w:rPr>
                <w:rFonts w:hint="eastAsia"/>
                <w:color w:val="4874CB" w:themeColor="accent1"/>
                <w:lang w:val="en-US" w:eastAsia="zh-CN"/>
                <w14:textFill>
                  <w14:solidFill>
                    <w14:schemeClr w14:val="accent1"/>
                  </w14:solidFill>
                </w14:textFill>
              </w:rPr>
            </w:pPr>
          </w:p>
          <w:p w14:paraId="23EBF569">
            <w:pPr>
              <w:rPr>
                <w:rFonts w:hint="eastAsia"/>
                <w:color w:val="4874CB" w:themeColor="accent1"/>
                <w:lang w:val="en-US" w:eastAsia="zh-CN"/>
                <w14:textFill>
                  <w14:solidFill>
                    <w14:schemeClr w14:val="accent1"/>
                  </w14:solidFill>
                </w14:textFill>
              </w:rPr>
            </w:pPr>
          </w:p>
          <w:p w14:paraId="0CFEB5F1">
            <w:pPr>
              <w:rPr>
                <w:rFonts w:hint="eastAsia"/>
                <w:color w:val="4874CB" w:themeColor="accent1"/>
                <w:lang w:val="en-US" w:eastAsia="zh-CN"/>
                <w14:textFill>
                  <w14:solidFill>
                    <w14:schemeClr w14:val="accent1"/>
                  </w14:solidFill>
                </w14:textFill>
              </w:rPr>
            </w:pPr>
          </w:p>
        </w:tc>
      </w:tr>
    </w:tbl>
    <w:p w14:paraId="5D4B495C">
      <w:pPr>
        <w:numPr>
          <w:ilvl w:val="0"/>
          <w:numId w:val="0"/>
        </w:numPr>
        <w:ind w:leftChars="0"/>
        <w:rPr>
          <w:rFonts w:hint="eastAsia"/>
          <w:color w:val="4874CB" w:themeColor="accent1"/>
          <w:lang w:val="en-US" w:eastAsia="zh-CN"/>
          <w14:textFill>
            <w14:solidFill>
              <w14:schemeClr w14:val="accent1"/>
            </w14:solidFill>
          </w14:textFill>
        </w:rPr>
        <w:sectPr>
          <w:footerReference r:id="rId5" w:type="default"/>
          <w:pgSz w:w="11906" w:h="16838"/>
          <w:pgMar w:top="1440" w:right="1800" w:bottom="1440" w:left="1800" w:header="851" w:footer="992" w:gutter="0"/>
          <w:pgNumType w:fmt="decimal" w:start="1"/>
          <w:cols w:space="425" w:num="1"/>
          <w:docGrid w:type="lines" w:linePitch="312" w:charSpace="0"/>
        </w:sectPr>
      </w:pPr>
    </w:p>
    <w:p w14:paraId="171E15E2">
      <w:pPr>
        <w:pStyle w:val="2"/>
        <w:bidi w:val="0"/>
        <w:rPr>
          <w:rFonts w:hint="eastAsia"/>
          <w:color w:val="auto"/>
          <w:lang w:val="en-US" w:eastAsia="zh-CN"/>
        </w:rPr>
      </w:pPr>
      <w:r>
        <w:rPr>
          <w:rFonts w:hint="eastAsia"/>
          <w:color w:val="auto"/>
          <w:lang w:val="en-US" w:eastAsia="zh-CN"/>
        </w:rPr>
        <w:t>建设项目污染物排放量汇总表</w:t>
      </w:r>
      <w:bookmarkEnd w:id="16"/>
    </w:p>
    <w:tbl>
      <w:tblPr>
        <w:tblStyle w:val="1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0"/>
        <w:gridCol w:w="1808"/>
        <w:gridCol w:w="1476"/>
        <w:gridCol w:w="1229"/>
        <w:gridCol w:w="1638"/>
        <w:gridCol w:w="1609"/>
        <w:gridCol w:w="1590"/>
        <w:gridCol w:w="1888"/>
        <w:gridCol w:w="795"/>
      </w:tblGrid>
      <w:tr w14:paraId="08B35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70" w:type="pct"/>
            <w:tcBorders>
              <w:tl2br w:val="nil"/>
              <w:tr2bl w:val="nil"/>
            </w:tcBorders>
            <w:tcMar>
              <w:top w:w="0" w:type="dxa"/>
              <w:left w:w="28" w:type="dxa"/>
              <w:bottom w:w="0" w:type="dxa"/>
              <w:right w:w="28" w:type="dxa"/>
            </w:tcMar>
            <w:vAlign w:val="center"/>
          </w:tcPr>
          <w:p w14:paraId="5EF16702">
            <w:pPr>
              <w:pStyle w:val="7"/>
              <w:bidi w:val="0"/>
              <w:rPr>
                <w:rFonts w:hint="default"/>
                <w:color w:val="auto"/>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-8890</wp:posOffset>
                      </wp:positionH>
                      <wp:positionV relativeFrom="paragraph">
                        <wp:posOffset>16510</wp:posOffset>
                      </wp:positionV>
                      <wp:extent cx="779145" cy="578485"/>
                      <wp:effectExtent l="2540" t="3810" r="18415" b="8255"/>
                      <wp:wrapNone/>
                      <wp:docPr id="3" name="直接连接符 3"/>
                      <wp:cNvGraphicFramePr/>
                      <a:graphic xmlns:a="http://schemas.openxmlformats.org/drawingml/2006/main">
                        <a:graphicData uri="http://schemas.microsoft.com/office/word/2010/wordprocessingShape">
                          <wps:wsp>
                            <wps:cNvCnPr/>
                            <wps:spPr>
                              <a:xfrm>
                                <a:off x="1136015" y="1332230"/>
                                <a:ext cx="779145" cy="578485"/>
                              </a:xfrm>
                              <a:prstGeom prst="line">
                                <a:avLst/>
                              </a:prstGeom>
                              <a:ln w="6350">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7pt;margin-top:1.3pt;height:45.55pt;width:61.35pt;z-index:251661312;mso-width-relative:page;mso-height-relative:page;" filled="f" stroked="t" coordsize="21600,21600" o:gfxdata="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KTQX51QAAAAcBAAAPAAAAAAAAAAEAIAAAACIAAABkcnMvZG93bnJldi54bWxQSwECFAAU&#10;AAAACACHTuJAw9iVO/QBAADBAwAADgAAAAAAAAABACAAAAAkAQAAZHJzL2Uyb0RvYy54bWxQSwUG&#10;AAAAAAYABgBZAQAAigUAAAAA&#10;">
                      <v:fill on="f" focussize="0,0"/>
                      <v:stroke weight="0.5pt" color="#000000 [3213]" miterlimit="8" joinstyle="miter"/>
                      <v:imagedata o:title=""/>
                      <o:lock v:ext="edit" aspectratio="f"/>
                    </v:line>
                  </w:pict>
                </mc:Fallback>
              </mc:AlternateContent>
            </w:r>
            <w:r>
              <w:rPr>
                <w:rFonts w:hint="default"/>
                <w:color w:val="auto"/>
              </w:rPr>
              <w:t>项目</w:t>
            </w:r>
          </w:p>
          <w:p w14:paraId="3727B506">
            <w:pPr>
              <w:pStyle w:val="7"/>
              <w:bidi w:val="0"/>
              <w:rPr>
                <w:rFonts w:hint="default"/>
                <w:color w:val="auto"/>
              </w:rPr>
            </w:pPr>
          </w:p>
          <w:p w14:paraId="4116332E">
            <w:pPr>
              <w:pStyle w:val="7"/>
              <w:bidi w:val="0"/>
              <w:jc w:val="both"/>
              <w:rPr>
                <w:rFonts w:hint="default"/>
                <w:color w:val="auto"/>
              </w:rPr>
            </w:pPr>
            <w:r>
              <w:rPr>
                <w:rFonts w:hint="default"/>
                <w:color w:val="auto"/>
              </w:rPr>
              <w:t>分类</w:t>
            </w:r>
          </w:p>
        </w:tc>
        <w:tc>
          <w:tcPr>
            <w:tcW w:w="680" w:type="pct"/>
            <w:tcBorders>
              <w:tl2br w:val="nil"/>
              <w:tr2bl w:val="nil"/>
            </w:tcBorders>
            <w:tcMar>
              <w:top w:w="0" w:type="dxa"/>
              <w:left w:w="28" w:type="dxa"/>
              <w:bottom w:w="0" w:type="dxa"/>
              <w:right w:w="28" w:type="dxa"/>
            </w:tcMar>
            <w:vAlign w:val="center"/>
          </w:tcPr>
          <w:p w14:paraId="5BD2CCE6">
            <w:pPr>
              <w:pStyle w:val="7"/>
              <w:bidi w:val="0"/>
              <w:rPr>
                <w:rFonts w:hint="default"/>
                <w:color w:val="auto"/>
              </w:rPr>
            </w:pPr>
            <w:r>
              <w:rPr>
                <w:rFonts w:hint="default"/>
                <w:color w:val="auto"/>
              </w:rPr>
              <w:t>污染物名称</w:t>
            </w:r>
          </w:p>
        </w:tc>
        <w:tc>
          <w:tcPr>
            <w:tcW w:w="555" w:type="pct"/>
            <w:tcBorders>
              <w:tl2br w:val="nil"/>
              <w:tr2bl w:val="nil"/>
            </w:tcBorders>
            <w:tcMar>
              <w:top w:w="0" w:type="dxa"/>
              <w:left w:w="28" w:type="dxa"/>
              <w:bottom w:w="0" w:type="dxa"/>
              <w:right w:w="28" w:type="dxa"/>
            </w:tcMar>
            <w:vAlign w:val="center"/>
          </w:tcPr>
          <w:p w14:paraId="0B1F9665">
            <w:pPr>
              <w:pStyle w:val="7"/>
              <w:bidi w:val="0"/>
              <w:rPr>
                <w:rFonts w:hint="default"/>
                <w:color w:val="auto"/>
              </w:rPr>
            </w:pPr>
            <w:r>
              <w:rPr>
                <w:rFonts w:hint="default"/>
                <w:color w:val="auto"/>
              </w:rPr>
              <w:t>现有工程排放量（固体废物产生量）</w:t>
            </w:r>
            <w:r>
              <w:rPr>
                <w:rFonts w:hint="default"/>
                <w:color w:val="auto"/>
              </w:rPr>
              <w:fldChar w:fldCharType="begin"/>
            </w:r>
            <w:r>
              <w:rPr>
                <w:rFonts w:hint="default"/>
                <w:color w:val="auto"/>
              </w:rPr>
              <w:instrText xml:space="preserve"> = 1 \* GB3 \* MERGEFORMAT </w:instrText>
            </w:r>
            <w:r>
              <w:rPr>
                <w:rFonts w:hint="default"/>
                <w:color w:val="auto"/>
              </w:rPr>
              <w:fldChar w:fldCharType="separate"/>
            </w:r>
            <w:r>
              <w:rPr>
                <w:rFonts w:hint="default"/>
                <w:color w:val="auto"/>
              </w:rPr>
              <w:t>①</w:t>
            </w:r>
            <w:r>
              <w:rPr>
                <w:rFonts w:hint="default"/>
                <w:color w:val="auto"/>
              </w:rPr>
              <w:fldChar w:fldCharType="end"/>
            </w:r>
          </w:p>
        </w:tc>
        <w:tc>
          <w:tcPr>
            <w:tcW w:w="462" w:type="pct"/>
            <w:tcBorders>
              <w:tl2br w:val="nil"/>
              <w:tr2bl w:val="nil"/>
            </w:tcBorders>
            <w:tcMar>
              <w:top w:w="0" w:type="dxa"/>
              <w:left w:w="28" w:type="dxa"/>
              <w:bottom w:w="0" w:type="dxa"/>
              <w:right w:w="28" w:type="dxa"/>
            </w:tcMar>
            <w:vAlign w:val="center"/>
          </w:tcPr>
          <w:p w14:paraId="051ED424">
            <w:pPr>
              <w:pStyle w:val="7"/>
              <w:bidi w:val="0"/>
              <w:rPr>
                <w:rFonts w:hint="default"/>
                <w:color w:val="auto"/>
              </w:rPr>
            </w:pPr>
            <w:r>
              <w:rPr>
                <w:rFonts w:hint="default"/>
                <w:color w:val="auto"/>
              </w:rPr>
              <w:t>现有工程</w:t>
            </w:r>
          </w:p>
          <w:p w14:paraId="13E7B924">
            <w:pPr>
              <w:pStyle w:val="7"/>
              <w:bidi w:val="0"/>
              <w:rPr>
                <w:rFonts w:hint="default"/>
                <w:color w:val="auto"/>
              </w:rPr>
            </w:pPr>
            <w:r>
              <w:rPr>
                <w:rFonts w:hint="default"/>
                <w:color w:val="auto"/>
              </w:rPr>
              <w:t>许可排放量</w:t>
            </w:r>
            <w:r>
              <w:rPr>
                <w:rFonts w:hint="default"/>
                <w:color w:val="auto"/>
              </w:rPr>
              <w:fldChar w:fldCharType="begin"/>
            </w:r>
            <w:r>
              <w:rPr>
                <w:rFonts w:hint="default"/>
                <w:color w:val="auto"/>
              </w:rPr>
              <w:instrText xml:space="preserve"> = 2 \* GB3 \* MERGEFORMAT </w:instrText>
            </w:r>
            <w:r>
              <w:rPr>
                <w:rFonts w:hint="default"/>
                <w:color w:val="auto"/>
              </w:rPr>
              <w:fldChar w:fldCharType="separate"/>
            </w:r>
            <w:r>
              <w:rPr>
                <w:rFonts w:hint="default"/>
                <w:color w:val="auto"/>
              </w:rPr>
              <w:t>②</w:t>
            </w:r>
            <w:r>
              <w:rPr>
                <w:rFonts w:hint="default"/>
                <w:color w:val="auto"/>
              </w:rPr>
              <w:fldChar w:fldCharType="end"/>
            </w:r>
          </w:p>
        </w:tc>
        <w:tc>
          <w:tcPr>
            <w:tcW w:w="616" w:type="pct"/>
            <w:tcBorders>
              <w:tl2br w:val="nil"/>
              <w:tr2bl w:val="nil"/>
            </w:tcBorders>
            <w:tcMar>
              <w:top w:w="0" w:type="dxa"/>
              <w:left w:w="28" w:type="dxa"/>
              <w:bottom w:w="0" w:type="dxa"/>
              <w:right w:w="28" w:type="dxa"/>
            </w:tcMar>
            <w:vAlign w:val="center"/>
          </w:tcPr>
          <w:p w14:paraId="6BDF31DE">
            <w:pPr>
              <w:pStyle w:val="7"/>
              <w:bidi w:val="0"/>
              <w:rPr>
                <w:rFonts w:hint="default"/>
                <w:color w:val="auto"/>
              </w:rPr>
            </w:pPr>
            <w:r>
              <w:rPr>
                <w:rFonts w:hint="default"/>
                <w:color w:val="auto"/>
              </w:rPr>
              <w:t>在建工程排放量（固体废物产生量）</w:t>
            </w:r>
            <w:r>
              <w:rPr>
                <w:rFonts w:hint="default"/>
                <w:color w:val="auto"/>
              </w:rPr>
              <w:fldChar w:fldCharType="begin"/>
            </w:r>
            <w:r>
              <w:rPr>
                <w:rFonts w:hint="default"/>
                <w:color w:val="auto"/>
              </w:rPr>
              <w:instrText xml:space="preserve"> = 3 \* GB3 \* MERGEFORMAT </w:instrText>
            </w:r>
            <w:r>
              <w:rPr>
                <w:rFonts w:hint="default"/>
                <w:color w:val="auto"/>
              </w:rPr>
              <w:fldChar w:fldCharType="separate"/>
            </w:r>
            <w:r>
              <w:rPr>
                <w:rFonts w:hint="default"/>
                <w:color w:val="auto"/>
              </w:rPr>
              <w:t>③</w:t>
            </w:r>
            <w:r>
              <w:rPr>
                <w:rFonts w:hint="default"/>
                <w:color w:val="auto"/>
              </w:rPr>
              <w:fldChar w:fldCharType="end"/>
            </w:r>
          </w:p>
        </w:tc>
        <w:tc>
          <w:tcPr>
            <w:tcW w:w="605" w:type="pct"/>
            <w:tcBorders>
              <w:tl2br w:val="nil"/>
              <w:tr2bl w:val="nil"/>
            </w:tcBorders>
            <w:tcMar>
              <w:top w:w="0" w:type="dxa"/>
              <w:left w:w="28" w:type="dxa"/>
              <w:bottom w:w="0" w:type="dxa"/>
              <w:right w:w="28" w:type="dxa"/>
            </w:tcMar>
            <w:vAlign w:val="center"/>
          </w:tcPr>
          <w:p w14:paraId="7E20256B">
            <w:pPr>
              <w:pStyle w:val="7"/>
              <w:bidi w:val="0"/>
              <w:rPr>
                <w:rFonts w:hint="default"/>
                <w:color w:val="auto"/>
              </w:rPr>
            </w:pPr>
            <w:r>
              <w:rPr>
                <w:rFonts w:hint="default"/>
                <w:color w:val="auto"/>
              </w:rPr>
              <w:t>本项目排放量（固体废物产生量）</w:t>
            </w:r>
            <w:r>
              <w:rPr>
                <w:rFonts w:hint="default"/>
                <w:color w:val="auto"/>
              </w:rPr>
              <w:fldChar w:fldCharType="begin"/>
            </w:r>
            <w:r>
              <w:rPr>
                <w:rFonts w:hint="default"/>
                <w:color w:val="auto"/>
              </w:rPr>
              <w:instrText xml:space="preserve"> = 4 \* GB3 \* MERGEFORMAT </w:instrText>
            </w:r>
            <w:r>
              <w:rPr>
                <w:rFonts w:hint="default"/>
                <w:color w:val="auto"/>
              </w:rPr>
              <w:fldChar w:fldCharType="separate"/>
            </w:r>
            <w:r>
              <w:rPr>
                <w:rFonts w:hint="default"/>
                <w:color w:val="auto"/>
              </w:rPr>
              <w:t>④</w:t>
            </w:r>
            <w:r>
              <w:rPr>
                <w:rFonts w:hint="default"/>
                <w:color w:val="auto"/>
              </w:rPr>
              <w:fldChar w:fldCharType="end"/>
            </w:r>
          </w:p>
        </w:tc>
        <w:tc>
          <w:tcPr>
            <w:tcW w:w="598" w:type="pct"/>
            <w:tcBorders>
              <w:tl2br w:val="nil"/>
              <w:tr2bl w:val="nil"/>
            </w:tcBorders>
            <w:tcMar>
              <w:top w:w="0" w:type="dxa"/>
              <w:left w:w="28" w:type="dxa"/>
              <w:bottom w:w="0" w:type="dxa"/>
              <w:right w:w="28" w:type="dxa"/>
            </w:tcMar>
            <w:vAlign w:val="center"/>
          </w:tcPr>
          <w:p w14:paraId="47887AEC">
            <w:pPr>
              <w:pStyle w:val="7"/>
              <w:bidi w:val="0"/>
              <w:rPr>
                <w:rFonts w:hint="default"/>
                <w:color w:val="auto"/>
              </w:rPr>
            </w:pPr>
            <w:r>
              <w:rPr>
                <w:rFonts w:hint="default"/>
                <w:color w:val="auto"/>
              </w:rPr>
              <w:t>以新带老削减量（新建项目不填）</w:t>
            </w:r>
            <w:r>
              <w:rPr>
                <w:rFonts w:hint="default"/>
                <w:color w:val="auto"/>
              </w:rPr>
              <w:fldChar w:fldCharType="begin"/>
            </w:r>
            <w:r>
              <w:rPr>
                <w:rFonts w:hint="default"/>
                <w:color w:val="auto"/>
              </w:rPr>
              <w:instrText xml:space="preserve"> = 5 \* GB3 \* MERGEFORMAT </w:instrText>
            </w:r>
            <w:r>
              <w:rPr>
                <w:rFonts w:hint="default"/>
                <w:color w:val="auto"/>
              </w:rPr>
              <w:fldChar w:fldCharType="separate"/>
            </w:r>
            <w:r>
              <w:rPr>
                <w:rFonts w:hint="default"/>
                <w:color w:val="auto"/>
              </w:rPr>
              <w:t>⑤</w:t>
            </w:r>
            <w:r>
              <w:rPr>
                <w:rFonts w:hint="default"/>
                <w:color w:val="auto"/>
              </w:rPr>
              <w:fldChar w:fldCharType="end"/>
            </w:r>
          </w:p>
        </w:tc>
        <w:tc>
          <w:tcPr>
            <w:tcW w:w="710" w:type="pct"/>
            <w:tcBorders>
              <w:tl2br w:val="nil"/>
              <w:tr2bl w:val="nil"/>
            </w:tcBorders>
            <w:tcMar>
              <w:top w:w="0" w:type="dxa"/>
              <w:left w:w="28" w:type="dxa"/>
              <w:bottom w:w="0" w:type="dxa"/>
              <w:right w:w="28" w:type="dxa"/>
            </w:tcMar>
            <w:vAlign w:val="center"/>
          </w:tcPr>
          <w:p w14:paraId="152CC13F">
            <w:pPr>
              <w:pStyle w:val="7"/>
              <w:bidi w:val="0"/>
              <w:rPr>
                <w:rFonts w:hint="default"/>
                <w:color w:val="auto"/>
              </w:rPr>
            </w:pPr>
            <w:r>
              <w:rPr>
                <w:rFonts w:hint="default"/>
                <w:color w:val="auto"/>
              </w:rPr>
              <w:t>本项目建成后</w:t>
            </w:r>
          </w:p>
          <w:p w14:paraId="4F046C7D">
            <w:pPr>
              <w:pStyle w:val="7"/>
              <w:bidi w:val="0"/>
              <w:rPr>
                <w:rFonts w:hint="default"/>
                <w:color w:val="auto"/>
              </w:rPr>
            </w:pPr>
            <w:r>
              <w:rPr>
                <w:rFonts w:hint="default"/>
                <w:color w:val="auto"/>
              </w:rPr>
              <w:t>全厂排放量（固体废物产生量）</w:t>
            </w:r>
            <w:r>
              <w:rPr>
                <w:rFonts w:hint="default"/>
                <w:color w:val="auto"/>
              </w:rPr>
              <w:fldChar w:fldCharType="begin"/>
            </w:r>
            <w:r>
              <w:rPr>
                <w:rFonts w:hint="default"/>
                <w:color w:val="auto"/>
              </w:rPr>
              <w:instrText xml:space="preserve"> = 6 \* GB3 \* MERGEFORMAT </w:instrText>
            </w:r>
            <w:r>
              <w:rPr>
                <w:rFonts w:hint="default"/>
                <w:color w:val="auto"/>
              </w:rPr>
              <w:fldChar w:fldCharType="separate"/>
            </w:r>
            <w:r>
              <w:rPr>
                <w:rFonts w:hint="default"/>
                <w:color w:val="auto"/>
              </w:rPr>
              <w:t>⑥</w:t>
            </w:r>
            <w:r>
              <w:rPr>
                <w:rFonts w:hint="default"/>
                <w:color w:val="auto"/>
              </w:rPr>
              <w:fldChar w:fldCharType="end"/>
            </w:r>
          </w:p>
        </w:tc>
        <w:tc>
          <w:tcPr>
            <w:tcW w:w="299" w:type="pct"/>
            <w:tcBorders>
              <w:tl2br w:val="nil"/>
              <w:tr2bl w:val="nil"/>
            </w:tcBorders>
            <w:tcMar>
              <w:top w:w="0" w:type="dxa"/>
              <w:left w:w="28" w:type="dxa"/>
              <w:bottom w:w="0" w:type="dxa"/>
              <w:right w:w="28" w:type="dxa"/>
            </w:tcMar>
            <w:vAlign w:val="center"/>
          </w:tcPr>
          <w:p w14:paraId="19B77C1A">
            <w:pPr>
              <w:pStyle w:val="7"/>
              <w:bidi w:val="0"/>
              <w:rPr>
                <w:rFonts w:hint="default"/>
                <w:color w:val="auto"/>
              </w:rPr>
            </w:pPr>
            <w:r>
              <w:rPr>
                <w:rFonts w:hint="default"/>
                <w:color w:val="auto"/>
              </w:rPr>
              <w:t>变化量</w:t>
            </w:r>
          </w:p>
          <w:p w14:paraId="101B8A04">
            <w:pPr>
              <w:pStyle w:val="7"/>
              <w:bidi w:val="0"/>
              <w:rPr>
                <w:rFonts w:hint="default"/>
                <w:color w:val="auto"/>
              </w:rPr>
            </w:pPr>
            <w:r>
              <w:rPr>
                <w:rFonts w:hint="default"/>
                <w:color w:val="auto"/>
              </w:rPr>
              <w:fldChar w:fldCharType="begin"/>
            </w:r>
            <w:r>
              <w:rPr>
                <w:rFonts w:hint="default"/>
                <w:color w:val="auto"/>
              </w:rPr>
              <w:instrText xml:space="preserve"> = 7 \* GB3 \* MERGEFORMAT </w:instrText>
            </w:r>
            <w:r>
              <w:rPr>
                <w:rFonts w:hint="default"/>
                <w:color w:val="auto"/>
              </w:rPr>
              <w:fldChar w:fldCharType="separate"/>
            </w:r>
            <w:r>
              <w:rPr>
                <w:rFonts w:hint="default"/>
                <w:color w:val="auto"/>
              </w:rPr>
              <w:t>⑦</w:t>
            </w:r>
            <w:r>
              <w:rPr>
                <w:rFonts w:hint="default"/>
                <w:color w:val="auto"/>
              </w:rPr>
              <w:fldChar w:fldCharType="end"/>
            </w:r>
          </w:p>
        </w:tc>
      </w:tr>
      <w:tr w14:paraId="21D00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70" w:type="pct"/>
            <w:vMerge w:val="restart"/>
            <w:tcBorders>
              <w:tl2br w:val="nil"/>
              <w:tr2bl w:val="nil"/>
            </w:tcBorders>
            <w:vAlign w:val="center"/>
          </w:tcPr>
          <w:p w14:paraId="7C1A065D">
            <w:pPr>
              <w:pStyle w:val="7"/>
              <w:bidi w:val="0"/>
              <w:rPr>
                <w:rFonts w:hint="default"/>
                <w:color w:val="auto"/>
                <w:u w:val="single"/>
              </w:rPr>
            </w:pPr>
            <w:r>
              <w:rPr>
                <w:rFonts w:hint="default"/>
                <w:color w:val="auto"/>
                <w:u w:val="single"/>
              </w:rPr>
              <w:t>废气</w:t>
            </w:r>
          </w:p>
        </w:tc>
        <w:tc>
          <w:tcPr>
            <w:tcW w:w="680" w:type="pct"/>
            <w:tcBorders>
              <w:tl2br w:val="nil"/>
              <w:tr2bl w:val="nil"/>
            </w:tcBorders>
            <w:vAlign w:val="center"/>
          </w:tcPr>
          <w:p w14:paraId="0A7C2AAC">
            <w:pPr>
              <w:pStyle w:val="7"/>
              <w:bidi w:val="0"/>
              <w:rPr>
                <w:rFonts w:hint="default"/>
                <w:color w:val="auto"/>
                <w:u w:val="single"/>
              </w:rPr>
            </w:pPr>
            <w:r>
              <w:rPr>
                <w:rFonts w:hint="default"/>
                <w:color w:val="auto"/>
                <w:u w:val="single"/>
                <w:lang w:val="en-US" w:eastAsia="zh-CN"/>
              </w:rPr>
              <w:t>粉尘</w:t>
            </w:r>
          </w:p>
        </w:tc>
        <w:tc>
          <w:tcPr>
            <w:tcW w:w="555" w:type="pct"/>
            <w:tcBorders>
              <w:tl2br w:val="nil"/>
              <w:tr2bl w:val="nil"/>
            </w:tcBorders>
            <w:vAlign w:val="center"/>
          </w:tcPr>
          <w:p w14:paraId="7AE8C058">
            <w:pPr>
              <w:pStyle w:val="7"/>
              <w:bidi w:val="0"/>
              <w:rPr>
                <w:rFonts w:hint="eastAsia" w:eastAsia="宋体"/>
                <w:color w:val="auto"/>
                <w:u w:val="single"/>
                <w:lang w:val="en-US" w:eastAsia="zh-CN"/>
              </w:rPr>
            </w:pPr>
            <w:r>
              <w:rPr>
                <w:rFonts w:hint="eastAsia"/>
                <w:color w:val="auto"/>
                <w:u w:val="single"/>
                <w:lang w:val="en-US" w:eastAsia="zh-CN"/>
              </w:rPr>
              <w:t>/</w:t>
            </w:r>
          </w:p>
        </w:tc>
        <w:tc>
          <w:tcPr>
            <w:tcW w:w="462" w:type="pct"/>
            <w:tcBorders>
              <w:tl2br w:val="nil"/>
              <w:tr2bl w:val="nil"/>
            </w:tcBorders>
            <w:vAlign w:val="center"/>
          </w:tcPr>
          <w:p w14:paraId="4987A293">
            <w:pPr>
              <w:pStyle w:val="7"/>
              <w:bidi w:val="0"/>
              <w:jc w:val="center"/>
              <w:rPr>
                <w:rFonts w:hint="eastAsia" w:eastAsia="宋体"/>
                <w:color w:val="auto"/>
                <w:u w:val="single"/>
                <w:lang w:val="en-US" w:eastAsia="zh-CN"/>
              </w:rPr>
            </w:pPr>
            <w:r>
              <w:rPr>
                <w:rFonts w:hint="eastAsia"/>
                <w:color w:val="auto"/>
                <w:u w:val="single"/>
                <w:lang w:val="en-US" w:eastAsia="zh-CN"/>
              </w:rPr>
              <w:t>/</w:t>
            </w:r>
          </w:p>
        </w:tc>
        <w:tc>
          <w:tcPr>
            <w:tcW w:w="616" w:type="pct"/>
            <w:tcBorders>
              <w:tl2br w:val="nil"/>
              <w:tr2bl w:val="nil"/>
            </w:tcBorders>
            <w:vAlign w:val="center"/>
          </w:tcPr>
          <w:p w14:paraId="40DB0516">
            <w:pPr>
              <w:pStyle w:val="7"/>
              <w:bidi w:val="0"/>
              <w:jc w:val="center"/>
              <w:rPr>
                <w:rFonts w:hint="default"/>
                <w:color w:val="auto"/>
                <w:u w:val="single"/>
                <w:lang w:val="en-US" w:eastAsia="zh-CN"/>
              </w:rPr>
            </w:pPr>
            <w:r>
              <w:rPr>
                <w:rFonts w:hint="eastAsia"/>
                <w:color w:val="auto"/>
                <w:u w:val="single"/>
                <w:lang w:val="en-US" w:eastAsia="zh-CN"/>
              </w:rPr>
              <w:t>/</w:t>
            </w:r>
          </w:p>
        </w:tc>
        <w:tc>
          <w:tcPr>
            <w:tcW w:w="605" w:type="pct"/>
            <w:tcBorders>
              <w:tl2br w:val="nil"/>
              <w:tr2bl w:val="nil"/>
            </w:tcBorders>
            <w:vAlign w:val="center"/>
          </w:tcPr>
          <w:p w14:paraId="4404A044">
            <w:pPr>
              <w:pStyle w:val="7"/>
              <w:bidi w:val="0"/>
              <w:rPr>
                <w:rFonts w:hint="default"/>
                <w:color w:val="auto"/>
                <w:u w:val="single"/>
                <w:lang w:val="en-US"/>
              </w:rPr>
            </w:pPr>
            <w:r>
              <w:rPr>
                <w:rFonts w:hint="eastAsia"/>
                <w:color w:val="auto"/>
                <w:u w:val="single"/>
                <w:lang w:val="en-US" w:eastAsia="zh-CN"/>
              </w:rPr>
              <w:t>16.93</w:t>
            </w:r>
          </w:p>
        </w:tc>
        <w:tc>
          <w:tcPr>
            <w:tcW w:w="1590" w:type="dxa"/>
            <w:tcBorders>
              <w:tl2br w:val="nil"/>
              <w:tr2bl w:val="nil"/>
            </w:tcBorders>
            <w:vAlign w:val="center"/>
          </w:tcPr>
          <w:p w14:paraId="7C8A79C2">
            <w:pPr>
              <w:pStyle w:val="7"/>
              <w:bidi w:val="0"/>
              <w:ind w:firstLine="0" w:firstLineChars="0"/>
              <w:jc w:val="center"/>
              <w:rPr>
                <w:rFonts w:hint="eastAsia" w:eastAsia="宋体"/>
                <w:color w:val="auto"/>
                <w:u w:val="single"/>
                <w:lang w:val="en-US" w:eastAsia="zh-CN"/>
              </w:rPr>
            </w:pPr>
            <w:r>
              <w:rPr>
                <w:rFonts w:hint="eastAsia"/>
                <w:color w:val="auto"/>
                <w:u w:val="single"/>
                <w:lang w:val="en-US" w:eastAsia="zh-CN"/>
              </w:rPr>
              <w:t>/</w:t>
            </w:r>
          </w:p>
        </w:tc>
        <w:tc>
          <w:tcPr>
            <w:tcW w:w="710" w:type="pct"/>
            <w:tcBorders>
              <w:tl2br w:val="nil"/>
              <w:tr2bl w:val="nil"/>
            </w:tcBorders>
            <w:vAlign w:val="center"/>
          </w:tcPr>
          <w:p w14:paraId="438E6D2E">
            <w:pPr>
              <w:pStyle w:val="7"/>
              <w:bidi w:val="0"/>
              <w:ind w:firstLine="0" w:firstLineChars="0"/>
              <w:rPr>
                <w:rFonts w:hint="default"/>
                <w:color w:val="auto"/>
                <w:u w:val="single"/>
                <w:lang w:val="en-US" w:eastAsia="zh-CN"/>
              </w:rPr>
            </w:pPr>
            <w:r>
              <w:rPr>
                <w:rFonts w:hint="eastAsia"/>
                <w:color w:val="auto"/>
                <w:u w:val="single"/>
                <w:lang w:val="en-US" w:eastAsia="zh-CN"/>
              </w:rPr>
              <w:t>16.93</w:t>
            </w:r>
          </w:p>
        </w:tc>
        <w:tc>
          <w:tcPr>
            <w:tcW w:w="795" w:type="dxa"/>
            <w:tcBorders>
              <w:tl2br w:val="nil"/>
              <w:tr2bl w:val="nil"/>
            </w:tcBorders>
            <w:vAlign w:val="center"/>
          </w:tcPr>
          <w:p w14:paraId="555EFCFB">
            <w:pPr>
              <w:pStyle w:val="7"/>
              <w:bidi w:val="0"/>
              <w:ind w:firstLine="0" w:firstLineChars="0"/>
              <w:jc w:val="center"/>
              <w:rPr>
                <w:rFonts w:hint="eastAsia" w:eastAsia="宋体"/>
                <w:color w:val="auto"/>
                <w:u w:val="single"/>
                <w:lang w:val="en-US" w:eastAsia="zh-CN"/>
              </w:rPr>
            </w:pPr>
            <w:r>
              <w:rPr>
                <w:rFonts w:hint="eastAsia"/>
                <w:color w:val="auto"/>
                <w:u w:val="single"/>
                <w:lang w:val="en-US" w:eastAsia="zh-CN"/>
              </w:rPr>
              <w:t>/</w:t>
            </w:r>
          </w:p>
        </w:tc>
      </w:tr>
      <w:tr w14:paraId="0BA27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70" w:type="pct"/>
            <w:vMerge w:val="continue"/>
            <w:tcBorders>
              <w:tl2br w:val="nil"/>
              <w:tr2bl w:val="nil"/>
            </w:tcBorders>
            <w:vAlign w:val="center"/>
          </w:tcPr>
          <w:p w14:paraId="49D44197">
            <w:pPr>
              <w:pStyle w:val="7"/>
              <w:bidi w:val="0"/>
              <w:rPr>
                <w:rFonts w:hint="default"/>
                <w:color w:val="auto"/>
                <w:u w:val="single"/>
              </w:rPr>
            </w:pPr>
          </w:p>
        </w:tc>
        <w:tc>
          <w:tcPr>
            <w:tcW w:w="680" w:type="pct"/>
            <w:tcBorders>
              <w:tl2br w:val="nil"/>
              <w:tr2bl w:val="nil"/>
            </w:tcBorders>
            <w:vAlign w:val="center"/>
          </w:tcPr>
          <w:p w14:paraId="09C3608A">
            <w:pPr>
              <w:pStyle w:val="7"/>
              <w:bidi w:val="0"/>
              <w:rPr>
                <w:rFonts w:hint="default"/>
                <w:color w:val="auto"/>
                <w:u w:val="single"/>
                <w:lang w:val="en-US" w:eastAsia="zh-CN"/>
              </w:rPr>
            </w:pPr>
            <w:r>
              <w:rPr>
                <w:rFonts w:hint="eastAsia"/>
                <w:color w:val="auto"/>
                <w:u w:val="single"/>
                <w:lang w:val="en-US" w:eastAsia="zh-CN"/>
              </w:rPr>
              <w:t>氨气</w:t>
            </w:r>
          </w:p>
        </w:tc>
        <w:tc>
          <w:tcPr>
            <w:tcW w:w="555" w:type="pct"/>
            <w:tcBorders>
              <w:tl2br w:val="nil"/>
              <w:tr2bl w:val="nil"/>
            </w:tcBorders>
            <w:vAlign w:val="center"/>
          </w:tcPr>
          <w:p w14:paraId="38361D82">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462" w:type="pct"/>
            <w:tcBorders>
              <w:tl2br w:val="nil"/>
              <w:tr2bl w:val="nil"/>
            </w:tcBorders>
            <w:vAlign w:val="center"/>
          </w:tcPr>
          <w:p w14:paraId="6958DB37">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616" w:type="pct"/>
            <w:tcBorders>
              <w:tl2br w:val="nil"/>
              <w:tr2bl w:val="nil"/>
            </w:tcBorders>
            <w:vAlign w:val="center"/>
          </w:tcPr>
          <w:p w14:paraId="483B8529">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605" w:type="pct"/>
            <w:tcBorders>
              <w:tl2br w:val="nil"/>
              <w:tr2bl w:val="nil"/>
            </w:tcBorders>
            <w:vAlign w:val="center"/>
          </w:tcPr>
          <w:p w14:paraId="2B3ABD13">
            <w:pPr>
              <w:pStyle w:val="7"/>
              <w:bidi w:val="0"/>
              <w:rPr>
                <w:rFonts w:hint="default"/>
                <w:color w:val="auto"/>
                <w:u w:val="single"/>
                <w:lang w:val="en-US" w:eastAsia="zh-CN"/>
              </w:rPr>
            </w:pPr>
            <w:r>
              <w:rPr>
                <w:rFonts w:hint="eastAsia"/>
                <w:color w:val="auto"/>
                <w:u w:val="single"/>
                <w:lang w:val="en-US" w:eastAsia="zh-CN"/>
              </w:rPr>
              <w:t>0.104</w:t>
            </w:r>
          </w:p>
        </w:tc>
        <w:tc>
          <w:tcPr>
            <w:tcW w:w="1590" w:type="dxa"/>
            <w:tcBorders>
              <w:tl2br w:val="nil"/>
              <w:tr2bl w:val="nil"/>
            </w:tcBorders>
            <w:vAlign w:val="center"/>
          </w:tcPr>
          <w:p w14:paraId="2BD342E2">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710" w:type="pct"/>
            <w:tcBorders>
              <w:tl2br w:val="nil"/>
              <w:tr2bl w:val="nil"/>
            </w:tcBorders>
            <w:vAlign w:val="center"/>
          </w:tcPr>
          <w:p w14:paraId="441143E9">
            <w:pPr>
              <w:pStyle w:val="7"/>
              <w:bidi w:val="0"/>
              <w:ind w:firstLine="0" w:firstLineChars="0"/>
              <w:rPr>
                <w:rFonts w:hint="default"/>
                <w:color w:val="auto"/>
                <w:u w:val="single"/>
                <w:lang w:val="en-US" w:eastAsia="zh-CN"/>
              </w:rPr>
            </w:pPr>
            <w:r>
              <w:rPr>
                <w:rFonts w:hint="eastAsia"/>
                <w:color w:val="auto"/>
                <w:u w:val="single"/>
                <w:lang w:val="en-US" w:eastAsia="zh-CN"/>
              </w:rPr>
              <w:t>0.104</w:t>
            </w:r>
          </w:p>
        </w:tc>
        <w:tc>
          <w:tcPr>
            <w:tcW w:w="795" w:type="dxa"/>
            <w:tcBorders>
              <w:tl2br w:val="nil"/>
              <w:tr2bl w:val="nil"/>
            </w:tcBorders>
            <w:vAlign w:val="center"/>
          </w:tcPr>
          <w:p w14:paraId="35AB4929">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r>
      <w:tr w14:paraId="52B3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70" w:type="pct"/>
            <w:vMerge w:val="continue"/>
            <w:tcBorders>
              <w:tl2br w:val="nil"/>
              <w:tr2bl w:val="nil"/>
            </w:tcBorders>
            <w:vAlign w:val="center"/>
          </w:tcPr>
          <w:p w14:paraId="108C9C0F">
            <w:pPr>
              <w:pStyle w:val="7"/>
              <w:bidi w:val="0"/>
              <w:rPr>
                <w:rFonts w:hint="default"/>
                <w:color w:val="auto"/>
                <w:u w:val="single"/>
              </w:rPr>
            </w:pPr>
          </w:p>
        </w:tc>
        <w:tc>
          <w:tcPr>
            <w:tcW w:w="680" w:type="pct"/>
            <w:tcBorders>
              <w:tl2br w:val="nil"/>
              <w:tr2bl w:val="nil"/>
            </w:tcBorders>
            <w:vAlign w:val="center"/>
          </w:tcPr>
          <w:p w14:paraId="69FD4BD4">
            <w:pPr>
              <w:pStyle w:val="7"/>
              <w:bidi w:val="0"/>
              <w:rPr>
                <w:rFonts w:hint="default"/>
                <w:color w:val="auto"/>
                <w:u w:val="single"/>
                <w:lang w:val="en-US" w:eastAsia="zh-CN"/>
              </w:rPr>
            </w:pPr>
            <w:r>
              <w:rPr>
                <w:rFonts w:hint="eastAsia"/>
                <w:color w:val="auto"/>
                <w:u w:val="single"/>
                <w:lang w:val="en-US" w:eastAsia="zh-CN"/>
              </w:rPr>
              <w:t>氯化氢</w:t>
            </w:r>
          </w:p>
        </w:tc>
        <w:tc>
          <w:tcPr>
            <w:tcW w:w="555" w:type="pct"/>
            <w:tcBorders>
              <w:tl2br w:val="nil"/>
              <w:tr2bl w:val="nil"/>
            </w:tcBorders>
            <w:vAlign w:val="center"/>
          </w:tcPr>
          <w:p w14:paraId="238F3A10">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462" w:type="pct"/>
            <w:tcBorders>
              <w:tl2br w:val="nil"/>
              <w:tr2bl w:val="nil"/>
            </w:tcBorders>
            <w:vAlign w:val="center"/>
          </w:tcPr>
          <w:p w14:paraId="132AF0E3">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616" w:type="pct"/>
            <w:tcBorders>
              <w:tl2br w:val="nil"/>
              <w:tr2bl w:val="nil"/>
            </w:tcBorders>
            <w:vAlign w:val="center"/>
          </w:tcPr>
          <w:p w14:paraId="40EAB550">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605" w:type="pct"/>
            <w:tcBorders>
              <w:tl2br w:val="nil"/>
              <w:tr2bl w:val="nil"/>
            </w:tcBorders>
            <w:vAlign w:val="center"/>
          </w:tcPr>
          <w:p w14:paraId="6C417345">
            <w:pPr>
              <w:pStyle w:val="7"/>
              <w:bidi w:val="0"/>
              <w:rPr>
                <w:rFonts w:hint="default"/>
                <w:color w:val="auto"/>
                <w:u w:val="single"/>
                <w:lang w:val="en-US" w:eastAsia="zh-CN"/>
              </w:rPr>
            </w:pPr>
            <w:r>
              <w:rPr>
                <w:rFonts w:hint="eastAsia"/>
                <w:color w:val="auto"/>
                <w:u w:val="single"/>
                <w:lang w:val="en-US" w:eastAsia="zh-CN"/>
              </w:rPr>
              <w:t>0.00084</w:t>
            </w:r>
          </w:p>
        </w:tc>
        <w:tc>
          <w:tcPr>
            <w:tcW w:w="1590" w:type="dxa"/>
            <w:tcBorders>
              <w:tl2br w:val="nil"/>
              <w:tr2bl w:val="nil"/>
            </w:tcBorders>
            <w:vAlign w:val="center"/>
          </w:tcPr>
          <w:p w14:paraId="1B8394E4">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710" w:type="pct"/>
            <w:tcBorders>
              <w:tl2br w:val="nil"/>
              <w:tr2bl w:val="nil"/>
            </w:tcBorders>
            <w:vAlign w:val="center"/>
          </w:tcPr>
          <w:p w14:paraId="75B1EAA3">
            <w:pPr>
              <w:pStyle w:val="7"/>
              <w:bidi w:val="0"/>
              <w:ind w:firstLine="0" w:firstLineChars="0"/>
              <w:rPr>
                <w:rFonts w:hint="default"/>
                <w:color w:val="auto"/>
                <w:u w:val="single"/>
                <w:lang w:val="en-US" w:eastAsia="zh-CN"/>
              </w:rPr>
            </w:pPr>
            <w:r>
              <w:rPr>
                <w:rFonts w:hint="eastAsia"/>
                <w:color w:val="auto"/>
                <w:u w:val="single"/>
                <w:lang w:val="en-US" w:eastAsia="zh-CN"/>
              </w:rPr>
              <w:t>0.00084</w:t>
            </w:r>
          </w:p>
        </w:tc>
        <w:tc>
          <w:tcPr>
            <w:tcW w:w="795" w:type="dxa"/>
            <w:tcBorders>
              <w:tl2br w:val="nil"/>
              <w:tr2bl w:val="nil"/>
            </w:tcBorders>
            <w:vAlign w:val="center"/>
          </w:tcPr>
          <w:p w14:paraId="29EBEAD6">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r>
      <w:tr w14:paraId="2148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70" w:type="pct"/>
            <w:vMerge w:val="continue"/>
            <w:tcBorders>
              <w:tl2br w:val="nil"/>
              <w:tr2bl w:val="nil"/>
            </w:tcBorders>
            <w:vAlign w:val="center"/>
          </w:tcPr>
          <w:p w14:paraId="41A864FB">
            <w:pPr>
              <w:pStyle w:val="7"/>
              <w:bidi w:val="0"/>
              <w:rPr>
                <w:rFonts w:hint="default"/>
                <w:color w:val="auto"/>
                <w:u w:val="single"/>
              </w:rPr>
            </w:pPr>
          </w:p>
        </w:tc>
        <w:tc>
          <w:tcPr>
            <w:tcW w:w="680" w:type="pct"/>
            <w:tcBorders>
              <w:tl2br w:val="nil"/>
              <w:tr2bl w:val="nil"/>
            </w:tcBorders>
            <w:vAlign w:val="center"/>
          </w:tcPr>
          <w:p w14:paraId="19D2310E">
            <w:pPr>
              <w:pStyle w:val="7"/>
              <w:bidi w:val="0"/>
              <w:rPr>
                <w:rFonts w:hint="default"/>
                <w:color w:val="auto"/>
                <w:u w:val="single"/>
                <w:lang w:val="en-US" w:eastAsia="zh-CN"/>
              </w:rPr>
            </w:pPr>
            <w:r>
              <w:rPr>
                <w:rFonts w:hint="eastAsia"/>
                <w:color w:val="auto"/>
                <w:u w:val="single"/>
                <w:lang w:val="en-US" w:eastAsia="zh-CN"/>
              </w:rPr>
              <w:t>二氧化硫</w:t>
            </w:r>
          </w:p>
        </w:tc>
        <w:tc>
          <w:tcPr>
            <w:tcW w:w="555" w:type="pct"/>
            <w:tcBorders>
              <w:tl2br w:val="nil"/>
              <w:tr2bl w:val="nil"/>
            </w:tcBorders>
            <w:vAlign w:val="center"/>
          </w:tcPr>
          <w:p w14:paraId="64960AE1">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462" w:type="pct"/>
            <w:tcBorders>
              <w:tl2br w:val="nil"/>
              <w:tr2bl w:val="nil"/>
            </w:tcBorders>
            <w:vAlign w:val="center"/>
          </w:tcPr>
          <w:p w14:paraId="270424A3">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616" w:type="pct"/>
            <w:tcBorders>
              <w:tl2br w:val="nil"/>
              <w:tr2bl w:val="nil"/>
            </w:tcBorders>
            <w:vAlign w:val="center"/>
          </w:tcPr>
          <w:p w14:paraId="29C70118">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605" w:type="pct"/>
            <w:tcBorders>
              <w:tl2br w:val="nil"/>
              <w:tr2bl w:val="nil"/>
            </w:tcBorders>
            <w:vAlign w:val="center"/>
          </w:tcPr>
          <w:p w14:paraId="5E571502">
            <w:pPr>
              <w:pStyle w:val="7"/>
              <w:bidi w:val="0"/>
              <w:rPr>
                <w:rFonts w:hint="default"/>
                <w:color w:val="auto"/>
                <w:u w:val="single"/>
                <w:lang w:val="en-US" w:eastAsia="zh-CN"/>
              </w:rPr>
            </w:pPr>
            <w:r>
              <w:rPr>
                <w:rFonts w:hint="eastAsia"/>
                <w:color w:val="auto"/>
                <w:u w:val="single"/>
                <w:lang w:val="en-US" w:eastAsia="zh-CN"/>
              </w:rPr>
              <w:t>0.07</w:t>
            </w:r>
          </w:p>
        </w:tc>
        <w:tc>
          <w:tcPr>
            <w:tcW w:w="1590" w:type="dxa"/>
            <w:tcBorders>
              <w:tl2br w:val="nil"/>
              <w:tr2bl w:val="nil"/>
            </w:tcBorders>
            <w:vAlign w:val="center"/>
          </w:tcPr>
          <w:p w14:paraId="6444F5A9">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710" w:type="pct"/>
            <w:tcBorders>
              <w:tl2br w:val="nil"/>
              <w:tr2bl w:val="nil"/>
            </w:tcBorders>
            <w:vAlign w:val="center"/>
          </w:tcPr>
          <w:p w14:paraId="492F6A14">
            <w:pPr>
              <w:pStyle w:val="7"/>
              <w:bidi w:val="0"/>
              <w:ind w:firstLine="0" w:firstLineChars="0"/>
              <w:rPr>
                <w:rFonts w:hint="default"/>
                <w:color w:val="auto"/>
                <w:u w:val="single"/>
                <w:lang w:val="en-US" w:eastAsia="zh-CN"/>
              </w:rPr>
            </w:pPr>
            <w:r>
              <w:rPr>
                <w:rFonts w:hint="eastAsia"/>
                <w:color w:val="auto"/>
                <w:u w:val="single"/>
                <w:lang w:val="en-US" w:eastAsia="zh-CN"/>
              </w:rPr>
              <w:t>0.07</w:t>
            </w:r>
          </w:p>
        </w:tc>
        <w:tc>
          <w:tcPr>
            <w:tcW w:w="795" w:type="dxa"/>
            <w:tcBorders>
              <w:tl2br w:val="nil"/>
              <w:tr2bl w:val="nil"/>
            </w:tcBorders>
            <w:vAlign w:val="center"/>
          </w:tcPr>
          <w:p w14:paraId="16D055A8">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r>
      <w:tr w14:paraId="72FB3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70" w:type="pct"/>
            <w:vMerge w:val="continue"/>
            <w:tcBorders>
              <w:tl2br w:val="nil"/>
              <w:tr2bl w:val="nil"/>
            </w:tcBorders>
            <w:vAlign w:val="center"/>
          </w:tcPr>
          <w:p w14:paraId="4C98B8D8">
            <w:pPr>
              <w:pStyle w:val="7"/>
              <w:bidi w:val="0"/>
              <w:rPr>
                <w:rFonts w:hint="default"/>
                <w:color w:val="auto"/>
                <w:u w:val="single"/>
              </w:rPr>
            </w:pPr>
          </w:p>
        </w:tc>
        <w:tc>
          <w:tcPr>
            <w:tcW w:w="680" w:type="pct"/>
            <w:tcBorders>
              <w:tl2br w:val="nil"/>
              <w:tr2bl w:val="nil"/>
            </w:tcBorders>
            <w:vAlign w:val="center"/>
          </w:tcPr>
          <w:p w14:paraId="6566CB6D">
            <w:pPr>
              <w:pStyle w:val="7"/>
              <w:bidi w:val="0"/>
              <w:rPr>
                <w:rFonts w:hint="default"/>
                <w:color w:val="auto"/>
                <w:u w:val="single"/>
                <w:lang w:val="en-US" w:eastAsia="zh-CN"/>
              </w:rPr>
            </w:pPr>
            <w:r>
              <w:rPr>
                <w:rFonts w:hint="eastAsia"/>
                <w:color w:val="auto"/>
                <w:u w:val="single"/>
                <w:lang w:val="en-US" w:eastAsia="zh-CN"/>
              </w:rPr>
              <w:t>氮氧化物</w:t>
            </w:r>
          </w:p>
        </w:tc>
        <w:tc>
          <w:tcPr>
            <w:tcW w:w="555" w:type="pct"/>
            <w:tcBorders>
              <w:tl2br w:val="nil"/>
              <w:tr2bl w:val="nil"/>
            </w:tcBorders>
            <w:vAlign w:val="center"/>
          </w:tcPr>
          <w:p w14:paraId="39F2C222">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462" w:type="pct"/>
            <w:tcBorders>
              <w:tl2br w:val="nil"/>
              <w:tr2bl w:val="nil"/>
            </w:tcBorders>
            <w:vAlign w:val="center"/>
          </w:tcPr>
          <w:p w14:paraId="67DCF12B">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616" w:type="pct"/>
            <w:tcBorders>
              <w:tl2br w:val="nil"/>
              <w:tr2bl w:val="nil"/>
            </w:tcBorders>
            <w:vAlign w:val="center"/>
          </w:tcPr>
          <w:p w14:paraId="1FC7A718">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605" w:type="pct"/>
            <w:tcBorders>
              <w:tl2br w:val="nil"/>
              <w:tr2bl w:val="nil"/>
            </w:tcBorders>
            <w:vAlign w:val="center"/>
          </w:tcPr>
          <w:p w14:paraId="505BB5DA">
            <w:pPr>
              <w:pStyle w:val="7"/>
              <w:bidi w:val="0"/>
              <w:rPr>
                <w:rFonts w:hint="default"/>
                <w:color w:val="auto"/>
                <w:u w:val="single"/>
                <w:lang w:val="en-US" w:eastAsia="zh-CN"/>
              </w:rPr>
            </w:pPr>
            <w:r>
              <w:rPr>
                <w:rFonts w:hint="eastAsia"/>
                <w:color w:val="auto"/>
                <w:u w:val="single"/>
                <w:lang w:val="en-US" w:eastAsia="zh-CN"/>
              </w:rPr>
              <w:t>0.54</w:t>
            </w:r>
          </w:p>
        </w:tc>
        <w:tc>
          <w:tcPr>
            <w:tcW w:w="1590" w:type="dxa"/>
            <w:tcBorders>
              <w:tl2br w:val="nil"/>
              <w:tr2bl w:val="nil"/>
            </w:tcBorders>
            <w:vAlign w:val="center"/>
          </w:tcPr>
          <w:p w14:paraId="3C72EDEC">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710" w:type="pct"/>
            <w:tcBorders>
              <w:tl2br w:val="nil"/>
              <w:tr2bl w:val="nil"/>
            </w:tcBorders>
            <w:vAlign w:val="center"/>
          </w:tcPr>
          <w:p w14:paraId="28EAC579">
            <w:pPr>
              <w:pStyle w:val="7"/>
              <w:bidi w:val="0"/>
              <w:ind w:firstLine="0" w:firstLineChars="0"/>
              <w:rPr>
                <w:rFonts w:hint="default"/>
                <w:color w:val="auto"/>
                <w:u w:val="single"/>
                <w:lang w:val="en-US" w:eastAsia="zh-CN"/>
              </w:rPr>
            </w:pPr>
            <w:r>
              <w:rPr>
                <w:rFonts w:hint="eastAsia"/>
                <w:color w:val="auto"/>
                <w:u w:val="single"/>
                <w:lang w:val="en-US" w:eastAsia="zh-CN"/>
              </w:rPr>
              <w:t>0.54</w:t>
            </w:r>
          </w:p>
        </w:tc>
        <w:tc>
          <w:tcPr>
            <w:tcW w:w="795" w:type="dxa"/>
            <w:tcBorders>
              <w:tl2br w:val="nil"/>
              <w:tr2bl w:val="nil"/>
            </w:tcBorders>
            <w:vAlign w:val="center"/>
          </w:tcPr>
          <w:p w14:paraId="3B4B2D88">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r>
      <w:tr w14:paraId="44BB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70" w:type="pct"/>
            <w:tcBorders>
              <w:tl2br w:val="nil"/>
              <w:tr2bl w:val="nil"/>
            </w:tcBorders>
            <w:vAlign w:val="center"/>
          </w:tcPr>
          <w:p w14:paraId="36377164">
            <w:pPr>
              <w:pStyle w:val="7"/>
              <w:bidi w:val="0"/>
              <w:rPr>
                <w:rFonts w:hint="default"/>
                <w:color w:val="auto"/>
                <w:u w:val="single"/>
              </w:rPr>
            </w:pPr>
            <w:r>
              <w:rPr>
                <w:rFonts w:hint="default"/>
                <w:color w:val="auto"/>
                <w:u w:val="single"/>
              </w:rPr>
              <w:t>废水</w:t>
            </w:r>
          </w:p>
        </w:tc>
        <w:tc>
          <w:tcPr>
            <w:tcW w:w="680" w:type="pct"/>
            <w:tcBorders>
              <w:tl2br w:val="nil"/>
              <w:tr2bl w:val="nil"/>
            </w:tcBorders>
            <w:vAlign w:val="center"/>
          </w:tcPr>
          <w:p w14:paraId="471D433A">
            <w:pPr>
              <w:pStyle w:val="7"/>
              <w:bidi w:val="0"/>
              <w:rPr>
                <w:rFonts w:hint="default"/>
                <w:color w:val="auto"/>
                <w:u w:val="single"/>
                <w:lang w:val="en-US" w:eastAsia="zh-CN"/>
              </w:rPr>
            </w:pPr>
            <w:r>
              <w:rPr>
                <w:rFonts w:hint="eastAsia"/>
                <w:color w:val="auto"/>
                <w:u w:val="single"/>
                <w:lang w:val="en-US" w:eastAsia="zh-CN"/>
              </w:rPr>
              <w:t>生活污水</w:t>
            </w:r>
          </w:p>
        </w:tc>
        <w:tc>
          <w:tcPr>
            <w:tcW w:w="555" w:type="pct"/>
            <w:tcBorders>
              <w:tl2br w:val="nil"/>
              <w:tr2bl w:val="nil"/>
            </w:tcBorders>
            <w:vAlign w:val="center"/>
          </w:tcPr>
          <w:p w14:paraId="1C3714EB">
            <w:pPr>
              <w:pStyle w:val="7"/>
              <w:bidi w:val="0"/>
              <w:rPr>
                <w:rFonts w:hint="eastAsia" w:eastAsia="宋体"/>
                <w:color w:val="auto"/>
                <w:u w:val="single"/>
                <w:lang w:val="en-US" w:eastAsia="zh-CN"/>
              </w:rPr>
            </w:pPr>
            <w:r>
              <w:rPr>
                <w:rFonts w:hint="eastAsia"/>
                <w:color w:val="auto"/>
                <w:u w:val="single"/>
                <w:lang w:val="en-US" w:eastAsia="zh-CN"/>
              </w:rPr>
              <w:t>/</w:t>
            </w:r>
          </w:p>
        </w:tc>
        <w:tc>
          <w:tcPr>
            <w:tcW w:w="462" w:type="pct"/>
            <w:tcBorders>
              <w:tl2br w:val="nil"/>
              <w:tr2bl w:val="nil"/>
            </w:tcBorders>
            <w:vAlign w:val="center"/>
          </w:tcPr>
          <w:p w14:paraId="66A4F8C1">
            <w:pPr>
              <w:pStyle w:val="7"/>
              <w:bidi w:val="0"/>
              <w:rPr>
                <w:rFonts w:hint="eastAsia" w:eastAsia="宋体"/>
                <w:color w:val="auto"/>
                <w:u w:val="single"/>
                <w:lang w:val="en-US" w:eastAsia="zh-CN"/>
              </w:rPr>
            </w:pPr>
            <w:r>
              <w:rPr>
                <w:rFonts w:hint="eastAsia"/>
                <w:color w:val="auto"/>
                <w:u w:val="single"/>
                <w:lang w:val="en-US" w:eastAsia="zh-CN"/>
              </w:rPr>
              <w:t>/</w:t>
            </w:r>
          </w:p>
        </w:tc>
        <w:tc>
          <w:tcPr>
            <w:tcW w:w="616" w:type="pct"/>
            <w:tcBorders>
              <w:tl2br w:val="nil"/>
              <w:tr2bl w:val="nil"/>
            </w:tcBorders>
            <w:vAlign w:val="center"/>
          </w:tcPr>
          <w:p w14:paraId="6CAB5AB5">
            <w:pPr>
              <w:pStyle w:val="7"/>
              <w:bidi w:val="0"/>
              <w:rPr>
                <w:rFonts w:hint="default"/>
                <w:color w:val="auto"/>
                <w:u w:val="single"/>
                <w:lang w:val="en-US" w:eastAsia="zh-CN"/>
              </w:rPr>
            </w:pPr>
            <w:r>
              <w:rPr>
                <w:rFonts w:hint="eastAsia"/>
                <w:color w:val="auto"/>
                <w:u w:val="single"/>
                <w:lang w:val="en-US" w:eastAsia="zh-CN"/>
              </w:rPr>
              <w:t>/</w:t>
            </w:r>
          </w:p>
        </w:tc>
        <w:tc>
          <w:tcPr>
            <w:tcW w:w="605" w:type="pct"/>
            <w:tcBorders>
              <w:tl2br w:val="nil"/>
              <w:tr2bl w:val="nil"/>
            </w:tcBorders>
            <w:vAlign w:val="center"/>
          </w:tcPr>
          <w:p w14:paraId="42D68CB7">
            <w:pPr>
              <w:pStyle w:val="7"/>
              <w:bidi w:val="0"/>
              <w:rPr>
                <w:rFonts w:hint="default"/>
                <w:color w:val="auto"/>
                <w:u w:val="single"/>
                <w:lang w:val="en-US"/>
              </w:rPr>
            </w:pPr>
            <w:r>
              <w:rPr>
                <w:rFonts w:hint="eastAsia"/>
                <w:color w:val="auto"/>
                <w:u w:val="single"/>
                <w:lang w:val="en-US" w:eastAsia="zh-CN"/>
              </w:rPr>
              <w:t>256</w:t>
            </w:r>
          </w:p>
        </w:tc>
        <w:tc>
          <w:tcPr>
            <w:tcW w:w="598" w:type="pct"/>
            <w:tcBorders>
              <w:tl2br w:val="nil"/>
              <w:tr2bl w:val="nil"/>
            </w:tcBorders>
            <w:vAlign w:val="center"/>
          </w:tcPr>
          <w:p w14:paraId="5DF0E965">
            <w:pPr>
              <w:pStyle w:val="7"/>
              <w:bidi w:val="0"/>
              <w:rPr>
                <w:rFonts w:hint="eastAsia" w:eastAsia="宋体"/>
                <w:color w:val="auto"/>
                <w:u w:val="single"/>
                <w:lang w:val="en-US" w:eastAsia="zh-CN"/>
              </w:rPr>
            </w:pPr>
            <w:r>
              <w:rPr>
                <w:rFonts w:hint="eastAsia"/>
                <w:color w:val="auto"/>
                <w:u w:val="single"/>
                <w:lang w:val="en-US" w:eastAsia="zh-CN"/>
              </w:rPr>
              <w:t>/</w:t>
            </w:r>
          </w:p>
        </w:tc>
        <w:tc>
          <w:tcPr>
            <w:tcW w:w="710" w:type="pct"/>
            <w:tcBorders>
              <w:tl2br w:val="nil"/>
              <w:tr2bl w:val="nil"/>
            </w:tcBorders>
            <w:vAlign w:val="center"/>
          </w:tcPr>
          <w:p w14:paraId="466276FC">
            <w:pPr>
              <w:pStyle w:val="7"/>
              <w:bidi w:val="0"/>
              <w:rPr>
                <w:rFonts w:hint="default"/>
                <w:color w:val="auto"/>
                <w:u w:val="single"/>
                <w:lang w:val="en-US" w:eastAsia="zh-CN"/>
              </w:rPr>
            </w:pPr>
            <w:r>
              <w:rPr>
                <w:rFonts w:hint="eastAsia"/>
                <w:color w:val="auto"/>
                <w:u w:val="single"/>
                <w:lang w:val="en-US" w:eastAsia="zh-CN"/>
              </w:rPr>
              <w:t>256</w:t>
            </w:r>
          </w:p>
        </w:tc>
        <w:tc>
          <w:tcPr>
            <w:tcW w:w="299" w:type="pct"/>
            <w:tcBorders>
              <w:tl2br w:val="nil"/>
              <w:tr2bl w:val="nil"/>
            </w:tcBorders>
            <w:vAlign w:val="center"/>
          </w:tcPr>
          <w:p w14:paraId="29FA6D4D">
            <w:pPr>
              <w:pStyle w:val="7"/>
              <w:bidi w:val="0"/>
              <w:rPr>
                <w:rFonts w:hint="eastAsia" w:eastAsia="宋体"/>
                <w:color w:val="auto"/>
                <w:u w:val="single"/>
                <w:lang w:val="en-US" w:eastAsia="zh-CN"/>
              </w:rPr>
            </w:pPr>
            <w:r>
              <w:rPr>
                <w:rFonts w:hint="eastAsia"/>
                <w:color w:val="auto"/>
                <w:u w:val="single"/>
                <w:lang w:val="en-US" w:eastAsia="zh-CN"/>
              </w:rPr>
              <w:t>/</w:t>
            </w:r>
          </w:p>
        </w:tc>
      </w:tr>
      <w:tr w14:paraId="6112D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70" w:type="pct"/>
            <w:vMerge w:val="restart"/>
            <w:tcBorders>
              <w:tl2br w:val="nil"/>
              <w:tr2bl w:val="nil"/>
            </w:tcBorders>
            <w:vAlign w:val="center"/>
          </w:tcPr>
          <w:p w14:paraId="78E71EF2">
            <w:pPr>
              <w:pStyle w:val="7"/>
              <w:bidi w:val="0"/>
              <w:rPr>
                <w:rFonts w:hint="default"/>
                <w:color w:val="auto"/>
                <w:u w:val="single"/>
              </w:rPr>
            </w:pPr>
            <w:r>
              <w:rPr>
                <w:rFonts w:hint="default"/>
                <w:color w:val="auto"/>
                <w:u w:val="single"/>
              </w:rPr>
              <w:t>一般工业</w:t>
            </w:r>
          </w:p>
          <w:p w14:paraId="3D8F27CF">
            <w:pPr>
              <w:pStyle w:val="7"/>
              <w:bidi w:val="0"/>
              <w:rPr>
                <w:rFonts w:hint="default"/>
                <w:color w:val="auto"/>
                <w:u w:val="single"/>
              </w:rPr>
            </w:pPr>
            <w:r>
              <w:rPr>
                <w:rFonts w:hint="default"/>
                <w:color w:val="auto"/>
                <w:u w:val="single"/>
              </w:rPr>
              <w:t>固体废物</w:t>
            </w:r>
          </w:p>
        </w:tc>
        <w:tc>
          <w:tcPr>
            <w:tcW w:w="680" w:type="pct"/>
            <w:tcBorders>
              <w:tl2br w:val="nil"/>
              <w:tr2bl w:val="nil"/>
            </w:tcBorders>
            <w:vAlign w:val="center"/>
          </w:tcPr>
          <w:p w14:paraId="4F219406">
            <w:pPr>
              <w:pStyle w:val="7"/>
              <w:bidi w:val="0"/>
              <w:rPr>
                <w:rFonts w:hint="eastAsia"/>
                <w:color w:val="auto"/>
                <w:u w:val="single"/>
                <w:lang w:eastAsia="zh-CN"/>
              </w:rPr>
            </w:pPr>
            <w:r>
              <w:rPr>
                <w:rFonts w:hint="default"/>
                <w:color w:val="auto"/>
                <w:u w:val="single"/>
              </w:rPr>
              <w:t>除尘器收集的粉尘</w:t>
            </w:r>
          </w:p>
        </w:tc>
        <w:tc>
          <w:tcPr>
            <w:tcW w:w="555" w:type="pct"/>
            <w:tcBorders>
              <w:tl2br w:val="nil"/>
              <w:tr2bl w:val="nil"/>
            </w:tcBorders>
            <w:vAlign w:val="center"/>
          </w:tcPr>
          <w:p w14:paraId="60059D64">
            <w:pPr>
              <w:pStyle w:val="7"/>
              <w:bidi w:val="0"/>
              <w:rPr>
                <w:rFonts w:hint="eastAsia" w:eastAsia="宋体"/>
                <w:color w:val="auto"/>
                <w:u w:val="single"/>
                <w:lang w:val="en-US" w:eastAsia="zh-CN"/>
              </w:rPr>
            </w:pPr>
            <w:r>
              <w:rPr>
                <w:rFonts w:hint="eastAsia"/>
                <w:color w:val="auto"/>
                <w:u w:val="single"/>
                <w:lang w:val="en-US" w:eastAsia="zh-CN"/>
              </w:rPr>
              <w:t>/</w:t>
            </w:r>
          </w:p>
        </w:tc>
        <w:tc>
          <w:tcPr>
            <w:tcW w:w="462" w:type="pct"/>
            <w:tcBorders>
              <w:tl2br w:val="nil"/>
              <w:tr2bl w:val="nil"/>
            </w:tcBorders>
            <w:vAlign w:val="center"/>
          </w:tcPr>
          <w:p w14:paraId="0B34F8B6">
            <w:pPr>
              <w:pStyle w:val="7"/>
              <w:bidi w:val="0"/>
              <w:rPr>
                <w:rFonts w:hint="eastAsia" w:eastAsia="宋体"/>
                <w:color w:val="auto"/>
                <w:u w:val="single"/>
                <w:lang w:val="en-US" w:eastAsia="zh-CN"/>
              </w:rPr>
            </w:pPr>
            <w:r>
              <w:rPr>
                <w:rFonts w:hint="eastAsia"/>
                <w:color w:val="auto"/>
                <w:u w:val="single"/>
                <w:lang w:val="en-US" w:eastAsia="zh-CN"/>
              </w:rPr>
              <w:t>/</w:t>
            </w:r>
          </w:p>
        </w:tc>
        <w:tc>
          <w:tcPr>
            <w:tcW w:w="616" w:type="pct"/>
            <w:tcBorders>
              <w:tl2br w:val="nil"/>
              <w:tr2bl w:val="nil"/>
            </w:tcBorders>
            <w:vAlign w:val="center"/>
          </w:tcPr>
          <w:p w14:paraId="4F6F06DB">
            <w:pPr>
              <w:pStyle w:val="7"/>
              <w:bidi w:val="0"/>
              <w:rPr>
                <w:rFonts w:hint="eastAsia" w:eastAsia="宋体"/>
                <w:color w:val="auto"/>
                <w:u w:val="single"/>
                <w:lang w:val="en-US" w:eastAsia="zh-CN"/>
              </w:rPr>
            </w:pPr>
            <w:r>
              <w:rPr>
                <w:rFonts w:hint="eastAsia"/>
                <w:color w:val="auto"/>
                <w:u w:val="single"/>
                <w:lang w:val="en-US" w:eastAsia="zh-CN"/>
              </w:rPr>
              <w:t>/</w:t>
            </w:r>
          </w:p>
        </w:tc>
        <w:tc>
          <w:tcPr>
            <w:tcW w:w="605" w:type="pct"/>
            <w:tcBorders>
              <w:tl2br w:val="nil"/>
              <w:tr2bl w:val="nil"/>
            </w:tcBorders>
            <w:vAlign w:val="center"/>
          </w:tcPr>
          <w:p w14:paraId="74563CD7">
            <w:pPr>
              <w:pStyle w:val="7"/>
              <w:bidi w:val="0"/>
              <w:rPr>
                <w:rFonts w:hint="default"/>
                <w:color w:val="auto"/>
                <w:u w:val="single"/>
                <w:lang w:val="en-US" w:eastAsia="zh-CN"/>
              </w:rPr>
            </w:pPr>
            <w:r>
              <w:rPr>
                <w:rFonts w:hint="eastAsia"/>
                <w:color w:val="auto"/>
                <w:u w:val="single"/>
                <w:lang w:val="en-US" w:eastAsia="zh-CN"/>
              </w:rPr>
              <w:t>405.33</w:t>
            </w:r>
          </w:p>
        </w:tc>
        <w:tc>
          <w:tcPr>
            <w:tcW w:w="598" w:type="pct"/>
            <w:tcBorders>
              <w:tl2br w:val="nil"/>
              <w:tr2bl w:val="nil"/>
            </w:tcBorders>
            <w:vAlign w:val="center"/>
          </w:tcPr>
          <w:p w14:paraId="24EF2979">
            <w:pPr>
              <w:pStyle w:val="7"/>
              <w:bidi w:val="0"/>
              <w:rPr>
                <w:rFonts w:hint="eastAsia" w:eastAsia="宋体"/>
                <w:color w:val="auto"/>
                <w:u w:val="single"/>
                <w:lang w:val="en-US" w:eastAsia="zh-CN"/>
              </w:rPr>
            </w:pPr>
            <w:r>
              <w:rPr>
                <w:rFonts w:hint="eastAsia"/>
                <w:color w:val="auto"/>
                <w:u w:val="single"/>
                <w:lang w:val="en-US" w:eastAsia="zh-CN"/>
              </w:rPr>
              <w:t>/</w:t>
            </w:r>
          </w:p>
        </w:tc>
        <w:tc>
          <w:tcPr>
            <w:tcW w:w="710" w:type="pct"/>
            <w:tcBorders>
              <w:tl2br w:val="nil"/>
              <w:tr2bl w:val="nil"/>
            </w:tcBorders>
            <w:vAlign w:val="center"/>
          </w:tcPr>
          <w:p w14:paraId="56B12691">
            <w:pPr>
              <w:pStyle w:val="7"/>
              <w:bidi w:val="0"/>
              <w:ind w:firstLine="0" w:firstLineChars="0"/>
              <w:rPr>
                <w:rFonts w:hint="default"/>
                <w:color w:val="auto"/>
                <w:u w:val="single"/>
                <w:lang w:val="en-US" w:eastAsia="zh-CN"/>
              </w:rPr>
            </w:pPr>
            <w:r>
              <w:rPr>
                <w:rFonts w:hint="eastAsia"/>
                <w:color w:val="auto"/>
                <w:u w:val="single"/>
                <w:lang w:val="en-US" w:eastAsia="zh-CN"/>
              </w:rPr>
              <w:t>405.33</w:t>
            </w:r>
          </w:p>
        </w:tc>
        <w:tc>
          <w:tcPr>
            <w:tcW w:w="299" w:type="pct"/>
            <w:tcBorders>
              <w:tl2br w:val="nil"/>
              <w:tr2bl w:val="nil"/>
            </w:tcBorders>
            <w:vAlign w:val="center"/>
          </w:tcPr>
          <w:p w14:paraId="21476FA0">
            <w:pPr>
              <w:pStyle w:val="7"/>
              <w:bidi w:val="0"/>
              <w:rPr>
                <w:rFonts w:hint="eastAsia" w:eastAsia="宋体"/>
                <w:color w:val="auto"/>
                <w:u w:val="single"/>
                <w:lang w:val="en-US" w:eastAsia="zh-CN"/>
              </w:rPr>
            </w:pPr>
            <w:r>
              <w:rPr>
                <w:rFonts w:hint="eastAsia"/>
                <w:color w:val="auto"/>
                <w:u w:val="single"/>
                <w:lang w:val="en-US" w:eastAsia="zh-CN"/>
              </w:rPr>
              <w:t>/</w:t>
            </w:r>
          </w:p>
        </w:tc>
      </w:tr>
      <w:tr w14:paraId="66895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70" w:type="pct"/>
            <w:vMerge w:val="continue"/>
            <w:tcBorders>
              <w:tl2br w:val="nil"/>
              <w:tr2bl w:val="nil"/>
            </w:tcBorders>
            <w:vAlign w:val="center"/>
          </w:tcPr>
          <w:p w14:paraId="667A0128">
            <w:pPr>
              <w:pStyle w:val="7"/>
              <w:bidi w:val="0"/>
              <w:rPr>
                <w:rFonts w:hint="default"/>
                <w:color w:val="auto"/>
                <w:u w:val="single"/>
              </w:rPr>
            </w:pPr>
          </w:p>
        </w:tc>
        <w:tc>
          <w:tcPr>
            <w:tcW w:w="680" w:type="pct"/>
            <w:tcBorders>
              <w:tl2br w:val="nil"/>
              <w:tr2bl w:val="nil"/>
            </w:tcBorders>
            <w:vAlign w:val="center"/>
          </w:tcPr>
          <w:p w14:paraId="77784951">
            <w:pPr>
              <w:pStyle w:val="7"/>
              <w:bidi w:val="0"/>
              <w:rPr>
                <w:rFonts w:hint="default" w:eastAsia="宋体"/>
                <w:color w:val="auto"/>
                <w:u w:val="single"/>
                <w:lang w:val="en-US" w:eastAsia="zh-CN"/>
              </w:rPr>
            </w:pPr>
            <w:r>
              <w:rPr>
                <w:rFonts w:hint="eastAsia"/>
                <w:color w:val="auto"/>
                <w:u w:val="single"/>
                <w:lang w:val="en-US" w:eastAsia="zh-CN"/>
              </w:rPr>
              <w:t>喷淋沉淀池沉渣</w:t>
            </w:r>
          </w:p>
        </w:tc>
        <w:tc>
          <w:tcPr>
            <w:tcW w:w="555" w:type="pct"/>
            <w:tcBorders>
              <w:tl2br w:val="nil"/>
              <w:tr2bl w:val="nil"/>
            </w:tcBorders>
            <w:vAlign w:val="center"/>
          </w:tcPr>
          <w:p w14:paraId="23EEDA80">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462" w:type="pct"/>
            <w:tcBorders>
              <w:tl2br w:val="nil"/>
              <w:tr2bl w:val="nil"/>
            </w:tcBorders>
            <w:vAlign w:val="center"/>
          </w:tcPr>
          <w:p w14:paraId="6BAF2F0A">
            <w:pPr>
              <w:bidi w:val="0"/>
              <w:ind w:firstLine="480" w:firstLineChars="200"/>
              <w:rPr>
                <w:rFonts w:hint="eastAsia"/>
                <w:color w:val="auto"/>
                <w:u w:val="single"/>
                <w:lang w:val="en-US" w:eastAsia="zh-CN"/>
              </w:rPr>
            </w:pPr>
            <w:r>
              <w:rPr>
                <w:rFonts w:hint="eastAsia"/>
                <w:color w:val="auto"/>
                <w:u w:val="single"/>
                <w:lang w:val="en-US" w:eastAsia="zh-CN"/>
              </w:rPr>
              <w:t>/</w:t>
            </w:r>
          </w:p>
        </w:tc>
        <w:tc>
          <w:tcPr>
            <w:tcW w:w="616" w:type="pct"/>
            <w:tcBorders>
              <w:tl2br w:val="nil"/>
              <w:tr2bl w:val="nil"/>
            </w:tcBorders>
            <w:vAlign w:val="center"/>
          </w:tcPr>
          <w:p w14:paraId="4F794E46">
            <w:pPr>
              <w:bidi w:val="0"/>
              <w:ind w:left="0" w:leftChars="0" w:firstLine="0" w:firstLineChars="0"/>
              <w:jc w:val="center"/>
              <w:rPr>
                <w:rFonts w:hint="eastAsia"/>
                <w:color w:val="auto"/>
                <w:u w:val="single"/>
                <w:lang w:val="en-US" w:eastAsia="zh-CN"/>
              </w:rPr>
            </w:pPr>
            <w:r>
              <w:rPr>
                <w:rFonts w:hint="eastAsia"/>
                <w:color w:val="auto"/>
                <w:u w:val="single"/>
                <w:lang w:val="en-US" w:eastAsia="zh-CN"/>
              </w:rPr>
              <w:t>/</w:t>
            </w:r>
          </w:p>
        </w:tc>
        <w:tc>
          <w:tcPr>
            <w:tcW w:w="605" w:type="pct"/>
            <w:tcBorders>
              <w:tl2br w:val="nil"/>
              <w:tr2bl w:val="nil"/>
            </w:tcBorders>
            <w:vAlign w:val="center"/>
          </w:tcPr>
          <w:p w14:paraId="12DA1872">
            <w:pPr>
              <w:pStyle w:val="7"/>
              <w:bidi w:val="0"/>
              <w:rPr>
                <w:rFonts w:hint="default"/>
                <w:color w:val="auto"/>
                <w:u w:val="single"/>
                <w:lang w:val="en-US" w:eastAsia="zh-CN"/>
              </w:rPr>
            </w:pPr>
            <w:r>
              <w:rPr>
                <w:rFonts w:hint="eastAsia"/>
                <w:color w:val="auto"/>
                <w:u w:val="single"/>
                <w:lang w:val="en-US" w:eastAsia="zh-CN"/>
              </w:rPr>
              <w:t>80</w:t>
            </w:r>
          </w:p>
        </w:tc>
        <w:tc>
          <w:tcPr>
            <w:tcW w:w="598" w:type="pct"/>
            <w:tcBorders>
              <w:tl2br w:val="nil"/>
              <w:tr2bl w:val="nil"/>
            </w:tcBorders>
            <w:vAlign w:val="center"/>
          </w:tcPr>
          <w:p w14:paraId="7D38E5A9">
            <w:pPr>
              <w:pStyle w:val="7"/>
              <w:bidi w:val="0"/>
              <w:rPr>
                <w:rFonts w:hint="eastAsia"/>
                <w:color w:val="auto"/>
                <w:u w:val="single"/>
                <w:lang w:val="en-US" w:eastAsia="zh-CN"/>
              </w:rPr>
            </w:pPr>
            <w:r>
              <w:rPr>
                <w:rFonts w:hint="eastAsia"/>
                <w:color w:val="auto"/>
                <w:u w:val="single"/>
                <w:lang w:val="en-US" w:eastAsia="zh-CN"/>
              </w:rPr>
              <w:t>/</w:t>
            </w:r>
          </w:p>
        </w:tc>
        <w:tc>
          <w:tcPr>
            <w:tcW w:w="710" w:type="pct"/>
            <w:tcBorders>
              <w:tl2br w:val="nil"/>
              <w:tr2bl w:val="nil"/>
            </w:tcBorders>
            <w:vAlign w:val="center"/>
          </w:tcPr>
          <w:p w14:paraId="603CB430">
            <w:pPr>
              <w:pStyle w:val="7"/>
              <w:bidi w:val="0"/>
              <w:ind w:firstLine="0" w:firstLineChars="0"/>
              <w:rPr>
                <w:rFonts w:hint="default"/>
                <w:color w:val="auto"/>
                <w:u w:val="single"/>
                <w:lang w:val="en-US" w:eastAsia="zh-CN"/>
              </w:rPr>
            </w:pPr>
            <w:r>
              <w:rPr>
                <w:rFonts w:hint="eastAsia"/>
                <w:color w:val="auto"/>
                <w:u w:val="single"/>
                <w:lang w:val="en-US" w:eastAsia="zh-CN"/>
              </w:rPr>
              <w:t>80</w:t>
            </w:r>
          </w:p>
        </w:tc>
        <w:tc>
          <w:tcPr>
            <w:tcW w:w="299" w:type="pct"/>
            <w:tcBorders>
              <w:tl2br w:val="nil"/>
              <w:tr2bl w:val="nil"/>
            </w:tcBorders>
            <w:vAlign w:val="center"/>
          </w:tcPr>
          <w:p w14:paraId="2B9246AA">
            <w:pPr>
              <w:pStyle w:val="7"/>
              <w:bidi w:val="0"/>
              <w:rPr>
                <w:rFonts w:hint="eastAsia"/>
                <w:color w:val="auto"/>
                <w:u w:val="single"/>
                <w:lang w:val="en-US" w:eastAsia="zh-CN"/>
              </w:rPr>
            </w:pPr>
            <w:r>
              <w:rPr>
                <w:rFonts w:hint="eastAsia"/>
                <w:color w:val="auto"/>
                <w:u w:val="single"/>
                <w:lang w:val="en-US" w:eastAsia="zh-CN"/>
              </w:rPr>
              <w:t>/</w:t>
            </w:r>
          </w:p>
        </w:tc>
      </w:tr>
      <w:tr w14:paraId="5ABF9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70" w:type="pct"/>
            <w:vMerge w:val="continue"/>
            <w:tcBorders>
              <w:tl2br w:val="nil"/>
              <w:tr2bl w:val="nil"/>
            </w:tcBorders>
            <w:vAlign w:val="center"/>
          </w:tcPr>
          <w:p w14:paraId="6122705D">
            <w:pPr>
              <w:pStyle w:val="7"/>
              <w:bidi w:val="0"/>
              <w:rPr>
                <w:rFonts w:hint="default"/>
                <w:color w:val="auto"/>
                <w:u w:val="single"/>
              </w:rPr>
            </w:pPr>
          </w:p>
        </w:tc>
        <w:tc>
          <w:tcPr>
            <w:tcW w:w="680" w:type="pct"/>
            <w:tcBorders>
              <w:tl2br w:val="nil"/>
              <w:tr2bl w:val="nil"/>
            </w:tcBorders>
            <w:vAlign w:val="center"/>
          </w:tcPr>
          <w:p w14:paraId="776DE50A">
            <w:pPr>
              <w:pStyle w:val="7"/>
              <w:bidi w:val="0"/>
              <w:rPr>
                <w:rFonts w:hint="default" w:eastAsia="宋体"/>
                <w:color w:val="auto"/>
                <w:u w:val="single"/>
                <w:lang w:val="en-US" w:eastAsia="zh-CN"/>
              </w:rPr>
            </w:pPr>
            <w:r>
              <w:rPr>
                <w:rFonts w:hint="eastAsia"/>
                <w:color w:val="auto"/>
                <w:u w:val="single"/>
                <w:lang w:val="en-US" w:eastAsia="zh-CN"/>
              </w:rPr>
              <w:t>废编织袋</w:t>
            </w:r>
          </w:p>
        </w:tc>
        <w:tc>
          <w:tcPr>
            <w:tcW w:w="555" w:type="pct"/>
            <w:tcBorders>
              <w:tl2br w:val="nil"/>
              <w:tr2bl w:val="nil"/>
            </w:tcBorders>
            <w:vAlign w:val="center"/>
          </w:tcPr>
          <w:p w14:paraId="4E0985FA">
            <w:pPr>
              <w:pStyle w:val="7"/>
              <w:bidi w:val="0"/>
              <w:rPr>
                <w:rFonts w:hint="eastAsia" w:eastAsia="宋体"/>
                <w:color w:val="auto"/>
                <w:u w:val="single"/>
                <w:lang w:val="en-US" w:eastAsia="zh-CN"/>
              </w:rPr>
            </w:pPr>
            <w:r>
              <w:rPr>
                <w:rFonts w:hint="eastAsia"/>
                <w:color w:val="auto"/>
                <w:u w:val="single"/>
                <w:lang w:val="en-US" w:eastAsia="zh-CN"/>
              </w:rPr>
              <w:t>/</w:t>
            </w:r>
          </w:p>
        </w:tc>
        <w:tc>
          <w:tcPr>
            <w:tcW w:w="462" w:type="pct"/>
            <w:tcBorders>
              <w:tl2br w:val="nil"/>
              <w:tr2bl w:val="nil"/>
            </w:tcBorders>
            <w:vAlign w:val="center"/>
          </w:tcPr>
          <w:p w14:paraId="522EE1AA">
            <w:pPr>
              <w:pStyle w:val="7"/>
              <w:bidi w:val="0"/>
              <w:rPr>
                <w:rFonts w:hint="eastAsia" w:eastAsia="宋体"/>
                <w:color w:val="auto"/>
                <w:u w:val="single"/>
                <w:lang w:val="en-US" w:eastAsia="zh-CN"/>
              </w:rPr>
            </w:pPr>
            <w:r>
              <w:rPr>
                <w:rFonts w:hint="eastAsia"/>
                <w:color w:val="auto"/>
                <w:u w:val="single"/>
                <w:lang w:val="en-US" w:eastAsia="zh-CN"/>
              </w:rPr>
              <w:t>/</w:t>
            </w:r>
          </w:p>
        </w:tc>
        <w:tc>
          <w:tcPr>
            <w:tcW w:w="616" w:type="pct"/>
            <w:tcBorders>
              <w:tl2br w:val="nil"/>
              <w:tr2bl w:val="nil"/>
            </w:tcBorders>
            <w:vAlign w:val="center"/>
          </w:tcPr>
          <w:p w14:paraId="47A1573D">
            <w:pPr>
              <w:pStyle w:val="7"/>
              <w:bidi w:val="0"/>
              <w:rPr>
                <w:rFonts w:hint="eastAsia" w:eastAsia="宋体"/>
                <w:color w:val="auto"/>
                <w:u w:val="single"/>
                <w:lang w:val="en-US" w:eastAsia="zh-CN"/>
              </w:rPr>
            </w:pPr>
            <w:r>
              <w:rPr>
                <w:rFonts w:hint="eastAsia"/>
                <w:color w:val="auto"/>
                <w:u w:val="single"/>
                <w:lang w:val="en-US" w:eastAsia="zh-CN"/>
              </w:rPr>
              <w:t>/</w:t>
            </w:r>
          </w:p>
        </w:tc>
        <w:tc>
          <w:tcPr>
            <w:tcW w:w="605" w:type="pct"/>
            <w:tcBorders>
              <w:tl2br w:val="nil"/>
              <w:tr2bl w:val="nil"/>
            </w:tcBorders>
            <w:vAlign w:val="center"/>
          </w:tcPr>
          <w:p w14:paraId="662EA45F">
            <w:pPr>
              <w:pStyle w:val="7"/>
              <w:bidi w:val="0"/>
              <w:rPr>
                <w:rFonts w:hint="default"/>
                <w:color w:val="auto"/>
                <w:u w:val="single"/>
                <w:lang w:val="en-US" w:eastAsia="zh-CN"/>
              </w:rPr>
            </w:pPr>
            <w:r>
              <w:rPr>
                <w:rFonts w:hint="eastAsia"/>
                <w:color w:val="auto"/>
                <w:u w:val="single"/>
                <w:lang w:val="en-US" w:eastAsia="zh-CN"/>
              </w:rPr>
              <w:t>100（万个/年）</w:t>
            </w:r>
          </w:p>
        </w:tc>
        <w:tc>
          <w:tcPr>
            <w:tcW w:w="598" w:type="pct"/>
            <w:tcBorders>
              <w:tl2br w:val="nil"/>
              <w:tr2bl w:val="nil"/>
            </w:tcBorders>
            <w:vAlign w:val="center"/>
          </w:tcPr>
          <w:p w14:paraId="577A33E6">
            <w:pPr>
              <w:pStyle w:val="7"/>
              <w:bidi w:val="0"/>
              <w:rPr>
                <w:rFonts w:hint="eastAsia" w:eastAsia="宋体"/>
                <w:color w:val="auto"/>
                <w:u w:val="single"/>
                <w:lang w:val="en-US" w:eastAsia="zh-CN"/>
              </w:rPr>
            </w:pPr>
            <w:r>
              <w:rPr>
                <w:rFonts w:hint="eastAsia"/>
                <w:color w:val="auto"/>
                <w:u w:val="single"/>
                <w:lang w:val="en-US" w:eastAsia="zh-CN"/>
              </w:rPr>
              <w:t>/</w:t>
            </w:r>
          </w:p>
        </w:tc>
        <w:tc>
          <w:tcPr>
            <w:tcW w:w="710" w:type="pct"/>
            <w:tcBorders>
              <w:tl2br w:val="nil"/>
              <w:tr2bl w:val="nil"/>
            </w:tcBorders>
            <w:vAlign w:val="center"/>
          </w:tcPr>
          <w:p w14:paraId="41C947AF">
            <w:pPr>
              <w:pStyle w:val="7"/>
              <w:bidi w:val="0"/>
              <w:ind w:firstLine="0" w:firstLineChars="0"/>
              <w:rPr>
                <w:rFonts w:hint="default"/>
                <w:color w:val="auto"/>
                <w:u w:val="single"/>
                <w:lang w:val="en-US" w:eastAsia="zh-CN"/>
              </w:rPr>
            </w:pPr>
            <w:r>
              <w:rPr>
                <w:rFonts w:hint="eastAsia"/>
                <w:color w:val="auto"/>
                <w:u w:val="single"/>
                <w:lang w:val="en-US" w:eastAsia="zh-CN"/>
              </w:rPr>
              <w:t>100（万个/年）</w:t>
            </w:r>
          </w:p>
        </w:tc>
        <w:tc>
          <w:tcPr>
            <w:tcW w:w="299" w:type="pct"/>
            <w:tcBorders>
              <w:tl2br w:val="nil"/>
              <w:tr2bl w:val="nil"/>
            </w:tcBorders>
            <w:vAlign w:val="center"/>
          </w:tcPr>
          <w:p w14:paraId="15BF0B31">
            <w:pPr>
              <w:pStyle w:val="7"/>
              <w:bidi w:val="0"/>
              <w:rPr>
                <w:rFonts w:hint="eastAsia" w:eastAsia="宋体"/>
                <w:color w:val="auto"/>
                <w:u w:val="single"/>
                <w:lang w:val="en-US" w:eastAsia="zh-CN"/>
              </w:rPr>
            </w:pPr>
            <w:r>
              <w:rPr>
                <w:rFonts w:hint="eastAsia"/>
                <w:color w:val="auto"/>
                <w:u w:val="single"/>
                <w:lang w:val="en-US" w:eastAsia="zh-CN"/>
              </w:rPr>
              <w:t>/</w:t>
            </w:r>
          </w:p>
        </w:tc>
      </w:tr>
      <w:tr w14:paraId="728AE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70" w:type="pct"/>
            <w:vMerge w:val="restart"/>
            <w:tcBorders>
              <w:tl2br w:val="nil"/>
              <w:tr2bl w:val="nil"/>
            </w:tcBorders>
            <w:vAlign w:val="center"/>
          </w:tcPr>
          <w:p w14:paraId="76BC510B">
            <w:pPr>
              <w:pStyle w:val="7"/>
              <w:bidi w:val="0"/>
              <w:rPr>
                <w:rFonts w:hint="default"/>
                <w:color w:val="auto"/>
                <w:u w:val="single"/>
              </w:rPr>
            </w:pPr>
            <w:r>
              <w:rPr>
                <w:rFonts w:hint="default"/>
                <w:color w:val="auto"/>
                <w:u w:val="single"/>
              </w:rPr>
              <w:t>危险废物</w:t>
            </w:r>
          </w:p>
        </w:tc>
        <w:tc>
          <w:tcPr>
            <w:tcW w:w="680" w:type="pct"/>
            <w:tcBorders>
              <w:tl2br w:val="nil"/>
              <w:tr2bl w:val="nil"/>
            </w:tcBorders>
            <w:vAlign w:val="center"/>
          </w:tcPr>
          <w:p w14:paraId="5C5AACEA">
            <w:pPr>
              <w:pStyle w:val="7"/>
              <w:bidi w:val="0"/>
              <w:rPr>
                <w:rFonts w:hint="default"/>
                <w:color w:val="auto"/>
                <w:u w:val="single"/>
                <w:lang w:eastAsia="zh-CN"/>
              </w:rPr>
            </w:pPr>
            <w:r>
              <w:rPr>
                <w:rFonts w:hint="default"/>
                <w:color w:val="auto"/>
                <w:u w:val="single"/>
                <w:lang w:eastAsia="zh-CN"/>
              </w:rPr>
              <w:t>废含油抹布及手套</w:t>
            </w:r>
          </w:p>
        </w:tc>
        <w:tc>
          <w:tcPr>
            <w:tcW w:w="555" w:type="pct"/>
            <w:tcBorders>
              <w:tl2br w:val="nil"/>
              <w:tr2bl w:val="nil"/>
            </w:tcBorders>
            <w:vAlign w:val="center"/>
          </w:tcPr>
          <w:p w14:paraId="0EC1325B">
            <w:pPr>
              <w:pStyle w:val="7"/>
              <w:bidi w:val="0"/>
              <w:rPr>
                <w:rFonts w:hint="eastAsia" w:eastAsia="宋体"/>
                <w:color w:val="auto"/>
                <w:u w:val="single"/>
                <w:lang w:val="en-US" w:eastAsia="zh-CN"/>
              </w:rPr>
            </w:pPr>
            <w:r>
              <w:rPr>
                <w:rFonts w:hint="eastAsia"/>
                <w:color w:val="auto"/>
                <w:u w:val="single"/>
                <w:lang w:val="en-US" w:eastAsia="zh-CN"/>
              </w:rPr>
              <w:t>/</w:t>
            </w:r>
          </w:p>
        </w:tc>
        <w:tc>
          <w:tcPr>
            <w:tcW w:w="462" w:type="pct"/>
            <w:tcBorders>
              <w:tl2br w:val="nil"/>
              <w:tr2bl w:val="nil"/>
            </w:tcBorders>
            <w:vAlign w:val="center"/>
          </w:tcPr>
          <w:p w14:paraId="2D69FC4F">
            <w:pPr>
              <w:pStyle w:val="7"/>
              <w:bidi w:val="0"/>
              <w:rPr>
                <w:rFonts w:hint="eastAsia" w:eastAsia="宋体"/>
                <w:color w:val="auto"/>
                <w:u w:val="single"/>
                <w:lang w:val="en-US" w:eastAsia="zh-CN"/>
              </w:rPr>
            </w:pPr>
            <w:r>
              <w:rPr>
                <w:rFonts w:hint="eastAsia"/>
                <w:color w:val="auto"/>
                <w:u w:val="single"/>
                <w:lang w:val="en-US" w:eastAsia="zh-CN"/>
              </w:rPr>
              <w:t>/</w:t>
            </w:r>
          </w:p>
        </w:tc>
        <w:tc>
          <w:tcPr>
            <w:tcW w:w="616" w:type="pct"/>
            <w:tcBorders>
              <w:tl2br w:val="nil"/>
              <w:tr2bl w:val="nil"/>
            </w:tcBorders>
            <w:vAlign w:val="center"/>
          </w:tcPr>
          <w:p w14:paraId="473B626C">
            <w:pPr>
              <w:pStyle w:val="7"/>
              <w:bidi w:val="0"/>
              <w:rPr>
                <w:rFonts w:hint="eastAsia" w:eastAsia="宋体"/>
                <w:color w:val="auto"/>
                <w:u w:val="single"/>
                <w:lang w:val="en-US" w:eastAsia="zh-CN"/>
              </w:rPr>
            </w:pPr>
            <w:r>
              <w:rPr>
                <w:rFonts w:hint="eastAsia"/>
                <w:color w:val="auto"/>
                <w:u w:val="single"/>
                <w:lang w:val="en-US" w:eastAsia="zh-CN"/>
              </w:rPr>
              <w:t>/</w:t>
            </w:r>
          </w:p>
        </w:tc>
        <w:tc>
          <w:tcPr>
            <w:tcW w:w="605" w:type="pct"/>
            <w:tcBorders>
              <w:tl2br w:val="nil"/>
              <w:tr2bl w:val="nil"/>
            </w:tcBorders>
            <w:vAlign w:val="center"/>
          </w:tcPr>
          <w:p w14:paraId="2FA51113">
            <w:pPr>
              <w:pStyle w:val="7"/>
              <w:bidi w:val="0"/>
              <w:rPr>
                <w:rFonts w:hint="eastAsia" w:eastAsia="宋体"/>
                <w:color w:val="auto"/>
                <w:u w:val="single"/>
                <w:lang w:eastAsia="zh-CN"/>
              </w:rPr>
            </w:pPr>
            <w:r>
              <w:rPr>
                <w:rFonts w:hint="default"/>
                <w:color w:val="auto"/>
                <w:u w:val="single"/>
              </w:rPr>
              <w:t>0.</w:t>
            </w:r>
            <w:r>
              <w:rPr>
                <w:rFonts w:hint="eastAsia"/>
                <w:color w:val="auto"/>
                <w:u w:val="single"/>
                <w:lang w:val="en-US" w:eastAsia="zh-CN"/>
              </w:rPr>
              <w:t>1</w:t>
            </w:r>
          </w:p>
        </w:tc>
        <w:tc>
          <w:tcPr>
            <w:tcW w:w="598" w:type="pct"/>
            <w:tcBorders>
              <w:tl2br w:val="nil"/>
              <w:tr2bl w:val="nil"/>
            </w:tcBorders>
            <w:vAlign w:val="center"/>
          </w:tcPr>
          <w:p w14:paraId="1DD1CD26">
            <w:pPr>
              <w:pStyle w:val="7"/>
              <w:bidi w:val="0"/>
              <w:rPr>
                <w:rFonts w:hint="eastAsia" w:eastAsia="宋体"/>
                <w:color w:val="auto"/>
                <w:u w:val="single"/>
                <w:lang w:val="en-US" w:eastAsia="zh-CN"/>
              </w:rPr>
            </w:pPr>
            <w:r>
              <w:rPr>
                <w:rFonts w:hint="eastAsia"/>
                <w:color w:val="auto"/>
                <w:u w:val="single"/>
                <w:lang w:val="en-US" w:eastAsia="zh-CN"/>
              </w:rPr>
              <w:t>/</w:t>
            </w:r>
          </w:p>
        </w:tc>
        <w:tc>
          <w:tcPr>
            <w:tcW w:w="710" w:type="pct"/>
            <w:tcBorders>
              <w:tl2br w:val="nil"/>
              <w:tr2bl w:val="nil"/>
            </w:tcBorders>
            <w:vAlign w:val="center"/>
          </w:tcPr>
          <w:p w14:paraId="6A904235">
            <w:pPr>
              <w:pStyle w:val="7"/>
              <w:bidi w:val="0"/>
              <w:ind w:firstLine="0" w:firstLineChars="0"/>
              <w:rPr>
                <w:rFonts w:hint="eastAsia" w:eastAsia="宋体"/>
                <w:color w:val="auto"/>
                <w:u w:val="single"/>
                <w:lang w:val="en-US" w:eastAsia="zh-CN"/>
              </w:rPr>
            </w:pPr>
            <w:r>
              <w:rPr>
                <w:rFonts w:hint="default"/>
                <w:color w:val="auto"/>
                <w:u w:val="single"/>
              </w:rPr>
              <w:t>0.</w:t>
            </w:r>
            <w:r>
              <w:rPr>
                <w:rFonts w:hint="eastAsia"/>
                <w:color w:val="auto"/>
                <w:u w:val="single"/>
                <w:lang w:val="en-US" w:eastAsia="zh-CN"/>
              </w:rPr>
              <w:t>1</w:t>
            </w:r>
          </w:p>
        </w:tc>
        <w:tc>
          <w:tcPr>
            <w:tcW w:w="299" w:type="pct"/>
            <w:tcBorders>
              <w:tl2br w:val="nil"/>
              <w:tr2bl w:val="nil"/>
            </w:tcBorders>
            <w:vAlign w:val="center"/>
          </w:tcPr>
          <w:p w14:paraId="44E0BA93">
            <w:pPr>
              <w:pStyle w:val="7"/>
              <w:bidi w:val="0"/>
              <w:rPr>
                <w:rFonts w:hint="eastAsia" w:eastAsia="宋体"/>
                <w:color w:val="auto"/>
                <w:u w:val="single"/>
                <w:lang w:val="en-US" w:eastAsia="zh-CN"/>
              </w:rPr>
            </w:pPr>
            <w:r>
              <w:rPr>
                <w:rFonts w:hint="eastAsia"/>
                <w:color w:val="auto"/>
                <w:u w:val="single"/>
                <w:lang w:val="en-US" w:eastAsia="zh-CN"/>
              </w:rPr>
              <w:t>/</w:t>
            </w:r>
          </w:p>
        </w:tc>
      </w:tr>
      <w:tr w14:paraId="00E1B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70" w:type="pct"/>
            <w:vMerge w:val="continue"/>
            <w:tcBorders>
              <w:tl2br w:val="nil"/>
              <w:tr2bl w:val="nil"/>
            </w:tcBorders>
            <w:vAlign w:val="center"/>
          </w:tcPr>
          <w:p w14:paraId="45D33F17">
            <w:pPr>
              <w:pStyle w:val="7"/>
              <w:bidi w:val="0"/>
              <w:rPr>
                <w:rFonts w:hint="default"/>
                <w:color w:val="auto"/>
                <w:u w:val="single"/>
              </w:rPr>
            </w:pPr>
          </w:p>
        </w:tc>
        <w:tc>
          <w:tcPr>
            <w:tcW w:w="680" w:type="pct"/>
            <w:tcBorders>
              <w:tl2br w:val="nil"/>
              <w:tr2bl w:val="nil"/>
            </w:tcBorders>
            <w:vAlign w:val="center"/>
          </w:tcPr>
          <w:p w14:paraId="421D950D">
            <w:pPr>
              <w:pStyle w:val="7"/>
              <w:bidi w:val="0"/>
              <w:rPr>
                <w:rFonts w:hint="default" w:eastAsia="宋体"/>
                <w:color w:val="auto"/>
                <w:u w:val="single"/>
                <w:lang w:val="en-US" w:eastAsia="zh-CN"/>
              </w:rPr>
            </w:pPr>
            <w:r>
              <w:rPr>
                <w:rFonts w:hint="default"/>
                <w:color w:val="auto"/>
                <w:u w:val="single"/>
              </w:rPr>
              <w:t>废矿物油</w:t>
            </w:r>
            <w:r>
              <w:rPr>
                <w:rFonts w:hint="eastAsia"/>
                <w:color w:val="auto"/>
                <w:u w:val="single"/>
                <w:lang w:val="en-US" w:eastAsia="zh-CN"/>
              </w:rPr>
              <w:t>及包装桶</w:t>
            </w:r>
          </w:p>
        </w:tc>
        <w:tc>
          <w:tcPr>
            <w:tcW w:w="555" w:type="pct"/>
            <w:tcBorders>
              <w:tl2br w:val="nil"/>
              <w:tr2bl w:val="nil"/>
            </w:tcBorders>
            <w:vAlign w:val="center"/>
          </w:tcPr>
          <w:p w14:paraId="5DF1CAC8">
            <w:pPr>
              <w:pStyle w:val="7"/>
              <w:bidi w:val="0"/>
              <w:rPr>
                <w:rFonts w:hint="eastAsia" w:eastAsia="宋体"/>
                <w:color w:val="auto"/>
                <w:u w:val="single"/>
                <w:lang w:val="en-US" w:eastAsia="zh-CN"/>
              </w:rPr>
            </w:pPr>
            <w:r>
              <w:rPr>
                <w:rFonts w:hint="eastAsia"/>
                <w:color w:val="auto"/>
                <w:u w:val="single"/>
                <w:lang w:val="en-US" w:eastAsia="zh-CN"/>
              </w:rPr>
              <w:t>/</w:t>
            </w:r>
          </w:p>
        </w:tc>
        <w:tc>
          <w:tcPr>
            <w:tcW w:w="462" w:type="pct"/>
            <w:tcBorders>
              <w:tl2br w:val="nil"/>
              <w:tr2bl w:val="nil"/>
            </w:tcBorders>
            <w:vAlign w:val="center"/>
          </w:tcPr>
          <w:p w14:paraId="1ADB2FE3">
            <w:pPr>
              <w:pStyle w:val="7"/>
              <w:bidi w:val="0"/>
              <w:rPr>
                <w:rFonts w:hint="eastAsia" w:eastAsia="宋体"/>
                <w:color w:val="auto"/>
                <w:u w:val="single"/>
                <w:lang w:val="en-US" w:eastAsia="zh-CN"/>
              </w:rPr>
            </w:pPr>
            <w:r>
              <w:rPr>
                <w:rFonts w:hint="eastAsia"/>
                <w:color w:val="auto"/>
                <w:u w:val="single"/>
                <w:lang w:val="en-US" w:eastAsia="zh-CN"/>
              </w:rPr>
              <w:t>/</w:t>
            </w:r>
          </w:p>
        </w:tc>
        <w:tc>
          <w:tcPr>
            <w:tcW w:w="616" w:type="pct"/>
            <w:tcBorders>
              <w:tl2br w:val="nil"/>
              <w:tr2bl w:val="nil"/>
            </w:tcBorders>
            <w:vAlign w:val="center"/>
          </w:tcPr>
          <w:p w14:paraId="7677A2EF">
            <w:pPr>
              <w:pStyle w:val="7"/>
              <w:bidi w:val="0"/>
              <w:rPr>
                <w:rFonts w:hint="eastAsia" w:eastAsia="宋体"/>
                <w:color w:val="auto"/>
                <w:u w:val="single"/>
                <w:lang w:val="en-US" w:eastAsia="zh-CN"/>
              </w:rPr>
            </w:pPr>
            <w:r>
              <w:rPr>
                <w:rFonts w:hint="eastAsia"/>
                <w:color w:val="auto"/>
                <w:u w:val="single"/>
                <w:lang w:val="en-US" w:eastAsia="zh-CN"/>
              </w:rPr>
              <w:t>/</w:t>
            </w:r>
          </w:p>
        </w:tc>
        <w:tc>
          <w:tcPr>
            <w:tcW w:w="605" w:type="pct"/>
            <w:tcBorders>
              <w:tl2br w:val="nil"/>
              <w:tr2bl w:val="nil"/>
            </w:tcBorders>
            <w:vAlign w:val="center"/>
          </w:tcPr>
          <w:p w14:paraId="4FB95E7B">
            <w:pPr>
              <w:pStyle w:val="7"/>
              <w:bidi w:val="0"/>
              <w:rPr>
                <w:rFonts w:hint="eastAsia" w:eastAsia="宋体"/>
                <w:color w:val="auto"/>
                <w:u w:val="single"/>
                <w:lang w:val="en-US" w:eastAsia="zh-CN"/>
              </w:rPr>
            </w:pPr>
            <w:r>
              <w:rPr>
                <w:rFonts w:hint="default"/>
                <w:color w:val="auto"/>
                <w:u w:val="single"/>
              </w:rPr>
              <w:t>0.</w:t>
            </w:r>
            <w:r>
              <w:rPr>
                <w:rFonts w:hint="eastAsia"/>
                <w:color w:val="auto"/>
                <w:u w:val="single"/>
                <w:lang w:val="en-US" w:eastAsia="zh-CN"/>
              </w:rPr>
              <w:t>1</w:t>
            </w:r>
          </w:p>
        </w:tc>
        <w:tc>
          <w:tcPr>
            <w:tcW w:w="598" w:type="pct"/>
            <w:tcBorders>
              <w:tl2br w:val="nil"/>
              <w:tr2bl w:val="nil"/>
            </w:tcBorders>
            <w:vAlign w:val="center"/>
          </w:tcPr>
          <w:p w14:paraId="25AB3814">
            <w:pPr>
              <w:pStyle w:val="7"/>
              <w:bidi w:val="0"/>
              <w:rPr>
                <w:rFonts w:hint="eastAsia" w:eastAsia="宋体"/>
                <w:color w:val="auto"/>
                <w:u w:val="single"/>
                <w:lang w:val="en-US" w:eastAsia="zh-CN"/>
              </w:rPr>
            </w:pPr>
            <w:r>
              <w:rPr>
                <w:rFonts w:hint="eastAsia"/>
                <w:color w:val="auto"/>
                <w:u w:val="single"/>
                <w:lang w:val="en-US" w:eastAsia="zh-CN"/>
              </w:rPr>
              <w:t>/</w:t>
            </w:r>
          </w:p>
        </w:tc>
        <w:tc>
          <w:tcPr>
            <w:tcW w:w="710" w:type="pct"/>
            <w:tcBorders>
              <w:tl2br w:val="nil"/>
              <w:tr2bl w:val="nil"/>
            </w:tcBorders>
            <w:vAlign w:val="center"/>
          </w:tcPr>
          <w:p w14:paraId="3EDD604D">
            <w:pPr>
              <w:pStyle w:val="7"/>
              <w:bidi w:val="0"/>
              <w:ind w:firstLine="0" w:firstLineChars="0"/>
              <w:rPr>
                <w:rFonts w:hint="eastAsia" w:eastAsia="宋体"/>
                <w:color w:val="auto"/>
                <w:u w:val="single"/>
                <w:lang w:val="en-US" w:eastAsia="zh-CN"/>
              </w:rPr>
            </w:pPr>
            <w:r>
              <w:rPr>
                <w:rFonts w:hint="default"/>
                <w:color w:val="auto"/>
                <w:u w:val="single"/>
              </w:rPr>
              <w:t>0.</w:t>
            </w:r>
            <w:r>
              <w:rPr>
                <w:rFonts w:hint="eastAsia"/>
                <w:color w:val="auto"/>
                <w:u w:val="single"/>
                <w:lang w:val="en-US" w:eastAsia="zh-CN"/>
              </w:rPr>
              <w:t>1</w:t>
            </w:r>
          </w:p>
        </w:tc>
        <w:tc>
          <w:tcPr>
            <w:tcW w:w="299" w:type="pct"/>
            <w:tcBorders>
              <w:tl2br w:val="nil"/>
              <w:tr2bl w:val="nil"/>
            </w:tcBorders>
            <w:vAlign w:val="center"/>
          </w:tcPr>
          <w:p w14:paraId="2DDA6329">
            <w:pPr>
              <w:pStyle w:val="7"/>
              <w:bidi w:val="0"/>
              <w:rPr>
                <w:rFonts w:hint="eastAsia" w:eastAsia="宋体"/>
                <w:color w:val="auto"/>
                <w:u w:val="single"/>
                <w:lang w:val="en-US" w:eastAsia="zh-CN"/>
              </w:rPr>
            </w:pPr>
            <w:r>
              <w:rPr>
                <w:rFonts w:hint="eastAsia"/>
                <w:color w:val="auto"/>
                <w:u w:val="single"/>
                <w:lang w:val="en-US" w:eastAsia="zh-CN"/>
              </w:rPr>
              <w:t>/</w:t>
            </w:r>
          </w:p>
        </w:tc>
      </w:tr>
      <w:tr w14:paraId="3B073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470" w:type="pct"/>
            <w:tcBorders>
              <w:tl2br w:val="nil"/>
              <w:tr2bl w:val="nil"/>
            </w:tcBorders>
            <w:vAlign w:val="center"/>
          </w:tcPr>
          <w:p w14:paraId="4B254981">
            <w:pPr>
              <w:pStyle w:val="7"/>
              <w:bidi w:val="0"/>
              <w:rPr>
                <w:rFonts w:hint="default"/>
                <w:color w:val="auto"/>
                <w:u w:val="single"/>
                <w:lang w:val="en-US" w:eastAsia="zh-CN"/>
              </w:rPr>
            </w:pPr>
            <w:r>
              <w:rPr>
                <w:rFonts w:hint="eastAsia"/>
                <w:color w:val="auto"/>
                <w:u w:val="single"/>
                <w:lang w:val="en-US" w:eastAsia="zh-CN"/>
              </w:rPr>
              <w:t>生活垃圾</w:t>
            </w:r>
          </w:p>
        </w:tc>
        <w:tc>
          <w:tcPr>
            <w:tcW w:w="680" w:type="pct"/>
            <w:tcBorders>
              <w:tl2br w:val="nil"/>
              <w:tr2bl w:val="nil"/>
            </w:tcBorders>
            <w:vAlign w:val="center"/>
          </w:tcPr>
          <w:p w14:paraId="4ACE2F59">
            <w:pPr>
              <w:pStyle w:val="7"/>
              <w:bidi w:val="0"/>
              <w:rPr>
                <w:rFonts w:hint="eastAsia"/>
                <w:color w:val="auto"/>
                <w:u w:val="single"/>
                <w:lang w:val="en-US" w:eastAsia="zh-CN"/>
              </w:rPr>
            </w:pPr>
            <w:r>
              <w:rPr>
                <w:rFonts w:hint="eastAsia"/>
                <w:color w:val="auto"/>
                <w:u w:val="single"/>
                <w:lang w:val="en-US" w:eastAsia="zh-CN"/>
              </w:rPr>
              <w:t>生活垃圾</w:t>
            </w:r>
          </w:p>
        </w:tc>
        <w:tc>
          <w:tcPr>
            <w:tcW w:w="555" w:type="pct"/>
            <w:tcBorders>
              <w:tl2br w:val="nil"/>
              <w:tr2bl w:val="nil"/>
            </w:tcBorders>
            <w:vAlign w:val="center"/>
          </w:tcPr>
          <w:p w14:paraId="23DD0F49">
            <w:pPr>
              <w:pStyle w:val="7"/>
              <w:bidi w:val="0"/>
              <w:rPr>
                <w:rFonts w:hint="eastAsia" w:eastAsia="宋体"/>
                <w:color w:val="auto"/>
                <w:u w:val="single"/>
                <w:lang w:val="en-US" w:eastAsia="zh-CN"/>
              </w:rPr>
            </w:pPr>
            <w:r>
              <w:rPr>
                <w:rFonts w:hint="eastAsia"/>
                <w:color w:val="auto"/>
                <w:u w:val="single"/>
                <w:lang w:val="en-US" w:eastAsia="zh-CN"/>
              </w:rPr>
              <w:t>/</w:t>
            </w:r>
          </w:p>
        </w:tc>
        <w:tc>
          <w:tcPr>
            <w:tcW w:w="462" w:type="pct"/>
            <w:tcBorders>
              <w:tl2br w:val="nil"/>
              <w:tr2bl w:val="nil"/>
            </w:tcBorders>
            <w:vAlign w:val="center"/>
          </w:tcPr>
          <w:p w14:paraId="373BF38E">
            <w:pPr>
              <w:pStyle w:val="7"/>
              <w:bidi w:val="0"/>
              <w:rPr>
                <w:rFonts w:hint="eastAsia" w:eastAsia="宋体"/>
                <w:color w:val="auto"/>
                <w:u w:val="single"/>
                <w:lang w:val="en-US" w:eastAsia="zh-CN"/>
              </w:rPr>
            </w:pPr>
            <w:r>
              <w:rPr>
                <w:rFonts w:hint="eastAsia"/>
                <w:color w:val="auto"/>
                <w:u w:val="single"/>
                <w:lang w:val="en-US" w:eastAsia="zh-CN"/>
              </w:rPr>
              <w:t>/</w:t>
            </w:r>
          </w:p>
        </w:tc>
        <w:tc>
          <w:tcPr>
            <w:tcW w:w="616" w:type="pct"/>
            <w:tcBorders>
              <w:tl2br w:val="nil"/>
              <w:tr2bl w:val="nil"/>
            </w:tcBorders>
            <w:vAlign w:val="center"/>
          </w:tcPr>
          <w:p w14:paraId="02D69E19">
            <w:pPr>
              <w:pStyle w:val="7"/>
              <w:bidi w:val="0"/>
              <w:rPr>
                <w:rFonts w:hint="eastAsia" w:eastAsia="宋体"/>
                <w:color w:val="auto"/>
                <w:u w:val="single"/>
                <w:lang w:val="en-US" w:eastAsia="zh-CN"/>
              </w:rPr>
            </w:pPr>
            <w:r>
              <w:rPr>
                <w:rFonts w:hint="eastAsia"/>
                <w:color w:val="auto"/>
                <w:u w:val="single"/>
                <w:lang w:val="en-US" w:eastAsia="zh-CN"/>
              </w:rPr>
              <w:t>/</w:t>
            </w:r>
          </w:p>
        </w:tc>
        <w:tc>
          <w:tcPr>
            <w:tcW w:w="605" w:type="pct"/>
            <w:tcBorders>
              <w:tl2br w:val="nil"/>
              <w:tr2bl w:val="nil"/>
            </w:tcBorders>
            <w:vAlign w:val="center"/>
          </w:tcPr>
          <w:p w14:paraId="321660AC">
            <w:pPr>
              <w:pStyle w:val="7"/>
              <w:bidi w:val="0"/>
              <w:rPr>
                <w:rFonts w:hint="default"/>
                <w:color w:val="auto"/>
                <w:u w:val="single"/>
                <w:lang w:val="en-US" w:eastAsia="zh-CN"/>
              </w:rPr>
            </w:pPr>
            <w:r>
              <w:rPr>
                <w:rFonts w:hint="eastAsia"/>
                <w:color w:val="auto"/>
                <w:u w:val="single"/>
                <w:lang w:val="en-US" w:eastAsia="zh-CN"/>
              </w:rPr>
              <w:t>6.4</w:t>
            </w:r>
          </w:p>
        </w:tc>
        <w:tc>
          <w:tcPr>
            <w:tcW w:w="598" w:type="pct"/>
            <w:tcBorders>
              <w:tl2br w:val="nil"/>
              <w:tr2bl w:val="nil"/>
            </w:tcBorders>
            <w:vAlign w:val="center"/>
          </w:tcPr>
          <w:p w14:paraId="3E54C554">
            <w:pPr>
              <w:pStyle w:val="7"/>
              <w:bidi w:val="0"/>
              <w:rPr>
                <w:rFonts w:hint="eastAsia" w:eastAsia="宋体"/>
                <w:color w:val="auto"/>
                <w:u w:val="single"/>
                <w:lang w:val="en-US" w:eastAsia="zh-CN"/>
              </w:rPr>
            </w:pPr>
            <w:r>
              <w:rPr>
                <w:rFonts w:hint="eastAsia"/>
                <w:color w:val="auto"/>
                <w:u w:val="single"/>
                <w:lang w:val="en-US" w:eastAsia="zh-CN"/>
              </w:rPr>
              <w:t>/</w:t>
            </w:r>
          </w:p>
        </w:tc>
        <w:tc>
          <w:tcPr>
            <w:tcW w:w="710" w:type="pct"/>
            <w:tcBorders>
              <w:tl2br w:val="nil"/>
              <w:tr2bl w:val="nil"/>
            </w:tcBorders>
            <w:vAlign w:val="center"/>
          </w:tcPr>
          <w:p w14:paraId="6312D17C">
            <w:pPr>
              <w:pStyle w:val="7"/>
              <w:bidi w:val="0"/>
              <w:ind w:firstLine="0" w:firstLineChars="0"/>
              <w:rPr>
                <w:rFonts w:hint="default"/>
                <w:color w:val="auto"/>
                <w:u w:val="single"/>
                <w:lang w:val="en-US" w:eastAsia="zh-CN"/>
              </w:rPr>
            </w:pPr>
            <w:r>
              <w:rPr>
                <w:rFonts w:hint="eastAsia"/>
                <w:color w:val="auto"/>
                <w:u w:val="single"/>
                <w:lang w:val="en-US" w:eastAsia="zh-CN"/>
              </w:rPr>
              <w:t>6.4</w:t>
            </w:r>
          </w:p>
        </w:tc>
        <w:tc>
          <w:tcPr>
            <w:tcW w:w="299" w:type="pct"/>
            <w:tcBorders>
              <w:tl2br w:val="nil"/>
              <w:tr2bl w:val="nil"/>
            </w:tcBorders>
            <w:vAlign w:val="center"/>
          </w:tcPr>
          <w:p w14:paraId="3B8C5098">
            <w:pPr>
              <w:pStyle w:val="7"/>
              <w:bidi w:val="0"/>
              <w:rPr>
                <w:rFonts w:hint="eastAsia" w:eastAsia="宋体"/>
                <w:color w:val="auto"/>
                <w:u w:val="single"/>
                <w:lang w:val="en-US" w:eastAsia="zh-CN"/>
              </w:rPr>
            </w:pPr>
            <w:r>
              <w:rPr>
                <w:rFonts w:hint="eastAsia"/>
                <w:color w:val="auto"/>
                <w:u w:val="single"/>
                <w:lang w:val="en-US" w:eastAsia="zh-CN"/>
              </w:rPr>
              <w:t>/</w:t>
            </w:r>
          </w:p>
        </w:tc>
      </w:tr>
    </w:tbl>
    <w:p w14:paraId="4DCDD5E9">
      <w:pPr>
        <w:rPr>
          <w:rFonts w:hint="default"/>
          <w:color w:val="4874CB" w:themeColor="accent1"/>
          <w:lang w:val="en-US" w:eastAsia="zh-CN"/>
          <w14:textFill>
            <w14:solidFill>
              <w14:schemeClr w14:val="accent1"/>
            </w14:solidFill>
          </w14:textFill>
        </w:rPr>
      </w:pPr>
      <w:r>
        <w:rPr>
          <w:rFonts w:hint="eastAsia"/>
          <w:color w:val="auto"/>
          <w:lang w:val="en-US" w:eastAsia="zh-CN"/>
        </w:rPr>
        <w:t>注：⑥=①+③+④-⑤；⑦=⑥-①</w:t>
      </w:r>
      <w:bookmarkStart w:id="17" w:name="_GoBack"/>
      <w:bookmarkEnd w:id="17"/>
    </w:p>
    <w:sectPr>
      <w:footerReference r:id="rId6" w:type="default"/>
      <w:pgSz w:w="16838" w:h="11906" w:orient="landscape"/>
      <w:pgMar w:top="1440" w:right="1803" w:bottom="1440" w:left="1803" w:header="851" w:footer="992" w:gutter="0"/>
      <w:pgNumType w:fmt="decimal"/>
      <w:cols w:space="0" w:num="1"/>
      <w:rtlGutter w:val="0"/>
      <w:docGrid w:type="lines" w:linePitch="33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18030">
    <w:altName w:val="宋体"/>
    <w:panose1 w:val="00000000000000000000"/>
    <w:charset w:val="00"/>
    <w:family w:val="auto"/>
    <w:pitch w:val="default"/>
    <w:sig w:usb0="00000000" w:usb1="00000000" w:usb2="00000000"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Cambria Math">
    <w:panose1 w:val="02040503050406030204"/>
    <w:charset w:val="00"/>
    <w:family w:val="roman"/>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F2D220">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AB1579">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12AB1579">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0F2B4">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C1E968">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EC1E968">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6E01A3"/>
    <w:multiLevelType w:val="singleLevel"/>
    <w:tmpl w:val="F46E01A3"/>
    <w:lvl w:ilvl="0" w:tentative="0">
      <w:start w:val="2"/>
      <w:numFmt w:val="decimal"/>
      <w:suff w:val="nothing"/>
      <w:lvlText w:val="%1）"/>
      <w:lvlJc w:val="left"/>
      <w:rPr>
        <w:rFonts w:hint="default"/>
        <w:color w:val="auto"/>
      </w:rPr>
    </w:lvl>
  </w:abstractNum>
  <w:abstractNum w:abstractNumId="1">
    <w:nsid w:val="F822CF06"/>
    <w:multiLevelType w:val="singleLevel"/>
    <w:tmpl w:val="F822CF06"/>
    <w:lvl w:ilvl="0" w:tentative="0">
      <w:start w:val="1"/>
      <w:numFmt w:val="decimal"/>
      <w:suff w:val="nothing"/>
      <w:lvlText w:val="%1、"/>
      <w:lvlJc w:val="left"/>
    </w:lvl>
  </w:abstractNum>
  <w:abstractNum w:abstractNumId="2">
    <w:nsid w:val="FBBCF7C6"/>
    <w:multiLevelType w:val="singleLevel"/>
    <w:tmpl w:val="FBBCF7C6"/>
    <w:lvl w:ilvl="0" w:tentative="0">
      <w:start w:val="1"/>
      <w:numFmt w:val="decimal"/>
      <w:suff w:val="nothing"/>
      <w:lvlText w:val="%1、"/>
      <w:lvlJc w:val="left"/>
    </w:lvl>
  </w:abstractNum>
  <w:abstractNum w:abstractNumId="3">
    <w:nsid w:val="22CDBB2A"/>
    <w:multiLevelType w:val="singleLevel"/>
    <w:tmpl w:val="22CDBB2A"/>
    <w:lvl w:ilvl="0" w:tentative="0">
      <w:start w:val="1"/>
      <w:numFmt w:val="decimal"/>
      <w:pStyle w:val="4"/>
      <w:lvlText w:val="%1."/>
      <w:lvlJc w:val="left"/>
      <w:pPr>
        <w:tabs>
          <w:tab w:val="left" w:pos="360"/>
        </w:tabs>
        <w:ind w:left="360" w:hanging="360"/>
      </w:pPr>
    </w:lvl>
  </w:abstractNum>
  <w:abstractNum w:abstractNumId="4">
    <w:nsid w:val="71001F7E"/>
    <w:multiLevelType w:val="singleLevel"/>
    <w:tmpl w:val="71001F7E"/>
    <w:lvl w:ilvl="0" w:tentative="0">
      <w:start w:val="3"/>
      <w:numFmt w:val="chineseCounting"/>
      <w:suff w:val="nothing"/>
      <w:lvlText w:val="%1、"/>
      <w:lvlJc w:val="left"/>
      <w:rPr>
        <w:rFonts w:hint="eastAsia"/>
      </w:rPr>
    </w:lvl>
  </w:abstractNum>
  <w:abstractNum w:abstractNumId="5">
    <w:nsid w:val="7AD94DBD"/>
    <w:multiLevelType w:val="singleLevel"/>
    <w:tmpl w:val="7AD94DBD"/>
    <w:lvl w:ilvl="0" w:tentative="0">
      <w:start w:val="1"/>
      <w:numFmt w:val="decimal"/>
      <w:suff w:val="nothing"/>
      <w:lvlText w:val="%1、"/>
      <w:lvlJc w:val="left"/>
    </w:lvl>
  </w:abstractNum>
  <w:num w:numId="1">
    <w:abstractNumId w:val="3"/>
  </w:num>
  <w:num w:numId="2">
    <w:abstractNumId w:val="2"/>
  </w:num>
  <w:num w:numId="3">
    <w:abstractNumId w:val="5"/>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dit="readOnly" w:enforcement="0"/>
  <w:defaultTabStop w:val="420"/>
  <w:drawingGridVerticalSpacing w:val="16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yNWNjYmVlNzVhYzJmMDhkYTM3MjVlMzA5M2UwOWIifQ=="/>
  </w:docVars>
  <w:rsids>
    <w:rsidRoot w:val="5F7E1332"/>
    <w:rsid w:val="000E0F23"/>
    <w:rsid w:val="00227663"/>
    <w:rsid w:val="0029111F"/>
    <w:rsid w:val="003F4382"/>
    <w:rsid w:val="0040225B"/>
    <w:rsid w:val="004F4C42"/>
    <w:rsid w:val="00656D80"/>
    <w:rsid w:val="00684928"/>
    <w:rsid w:val="006911F9"/>
    <w:rsid w:val="006A0052"/>
    <w:rsid w:val="006D2A98"/>
    <w:rsid w:val="00832BF2"/>
    <w:rsid w:val="00AD77D4"/>
    <w:rsid w:val="00D25665"/>
    <w:rsid w:val="00E00F73"/>
    <w:rsid w:val="0105508B"/>
    <w:rsid w:val="010E4184"/>
    <w:rsid w:val="011967E8"/>
    <w:rsid w:val="011C506D"/>
    <w:rsid w:val="01266F8B"/>
    <w:rsid w:val="01434AAE"/>
    <w:rsid w:val="0146510A"/>
    <w:rsid w:val="015B6D94"/>
    <w:rsid w:val="017641DF"/>
    <w:rsid w:val="0184241E"/>
    <w:rsid w:val="019A5146"/>
    <w:rsid w:val="019B0C24"/>
    <w:rsid w:val="01AB7876"/>
    <w:rsid w:val="01D4575B"/>
    <w:rsid w:val="01EA03A9"/>
    <w:rsid w:val="01EE370C"/>
    <w:rsid w:val="020C179E"/>
    <w:rsid w:val="02133E97"/>
    <w:rsid w:val="02240524"/>
    <w:rsid w:val="022D78BB"/>
    <w:rsid w:val="023F76CE"/>
    <w:rsid w:val="02520442"/>
    <w:rsid w:val="025616DF"/>
    <w:rsid w:val="025E052D"/>
    <w:rsid w:val="027017B7"/>
    <w:rsid w:val="02764B21"/>
    <w:rsid w:val="02AF2F00"/>
    <w:rsid w:val="02D303AF"/>
    <w:rsid w:val="02D50705"/>
    <w:rsid w:val="02E81E9C"/>
    <w:rsid w:val="02F73717"/>
    <w:rsid w:val="02F8758C"/>
    <w:rsid w:val="030F6088"/>
    <w:rsid w:val="03101E00"/>
    <w:rsid w:val="03104CE8"/>
    <w:rsid w:val="03346CCF"/>
    <w:rsid w:val="0337738D"/>
    <w:rsid w:val="03391357"/>
    <w:rsid w:val="033B50CF"/>
    <w:rsid w:val="034872E6"/>
    <w:rsid w:val="035A4CAD"/>
    <w:rsid w:val="035D32DE"/>
    <w:rsid w:val="03647119"/>
    <w:rsid w:val="0367698D"/>
    <w:rsid w:val="036A00E5"/>
    <w:rsid w:val="03AA0E0C"/>
    <w:rsid w:val="03AB2DB4"/>
    <w:rsid w:val="03BD4AF9"/>
    <w:rsid w:val="03D2472D"/>
    <w:rsid w:val="03FA3578"/>
    <w:rsid w:val="04002526"/>
    <w:rsid w:val="040668D4"/>
    <w:rsid w:val="04114082"/>
    <w:rsid w:val="0414147C"/>
    <w:rsid w:val="04185D02"/>
    <w:rsid w:val="041D6583"/>
    <w:rsid w:val="042256DE"/>
    <w:rsid w:val="04291DC6"/>
    <w:rsid w:val="043D6D35"/>
    <w:rsid w:val="044A4D98"/>
    <w:rsid w:val="045152E7"/>
    <w:rsid w:val="04842AA6"/>
    <w:rsid w:val="048B7990"/>
    <w:rsid w:val="048E5EE4"/>
    <w:rsid w:val="04B20AE3"/>
    <w:rsid w:val="04C06A60"/>
    <w:rsid w:val="04EB6322"/>
    <w:rsid w:val="050C2932"/>
    <w:rsid w:val="050D36BF"/>
    <w:rsid w:val="050E2B4E"/>
    <w:rsid w:val="05184587"/>
    <w:rsid w:val="052B16AF"/>
    <w:rsid w:val="05323B46"/>
    <w:rsid w:val="054115C5"/>
    <w:rsid w:val="056445DF"/>
    <w:rsid w:val="05652975"/>
    <w:rsid w:val="056735C4"/>
    <w:rsid w:val="056761C0"/>
    <w:rsid w:val="058A40EC"/>
    <w:rsid w:val="05922FA0"/>
    <w:rsid w:val="05CD77F3"/>
    <w:rsid w:val="05DA2277"/>
    <w:rsid w:val="05E653C4"/>
    <w:rsid w:val="05E91F4B"/>
    <w:rsid w:val="05F20305"/>
    <w:rsid w:val="05F53E79"/>
    <w:rsid w:val="05F66FD8"/>
    <w:rsid w:val="05F70902"/>
    <w:rsid w:val="06151614"/>
    <w:rsid w:val="061C5400"/>
    <w:rsid w:val="06215706"/>
    <w:rsid w:val="06252E2F"/>
    <w:rsid w:val="06340970"/>
    <w:rsid w:val="06534769"/>
    <w:rsid w:val="066874F5"/>
    <w:rsid w:val="06942888"/>
    <w:rsid w:val="06994288"/>
    <w:rsid w:val="06A109A1"/>
    <w:rsid w:val="06A27213"/>
    <w:rsid w:val="06BD3015"/>
    <w:rsid w:val="06C228AB"/>
    <w:rsid w:val="06CC42EB"/>
    <w:rsid w:val="06EA6920"/>
    <w:rsid w:val="07027EBF"/>
    <w:rsid w:val="073E0800"/>
    <w:rsid w:val="076170CE"/>
    <w:rsid w:val="07686B6F"/>
    <w:rsid w:val="07950B26"/>
    <w:rsid w:val="07961C33"/>
    <w:rsid w:val="07AB366E"/>
    <w:rsid w:val="07AD5E6F"/>
    <w:rsid w:val="07B47158"/>
    <w:rsid w:val="07BA7F4B"/>
    <w:rsid w:val="07CB2254"/>
    <w:rsid w:val="081B4976"/>
    <w:rsid w:val="082F449C"/>
    <w:rsid w:val="084C4F98"/>
    <w:rsid w:val="084E482A"/>
    <w:rsid w:val="086527A2"/>
    <w:rsid w:val="088E3EF3"/>
    <w:rsid w:val="089239A0"/>
    <w:rsid w:val="08C00524"/>
    <w:rsid w:val="08DF426D"/>
    <w:rsid w:val="08DF7E74"/>
    <w:rsid w:val="08E34C4A"/>
    <w:rsid w:val="08FA3336"/>
    <w:rsid w:val="08FE70D5"/>
    <w:rsid w:val="0905407E"/>
    <w:rsid w:val="09114527"/>
    <w:rsid w:val="092621BD"/>
    <w:rsid w:val="094121B0"/>
    <w:rsid w:val="097D7EA9"/>
    <w:rsid w:val="09880946"/>
    <w:rsid w:val="099A3E69"/>
    <w:rsid w:val="09A11B1C"/>
    <w:rsid w:val="09AF09E3"/>
    <w:rsid w:val="09BA7CC1"/>
    <w:rsid w:val="09CE115A"/>
    <w:rsid w:val="09D84692"/>
    <w:rsid w:val="09DA4F37"/>
    <w:rsid w:val="09E0252C"/>
    <w:rsid w:val="09F2225F"/>
    <w:rsid w:val="0A0107ED"/>
    <w:rsid w:val="0A116BA1"/>
    <w:rsid w:val="0A225CB5"/>
    <w:rsid w:val="0A2B4726"/>
    <w:rsid w:val="0A312D88"/>
    <w:rsid w:val="0A33524B"/>
    <w:rsid w:val="0A5B7DD0"/>
    <w:rsid w:val="0A5D22F3"/>
    <w:rsid w:val="0A5F7D48"/>
    <w:rsid w:val="0A6041E1"/>
    <w:rsid w:val="0A6052B5"/>
    <w:rsid w:val="0A732B5C"/>
    <w:rsid w:val="0A891319"/>
    <w:rsid w:val="0A943440"/>
    <w:rsid w:val="0A981059"/>
    <w:rsid w:val="0AAF27A4"/>
    <w:rsid w:val="0AEE75C3"/>
    <w:rsid w:val="0B0540B1"/>
    <w:rsid w:val="0B1C6A58"/>
    <w:rsid w:val="0B1F09BC"/>
    <w:rsid w:val="0B4037EC"/>
    <w:rsid w:val="0B4A5BF5"/>
    <w:rsid w:val="0B516729"/>
    <w:rsid w:val="0B551A2C"/>
    <w:rsid w:val="0B640E6C"/>
    <w:rsid w:val="0B664CB3"/>
    <w:rsid w:val="0B756E97"/>
    <w:rsid w:val="0B8909A2"/>
    <w:rsid w:val="0B9263C7"/>
    <w:rsid w:val="0BB7042D"/>
    <w:rsid w:val="0BC773CD"/>
    <w:rsid w:val="0BED7D3A"/>
    <w:rsid w:val="0BF40E20"/>
    <w:rsid w:val="0C141B08"/>
    <w:rsid w:val="0C3949CC"/>
    <w:rsid w:val="0C422C47"/>
    <w:rsid w:val="0C5B0590"/>
    <w:rsid w:val="0C654F6B"/>
    <w:rsid w:val="0C681A2E"/>
    <w:rsid w:val="0C77305A"/>
    <w:rsid w:val="0C851ECC"/>
    <w:rsid w:val="0C9B2B58"/>
    <w:rsid w:val="0C9C3D53"/>
    <w:rsid w:val="0CA54E50"/>
    <w:rsid w:val="0CA74839"/>
    <w:rsid w:val="0CB42FA9"/>
    <w:rsid w:val="0CBD6EFF"/>
    <w:rsid w:val="0CF55198"/>
    <w:rsid w:val="0D0117A2"/>
    <w:rsid w:val="0D18022F"/>
    <w:rsid w:val="0D1C4C35"/>
    <w:rsid w:val="0D286526"/>
    <w:rsid w:val="0D3F3DFC"/>
    <w:rsid w:val="0D507A05"/>
    <w:rsid w:val="0D5200C9"/>
    <w:rsid w:val="0DBA6F5E"/>
    <w:rsid w:val="0DC3019B"/>
    <w:rsid w:val="0DC42165"/>
    <w:rsid w:val="0DC63ADA"/>
    <w:rsid w:val="0DD9599C"/>
    <w:rsid w:val="0E004DA8"/>
    <w:rsid w:val="0E0514B4"/>
    <w:rsid w:val="0E0D1416"/>
    <w:rsid w:val="0E120ED9"/>
    <w:rsid w:val="0E31014F"/>
    <w:rsid w:val="0E61569C"/>
    <w:rsid w:val="0E6F20D1"/>
    <w:rsid w:val="0E756113"/>
    <w:rsid w:val="0E7616B1"/>
    <w:rsid w:val="0E953034"/>
    <w:rsid w:val="0E9C279A"/>
    <w:rsid w:val="0EB508BA"/>
    <w:rsid w:val="0EBA1E4C"/>
    <w:rsid w:val="0ECA193E"/>
    <w:rsid w:val="0ECA22C7"/>
    <w:rsid w:val="0ECE2228"/>
    <w:rsid w:val="0ED5066F"/>
    <w:rsid w:val="0ED51AE1"/>
    <w:rsid w:val="0EE214EC"/>
    <w:rsid w:val="0EE40E63"/>
    <w:rsid w:val="0EE634A6"/>
    <w:rsid w:val="0EF72198"/>
    <w:rsid w:val="0F186B4C"/>
    <w:rsid w:val="0F32294D"/>
    <w:rsid w:val="0F390A43"/>
    <w:rsid w:val="0F4313D0"/>
    <w:rsid w:val="0F461FB8"/>
    <w:rsid w:val="0F482D80"/>
    <w:rsid w:val="0F4F5A5E"/>
    <w:rsid w:val="0F60286C"/>
    <w:rsid w:val="0F6E2B3D"/>
    <w:rsid w:val="0F734BE5"/>
    <w:rsid w:val="0F854CFE"/>
    <w:rsid w:val="0F865DF4"/>
    <w:rsid w:val="0F907D05"/>
    <w:rsid w:val="0F923720"/>
    <w:rsid w:val="0FA20284"/>
    <w:rsid w:val="0FAF751C"/>
    <w:rsid w:val="0FC3612F"/>
    <w:rsid w:val="0FC85454"/>
    <w:rsid w:val="0FD117A2"/>
    <w:rsid w:val="0FDB1233"/>
    <w:rsid w:val="0FEF23B5"/>
    <w:rsid w:val="0FF83FE0"/>
    <w:rsid w:val="10417A9D"/>
    <w:rsid w:val="10420916"/>
    <w:rsid w:val="105F5D92"/>
    <w:rsid w:val="106A0A5C"/>
    <w:rsid w:val="108434DD"/>
    <w:rsid w:val="10882251"/>
    <w:rsid w:val="108A0AA9"/>
    <w:rsid w:val="109F4137"/>
    <w:rsid w:val="10AB0662"/>
    <w:rsid w:val="10B93643"/>
    <w:rsid w:val="10F05263"/>
    <w:rsid w:val="10F21EAF"/>
    <w:rsid w:val="10F56637"/>
    <w:rsid w:val="10FB43DC"/>
    <w:rsid w:val="1105322F"/>
    <w:rsid w:val="11344420"/>
    <w:rsid w:val="113E251F"/>
    <w:rsid w:val="115248B5"/>
    <w:rsid w:val="116021A5"/>
    <w:rsid w:val="116847DF"/>
    <w:rsid w:val="118511BA"/>
    <w:rsid w:val="11C37738"/>
    <w:rsid w:val="11CB5495"/>
    <w:rsid w:val="11DF4918"/>
    <w:rsid w:val="11E26D8A"/>
    <w:rsid w:val="11FD5C45"/>
    <w:rsid w:val="12023B0A"/>
    <w:rsid w:val="124B69B1"/>
    <w:rsid w:val="12592F32"/>
    <w:rsid w:val="125B75FC"/>
    <w:rsid w:val="126E7DE5"/>
    <w:rsid w:val="12751C80"/>
    <w:rsid w:val="12796957"/>
    <w:rsid w:val="12BE6B73"/>
    <w:rsid w:val="12C86253"/>
    <w:rsid w:val="12DC70FB"/>
    <w:rsid w:val="13021765"/>
    <w:rsid w:val="13055FA2"/>
    <w:rsid w:val="13086650"/>
    <w:rsid w:val="13631AD8"/>
    <w:rsid w:val="13794F34"/>
    <w:rsid w:val="138D1297"/>
    <w:rsid w:val="13AA0CC5"/>
    <w:rsid w:val="13AC5D60"/>
    <w:rsid w:val="13CB0E64"/>
    <w:rsid w:val="13CB748E"/>
    <w:rsid w:val="13DA09FC"/>
    <w:rsid w:val="13ED66B2"/>
    <w:rsid w:val="13F113F3"/>
    <w:rsid w:val="14186D67"/>
    <w:rsid w:val="141C144C"/>
    <w:rsid w:val="141F18B7"/>
    <w:rsid w:val="142D4720"/>
    <w:rsid w:val="1447741D"/>
    <w:rsid w:val="14483956"/>
    <w:rsid w:val="144975C4"/>
    <w:rsid w:val="144A43FD"/>
    <w:rsid w:val="14830B50"/>
    <w:rsid w:val="148F5B6E"/>
    <w:rsid w:val="14B324E5"/>
    <w:rsid w:val="14B60460"/>
    <w:rsid w:val="14B9129C"/>
    <w:rsid w:val="14C46244"/>
    <w:rsid w:val="14D25AD4"/>
    <w:rsid w:val="14D66C67"/>
    <w:rsid w:val="14D94748"/>
    <w:rsid w:val="15171E3E"/>
    <w:rsid w:val="151751BF"/>
    <w:rsid w:val="151C3272"/>
    <w:rsid w:val="15560812"/>
    <w:rsid w:val="157A2AC8"/>
    <w:rsid w:val="15864176"/>
    <w:rsid w:val="158912B7"/>
    <w:rsid w:val="15A22623"/>
    <w:rsid w:val="15A61B3B"/>
    <w:rsid w:val="15A7741E"/>
    <w:rsid w:val="15A811A8"/>
    <w:rsid w:val="15BD1974"/>
    <w:rsid w:val="15CE294C"/>
    <w:rsid w:val="15D124C5"/>
    <w:rsid w:val="15D6535F"/>
    <w:rsid w:val="15E069D3"/>
    <w:rsid w:val="15E21563"/>
    <w:rsid w:val="1609726C"/>
    <w:rsid w:val="161A5018"/>
    <w:rsid w:val="162E2871"/>
    <w:rsid w:val="16347B72"/>
    <w:rsid w:val="1638549E"/>
    <w:rsid w:val="163A1D57"/>
    <w:rsid w:val="164E3C95"/>
    <w:rsid w:val="16596E92"/>
    <w:rsid w:val="165A5414"/>
    <w:rsid w:val="165C118C"/>
    <w:rsid w:val="165D7773"/>
    <w:rsid w:val="16660238"/>
    <w:rsid w:val="16683FBB"/>
    <w:rsid w:val="16691AFB"/>
    <w:rsid w:val="16757794"/>
    <w:rsid w:val="167900DB"/>
    <w:rsid w:val="16873D30"/>
    <w:rsid w:val="16930926"/>
    <w:rsid w:val="169A3C25"/>
    <w:rsid w:val="169F376F"/>
    <w:rsid w:val="16AB688D"/>
    <w:rsid w:val="16C535C3"/>
    <w:rsid w:val="16CB2CD0"/>
    <w:rsid w:val="16CE0847"/>
    <w:rsid w:val="16D30E06"/>
    <w:rsid w:val="16DB0C82"/>
    <w:rsid w:val="16EE5A16"/>
    <w:rsid w:val="16FA2AF2"/>
    <w:rsid w:val="16FC296F"/>
    <w:rsid w:val="16FF459B"/>
    <w:rsid w:val="170D31EA"/>
    <w:rsid w:val="17520F2D"/>
    <w:rsid w:val="17580BA4"/>
    <w:rsid w:val="17594D48"/>
    <w:rsid w:val="1763479D"/>
    <w:rsid w:val="1766520F"/>
    <w:rsid w:val="17742B91"/>
    <w:rsid w:val="177F336A"/>
    <w:rsid w:val="178321B2"/>
    <w:rsid w:val="17C1196B"/>
    <w:rsid w:val="17C214C3"/>
    <w:rsid w:val="17CB1FF6"/>
    <w:rsid w:val="17D002B7"/>
    <w:rsid w:val="17D05227"/>
    <w:rsid w:val="17D271A4"/>
    <w:rsid w:val="17D66DF1"/>
    <w:rsid w:val="17E70F2A"/>
    <w:rsid w:val="17ED44A7"/>
    <w:rsid w:val="17F665A1"/>
    <w:rsid w:val="181D6BF5"/>
    <w:rsid w:val="18362096"/>
    <w:rsid w:val="18381785"/>
    <w:rsid w:val="183957D5"/>
    <w:rsid w:val="183A6EEA"/>
    <w:rsid w:val="184C6DA2"/>
    <w:rsid w:val="184F4096"/>
    <w:rsid w:val="185C1D1C"/>
    <w:rsid w:val="187314B2"/>
    <w:rsid w:val="18773511"/>
    <w:rsid w:val="187E20E9"/>
    <w:rsid w:val="18963829"/>
    <w:rsid w:val="189D1475"/>
    <w:rsid w:val="18AA1A4E"/>
    <w:rsid w:val="18BB6C9C"/>
    <w:rsid w:val="18C364EB"/>
    <w:rsid w:val="18C43019"/>
    <w:rsid w:val="18DA1A29"/>
    <w:rsid w:val="18DD7E77"/>
    <w:rsid w:val="18E3788A"/>
    <w:rsid w:val="18F356AC"/>
    <w:rsid w:val="191E4CF6"/>
    <w:rsid w:val="192E7960"/>
    <w:rsid w:val="197113F3"/>
    <w:rsid w:val="19917896"/>
    <w:rsid w:val="199668F6"/>
    <w:rsid w:val="19987BCA"/>
    <w:rsid w:val="19A76508"/>
    <w:rsid w:val="19B3271D"/>
    <w:rsid w:val="19B47496"/>
    <w:rsid w:val="19BA2D78"/>
    <w:rsid w:val="19CD19CF"/>
    <w:rsid w:val="19DB686C"/>
    <w:rsid w:val="19F870A7"/>
    <w:rsid w:val="19FC0E84"/>
    <w:rsid w:val="1A0A309A"/>
    <w:rsid w:val="1A442663"/>
    <w:rsid w:val="1A6F1F56"/>
    <w:rsid w:val="1A7F1CED"/>
    <w:rsid w:val="1A9165C6"/>
    <w:rsid w:val="1A93076C"/>
    <w:rsid w:val="1A93534B"/>
    <w:rsid w:val="1A9D32A1"/>
    <w:rsid w:val="1AB10FBD"/>
    <w:rsid w:val="1ABC1257"/>
    <w:rsid w:val="1AC063AC"/>
    <w:rsid w:val="1AD81468"/>
    <w:rsid w:val="1ADA6BAD"/>
    <w:rsid w:val="1ADC62D8"/>
    <w:rsid w:val="1AF074BB"/>
    <w:rsid w:val="1B162B24"/>
    <w:rsid w:val="1B216501"/>
    <w:rsid w:val="1B4B4B47"/>
    <w:rsid w:val="1B4E306E"/>
    <w:rsid w:val="1B591161"/>
    <w:rsid w:val="1B642891"/>
    <w:rsid w:val="1B6F041D"/>
    <w:rsid w:val="1B760F24"/>
    <w:rsid w:val="1B7724A3"/>
    <w:rsid w:val="1B782A66"/>
    <w:rsid w:val="1B814380"/>
    <w:rsid w:val="1B9C5D53"/>
    <w:rsid w:val="1BA10406"/>
    <w:rsid w:val="1BB76AC9"/>
    <w:rsid w:val="1BCA462D"/>
    <w:rsid w:val="1BD5051A"/>
    <w:rsid w:val="1BE12CA9"/>
    <w:rsid w:val="1BE92E62"/>
    <w:rsid w:val="1BF8721B"/>
    <w:rsid w:val="1C072BC1"/>
    <w:rsid w:val="1C363265"/>
    <w:rsid w:val="1C4960E4"/>
    <w:rsid w:val="1C571F0A"/>
    <w:rsid w:val="1C5906DC"/>
    <w:rsid w:val="1C6C1121"/>
    <w:rsid w:val="1C7132AD"/>
    <w:rsid w:val="1C7A574E"/>
    <w:rsid w:val="1C811678"/>
    <w:rsid w:val="1CA653B3"/>
    <w:rsid w:val="1CA85A24"/>
    <w:rsid w:val="1CB60B00"/>
    <w:rsid w:val="1CD937B8"/>
    <w:rsid w:val="1CDA5E97"/>
    <w:rsid w:val="1CDC7FA8"/>
    <w:rsid w:val="1CE120D9"/>
    <w:rsid w:val="1CEF1B9B"/>
    <w:rsid w:val="1D02139A"/>
    <w:rsid w:val="1D081831"/>
    <w:rsid w:val="1D143D63"/>
    <w:rsid w:val="1D1F2F14"/>
    <w:rsid w:val="1D3823D4"/>
    <w:rsid w:val="1D3C4002"/>
    <w:rsid w:val="1D74462D"/>
    <w:rsid w:val="1D76400B"/>
    <w:rsid w:val="1D806305"/>
    <w:rsid w:val="1D9D71B6"/>
    <w:rsid w:val="1DB40DBB"/>
    <w:rsid w:val="1DD04531"/>
    <w:rsid w:val="1DD92B04"/>
    <w:rsid w:val="1DE657E0"/>
    <w:rsid w:val="1DE7776B"/>
    <w:rsid w:val="1DF24184"/>
    <w:rsid w:val="1DFC761D"/>
    <w:rsid w:val="1E043040"/>
    <w:rsid w:val="1E236A34"/>
    <w:rsid w:val="1E2F2C87"/>
    <w:rsid w:val="1E480BB6"/>
    <w:rsid w:val="1E54477C"/>
    <w:rsid w:val="1E5E6309"/>
    <w:rsid w:val="1E652798"/>
    <w:rsid w:val="1E6B6A94"/>
    <w:rsid w:val="1E820F20"/>
    <w:rsid w:val="1EB41214"/>
    <w:rsid w:val="1EDA5344"/>
    <w:rsid w:val="1EE51625"/>
    <w:rsid w:val="1F1D05D1"/>
    <w:rsid w:val="1F26459E"/>
    <w:rsid w:val="1F5A6C90"/>
    <w:rsid w:val="1F675F90"/>
    <w:rsid w:val="1F6F13CF"/>
    <w:rsid w:val="1F8B1D63"/>
    <w:rsid w:val="1FA3607E"/>
    <w:rsid w:val="1FB636AF"/>
    <w:rsid w:val="1FDE6476"/>
    <w:rsid w:val="1FE03E2B"/>
    <w:rsid w:val="1FEC4E88"/>
    <w:rsid w:val="1FF14949"/>
    <w:rsid w:val="1FFA20C8"/>
    <w:rsid w:val="1FFE1506"/>
    <w:rsid w:val="20042B04"/>
    <w:rsid w:val="201D23A3"/>
    <w:rsid w:val="203A4B4D"/>
    <w:rsid w:val="203D18F5"/>
    <w:rsid w:val="20693422"/>
    <w:rsid w:val="207B4905"/>
    <w:rsid w:val="2083210F"/>
    <w:rsid w:val="208E4EE5"/>
    <w:rsid w:val="209E17D0"/>
    <w:rsid w:val="20AC37BC"/>
    <w:rsid w:val="20D67D8D"/>
    <w:rsid w:val="20DE7DDC"/>
    <w:rsid w:val="20E701EC"/>
    <w:rsid w:val="20F626D9"/>
    <w:rsid w:val="21113C39"/>
    <w:rsid w:val="212A4048"/>
    <w:rsid w:val="2148100C"/>
    <w:rsid w:val="21484179"/>
    <w:rsid w:val="21551A36"/>
    <w:rsid w:val="216C1AA9"/>
    <w:rsid w:val="21761019"/>
    <w:rsid w:val="21787F68"/>
    <w:rsid w:val="217F6677"/>
    <w:rsid w:val="218E3BEC"/>
    <w:rsid w:val="21923D0C"/>
    <w:rsid w:val="21AD0AEE"/>
    <w:rsid w:val="21CD68B0"/>
    <w:rsid w:val="21F10302"/>
    <w:rsid w:val="21F726B1"/>
    <w:rsid w:val="22110035"/>
    <w:rsid w:val="221D4F67"/>
    <w:rsid w:val="22252D7A"/>
    <w:rsid w:val="222B4CF7"/>
    <w:rsid w:val="223F20D3"/>
    <w:rsid w:val="224174B9"/>
    <w:rsid w:val="2247182A"/>
    <w:rsid w:val="22492333"/>
    <w:rsid w:val="225720A3"/>
    <w:rsid w:val="226D325F"/>
    <w:rsid w:val="227B3331"/>
    <w:rsid w:val="2284238D"/>
    <w:rsid w:val="228A17B0"/>
    <w:rsid w:val="22A54A9C"/>
    <w:rsid w:val="22D26714"/>
    <w:rsid w:val="22DB2627"/>
    <w:rsid w:val="23012244"/>
    <w:rsid w:val="230B610D"/>
    <w:rsid w:val="23250AF9"/>
    <w:rsid w:val="232D3C5F"/>
    <w:rsid w:val="233C7EDA"/>
    <w:rsid w:val="23506C8E"/>
    <w:rsid w:val="2351194D"/>
    <w:rsid w:val="236B43DE"/>
    <w:rsid w:val="23737B15"/>
    <w:rsid w:val="237F470C"/>
    <w:rsid w:val="23835FEB"/>
    <w:rsid w:val="2388467E"/>
    <w:rsid w:val="23A62540"/>
    <w:rsid w:val="23BE21BE"/>
    <w:rsid w:val="23DC390D"/>
    <w:rsid w:val="23EA3342"/>
    <w:rsid w:val="23F45FFF"/>
    <w:rsid w:val="24042E63"/>
    <w:rsid w:val="240F3180"/>
    <w:rsid w:val="24124B1A"/>
    <w:rsid w:val="24125106"/>
    <w:rsid w:val="241A1E83"/>
    <w:rsid w:val="241C5450"/>
    <w:rsid w:val="24313629"/>
    <w:rsid w:val="24544E0C"/>
    <w:rsid w:val="2466767A"/>
    <w:rsid w:val="246D0CD8"/>
    <w:rsid w:val="248F6BD1"/>
    <w:rsid w:val="24937B02"/>
    <w:rsid w:val="249441E7"/>
    <w:rsid w:val="24AD7C9E"/>
    <w:rsid w:val="24AF7273"/>
    <w:rsid w:val="24B208DF"/>
    <w:rsid w:val="24DE5462"/>
    <w:rsid w:val="24E36B48"/>
    <w:rsid w:val="24E46A77"/>
    <w:rsid w:val="25006DE3"/>
    <w:rsid w:val="25010A26"/>
    <w:rsid w:val="252D48BD"/>
    <w:rsid w:val="25361F1A"/>
    <w:rsid w:val="25502B31"/>
    <w:rsid w:val="255F7774"/>
    <w:rsid w:val="256F3C14"/>
    <w:rsid w:val="257608E2"/>
    <w:rsid w:val="258212E1"/>
    <w:rsid w:val="258C4C32"/>
    <w:rsid w:val="258F27CB"/>
    <w:rsid w:val="25983863"/>
    <w:rsid w:val="25A50377"/>
    <w:rsid w:val="25B44393"/>
    <w:rsid w:val="25EE610A"/>
    <w:rsid w:val="25F61BA0"/>
    <w:rsid w:val="26064C51"/>
    <w:rsid w:val="26240585"/>
    <w:rsid w:val="265861F5"/>
    <w:rsid w:val="265B34B9"/>
    <w:rsid w:val="26773DC1"/>
    <w:rsid w:val="267F67D1"/>
    <w:rsid w:val="268A7650"/>
    <w:rsid w:val="26A763A4"/>
    <w:rsid w:val="26C577AD"/>
    <w:rsid w:val="26C97A99"/>
    <w:rsid w:val="26D17390"/>
    <w:rsid w:val="26E92467"/>
    <w:rsid w:val="27003DB6"/>
    <w:rsid w:val="271B2D57"/>
    <w:rsid w:val="2734593E"/>
    <w:rsid w:val="274E10B4"/>
    <w:rsid w:val="275A1EEC"/>
    <w:rsid w:val="27624129"/>
    <w:rsid w:val="27722C33"/>
    <w:rsid w:val="278E13C2"/>
    <w:rsid w:val="27A218C1"/>
    <w:rsid w:val="27AC44DA"/>
    <w:rsid w:val="27B106F9"/>
    <w:rsid w:val="27BC4905"/>
    <w:rsid w:val="27CF692B"/>
    <w:rsid w:val="27E46DFA"/>
    <w:rsid w:val="28034FD9"/>
    <w:rsid w:val="280C52CA"/>
    <w:rsid w:val="2818512F"/>
    <w:rsid w:val="282472DA"/>
    <w:rsid w:val="28523AFF"/>
    <w:rsid w:val="285B184B"/>
    <w:rsid w:val="28736DBF"/>
    <w:rsid w:val="2888032F"/>
    <w:rsid w:val="2889243A"/>
    <w:rsid w:val="2896248B"/>
    <w:rsid w:val="289C1AC0"/>
    <w:rsid w:val="28E21F0E"/>
    <w:rsid w:val="28EB12EF"/>
    <w:rsid w:val="28EC5BE2"/>
    <w:rsid w:val="28F1003E"/>
    <w:rsid w:val="28FC078A"/>
    <w:rsid w:val="291A3A54"/>
    <w:rsid w:val="2927387C"/>
    <w:rsid w:val="292913D1"/>
    <w:rsid w:val="292A336C"/>
    <w:rsid w:val="29307C15"/>
    <w:rsid w:val="29321C8C"/>
    <w:rsid w:val="29365779"/>
    <w:rsid w:val="2938674A"/>
    <w:rsid w:val="294436C0"/>
    <w:rsid w:val="29555448"/>
    <w:rsid w:val="295B068E"/>
    <w:rsid w:val="295E6B72"/>
    <w:rsid w:val="296E3B23"/>
    <w:rsid w:val="29753E5B"/>
    <w:rsid w:val="29830A23"/>
    <w:rsid w:val="299719DF"/>
    <w:rsid w:val="29A66FC2"/>
    <w:rsid w:val="29AD1B69"/>
    <w:rsid w:val="29C454C5"/>
    <w:rsid w:val="29F764AA"/>
    <w:rsid w:val="29FD45DD"/>
    <w:rsid w:val="2A187F5E"/>
    <w:rsid w:val="2A2D69AF"/>
    <w:rsid w:val="2A354919"/>
    <w:rsid w:val="2A5C36FA"/>
    <w:rsid w:val="2A763ACC"/>
    <w:rsid w:val="2A90718F"/>
    <w:rsid w:val="2AA131BA"/>
    <w:rsid w:val="2AAA703B"/>
    <w:rsid w:val="2ABB69E6"/>
    <w:rsid w:val="2AC902C8"/>
    <w:rsid w:val="2ADD08E9"/>
    <w:rsid w:val="2ADE6FBF"/>
    <w:rsid w:val="2AE33D87"/>
    <w:rsid w:val="2AEA0C1E"/>
    <w:rsid w:val="2AF862F6"/>
    <w:rsid w:val="2B4C0C79"/>
    <w:rsid w:val="2B793E3B"/>
    <w:rsid w:val="2B9335CA"/>
    <w:rsid w:val="2B99545C"/>
    <w:rsid w:val="2BBF5C96"/>
    <w:rsid w:val="2BC172BB"/>
    <w:rsid w:val="2BCE6063"/>
    <w:rsid w:val="2BD0630B"/>
    <w:rsid w:val="2BDA1BE3"/>
    <w:rsid w:val="2BE45A54"/>
    <w:rsid w:val="2BE84159"/>
    <w:rsid w:val="2BF2140D"/>
    <w:rsid w:val="2C103AD8"/>
    <w:rsid w:val="2C143C59"/>
    <w:rsid w:val="2C361D24"/>
    <w:rsid w:val="2C384359"/>
    <w:rsid w:val="2C4B6F74"/>
    <w:rsid w:val="2C5A1872"/>
    <w:rsid w:val="2C6D3C9C"/>
    <w:rsid w:val="2C736DD8"/>
    <w:rsid w:val="2C7D4FE4"/>
    <w:rsid w:val="2C864E97"/>
    <w:rsid w:val="2C9662CD"/>
    <w:rsid w:val="2CA0253A"/>
    <w:rsid w:val="2CA95714"/>
    <w:rsid w:val="2CAB35CB"/>
    <w:rsid w:val="2CAD4841"/>
    <w:rsid w:val="2CC1728C"/>
    <w:rsid w:val="2CC413E2"/>
    <w:rsid w:val="2CD97D51"/>
    <w:rsid w:val="2CE55400"/>
    <w:rsid w:val="2CEE4A0A"/>
    <w:rsid w:val="2D044FFF"/>
    <w:rsid w:val="2D225600"/>
    <w:rsid w:val="2D24494D"/>
    <w:rsid w:val="2D297D97"/>
    <w:rsid w:val="2D4B71F5"/>
    <w:rsid w:val="2D4D30D8"/>
    <w:rsid w:val="2D5B7F98"/>
    <w:rsid w:val="2D731B04"/>
    <w:rsid w:val="2D834B46"/>
    <w:rsid w:val="2D874EDD"/>
    <w:rsid w:val="2D8A4045"/>
    <w:rsid w:val="2D8C42FF"/>
    <w:rsid w:val="2DA32202"/>
    <w:rsid w:val="2DBA2380"/>
    <w:rsid w:val="2DD02CED"/>
    <w:rsid w:val="2DE80B0C"/>
    <w:rsid w:val="2DF67CC1"/>
    <w:rsid w:val="2E1D3A69"/>
    <w:rsid w:val="2E451FD1"/>
    <w:rsid w:val="2E4C2240"/>
    <w:rsid w:val="2E5637C5"/>
    <w:rsid w:val="2E5A7854"/>
    <w:rsid w:val="2E716ADD"/>
    <w:rsid w:val="2E8157DC"/>
    <w:rsid w:val="2E9B6172"/>
    <w:rsid w:val="2EA059B6"/>
    <w:rsid w:val="2EBC1762"/>
    <w:rsid w:val="2EEE2746"/>
    <w:rsid w:val="2F113949"/>
    <w:rsid w:val="2F151425"/>
    <w:rsid w:val="2F1F6DA3"/>
    <w:rsid w:val="2F475735"/>
    <w:rsid w:val="2F612793"/>
    <w:rsid w:val="2F620BD7"/>
    <w:rsid w:val="2F650C5A"/>
    <w:rsid w:val="2F6A3A41"/>
    <w:rsid w:val="2F6D6ED3"/>
    <w:rsid w:val="2F745AFB"/>
    <w:rsid w:val="2F8D6403"/>
    <w:rsid w:val="2F912348"/>
    <w:rsid w:val="2F984DE7"/>
    <w:rsid w:val="2FDE27BA"/>
    <w:rsid w:val="2FF34336"/>
    <w:rsid w:val="2FFC1E51"/>
    <w:rsid w:val="3000392C"/>
    <w:rsid w:val="300B0AA2"/>
    <w:rsid w:val="300E30A0"/>
    <w:rsid w:val="303F3203"/>
    <w:rsid w:val="30406FD1"/>
    <w:rsid w:val="304C3BC8"/>
    <w:rsid w:val="30537C8D"/>
    <w:rsid w:val="305D6B4A"/>
    <w:rsid w:val="30692FA9"/>
    <w:rsid w:val="30700CE9"/>
    <w:rsid w:val="309A756F"/>
    <w:rsid w:val="30A74C5B"/>
    <w:rsid w:val="30BC6E49"/>
    <w:rsid w:val="30BF628B"/>
    <w:rsid w:val="30CC62CE"/>
    <w:rsid w:val="30CD29DF"/>
    <w:rsid w:val="30D64593"/>
    <w:rsid w:val="30E07AE2"/>
    <w:rsid w:val="30EC1347"/>
    <w:rsid w:val="3126530C"/>
    <w:rsid w:val="313C491C"/>
    <w:rsid w:val="31424913"/>
    <w:rsid w:val="315E7CFC"/>
    <w:rsid w:val="31842A3C"/>
    <w:rsid w:val="31994BDC"/>
    <w:rsid w:val="31BA3FEF"/>
    <w:rsid w:val="31F52043"/>
    <w:rsid w:val="32280BB6"/>
    <w:rsid w:val="32427C36"/>
    <w:rsid w:val="32502792"/>
    <w:rsid w:val="325F4087"/>
    <w:rsid w:val="326E775F"/>
    <w:rsid w:val="3270424C"/>
    <w:rsid w:val="32726D33"/>
    <w:rsid w:val="327C1633"/>
    <w:rsid w:val="32A0583E"/>
    <w:rsid w:val="32B27B9B"/>
    <w:rsid w:val="32B605BF"/>
    <w:rsid w:val="32BB5035"/>
    <w:rsid w:val="32D86607"/>
    <w:rsid w:val="32F32A21"/>
    <w:rsid w:val="32F81DE5"/>
    <w:rsid w:val="33026AB6"/>
    <w:rsid w:val="3313201A"/>
    <w:rsid w:val="333B3F80"/>
    <w:rsid w:val="335125E3"/>
    <w:rsid w:val="3381451A"/>
    <w:rsid w:val="339715FE"/>
    <w:rsid w:val="33AD1850"/>
    <w:rsid w:val="33BD5082"/>
    <w:rsid w:val="33E83C08"/>
    <w:rsid w:val="33F754AE"/>
    <w:rsid w:val="341C26FE"/>
    <w:rsid w:val="342D3D10"/>
    <w:rsid w:val="34370350"/>
    <w:rsid w:val="3470743E"/>
    <w:rsid w:val="347528E2"/>
    <w:rsid w:val="34880C74"/>
    <w:rsid w:val="348A6712"/>
    <w:rsid w:val="349647EC"/>
    <w:rsid w:val="34F23549"/>
    <w:rsid w:val="34F36D08"/>
    <w:rsid w:val="35075F08"/>
    <w:rsid w:val="351156C1"/>
    <w:rsid w:val="35400B5E"/>
    <w:rsid w:val="35410E83"/>
    <w:rsid w:val="356E3BA6"/>
    <w:rsid w:val="357A4AB5"/>
    <w:rsid w:val="3588210E"/>
    <w:rsid w:val="35A66D8A"/>
    <w:rsid w:val="35AE42D8"/>
    <w:rsid w:val="35B50E59"/>
    <w:rsid w:val="35DA14FD"/>
    <w:rsid w:val="35DB7C86"/>
    <w:rsid w:val="35DE6465"/>
    <w:rsid w:val="35E30B2B"/>
    <w:rsid w:val="35EA079B"/>
    <w:rsid w:val="35EC5065"/>
    <w:rsid w:val="3607142D"/>
    <w:rsid w:val="36141D8A"/>
    <w:rsid w:val="36147020"/>
    <w:rsid w:val="361552D5"/>
    <w:rsid w:val="361F6A2E"/>
    <w:rsid w:val="361F7B5A"/>
    <w:rsid w:val="36222256"/>
    <w:rsid w:val="363045D4"/>
    <w:rsid w:val="36415304"/>
    <w:rsid w:val="369E4A52"/>
    <w:rsid w:val="36B7054B"/>
    <w:rsid w:val="36B94773"/>
    <w:rsid w:val="36D16B1C"/>
    <w:rsid w:val="36EA5A89"/>
    <w:rsid w:val="3710594F"/>
    <w:rsid w:val="3741340D"/>
    <w:rsid w:val="374600D7"/>
    <w:rsid w:val="376814EA"/>
    <w:rsid w:val="376B202F"/>
    <w:rsid w:val="37766485"/>
    <w:rsid w:val="37823006"/>
    <w:rsid w:val="37C21110"/>
    <w:rsid w:val="37C343AE"/>
    <w:rsid w:val="37D32568"/>
    <w:rsid w:val="37F25055"/>
    <w:rsid w:val="37F331C2"/>
    <w:rsid w:val="38190EC1"/>
    <w:rsid w:val="381C7FCC"/>
    <w:rsid w:val="382F0F1A"/>
    <w:rsid w:val="382F44FB"/>
    <w:rsid w:val="38312021"/>
    <w:rsid w:val="38325514"/>
    <w:rsid w:val="383876C8"/>
    <w:rsid w:val="385D0EF3"/>
    <w:rsid w:val="38793836"/>
    <w:rsid w:val="387F1E86"/>
    <w:rsid w:val="38C0632A"/>
    <w:rsid w:val="38C302A7"/>
    <w:rsid w:val="38F5178A"/>
    <w:rsid w:val="38FB618B"/>
    <w:rsid w:val="3911389D"/>
    <w:rsid w:val="391942BB"/>
    <w:rsid w:val="392A081F"/>
    <w:rsid w:val="39316AFC"/>
    <w:rsid w:val="39377035"/>
    <w:rsid w:val="39396CB4"/>
    <w:rsid w:val="395D29A2"/>
    <w:rsid w:val="39722A70"/>
    <w:rsid w:val="397A79F8"/>
    <w:rsid w:val="3981080C"/>
    <w:rsid w:val="3984680E"/>
    <w:rsid w:val="399B06EB"/>
    <w:rsid w:val="39B028C0"/>
    <w:rsid w:val="39D42649"/>
    <w:rsid w:val="39E11A28"/>
    <w:rsid w:val="39E3734B"/>
    <w:rsid w:val="3A131E5A"/>
    <w:rsid w:val="3A2F2590"/>
    <w:rsid w:val="3A3000B7"/>
    <w:rsid w:val="3A3375A8"/>
    <w:rsid w:val="3A346BAD"/>
    <w:rsid w:val="3A347BA7"/>
    <w:rsid w:val="3A3B7187"/>
    <w:rsid w:val="3A4A3786"/>
    <w:rsid w:val="3A4E61B0"/>
    <w:rsid w:val="3A5405D4"/>
    <w:rsid w:val="3A680212"/>
    <w:rsid w:val="3A6B06C8"/>
    <w:rsid w:val="3A6C08F4"/>
    <w:rsid w:val="3A872C19"/>
    <w:rsid w:val="3A907460"/>
    <w:rsid w:val="3A944AE9"/>
    <w:rsid w:val="3AA0523C"/>
    <w:rsid w:val="3AC311A4"/>
    <w:rsid w:val="3ADC10B6"/>
    <w:rsid w:val="3AE27D26"/>
    <w:rsid w:val="3AE342BF"/>
    <w:rsid w:val="3AEC4883"/>
    <w:rsid w:val="3AF767C6"/>
    <w:rsid w:val="3AF96710"/>
    <w:rsid w:val="3AFC4698"/>
    <w:rsid w:val="3AFF1468"/>
    <w:rsid w:val="3B0C0187"/>
    <w:rsid w:val="3B1039F4"/>
    <w:rsid w:val="3B133C60"/>
    <w:rsid w:val="3B1F2605"/>
    <w:rsid w:val="3B2E0C01"/>
    <w:rsid w:val="3B337E9D"/>
    <w:rsid w:val="3B631976"/>
    <w:rsid w:val="3B9D0DE4"/>
    <w:rsid w:val="3BAF64C2"/>
    <w:rsid w:val="3BBE324F"/>
    <w:rsid w:val="3BC2134B"/>
    <w:rsid w:val="3BC6569C"/>
    <w:rsid w:val="3BE92C13"/>
    <w:rsid w:val="3BEE1FD4"/>
    <w:rsid w:val="3BF41789"/>
    <w:rsid w:val="3BF77C28"/>
    <w:rsid w:val="3BFB3A9F"/>
    <w:rsid w:val="3C123F18"/>
    <w:rsid w:val="3C1B6FEC"/>
    <w:rsid w:val="3C3953F2"/>
    <w:rsid w:val="3C48397A"/>
    <w:rsid w:val="3C682A67"/>
    <w:rsid w:val="3C907BF0"/>
    <w:rsid w:val="3C974E2E"/>
    <w:rsid w:val="3C9B215F"/>
    <w:rsid w:val="3C9E2902"/>
    <w:rsid w:val="3CA13016"/>
    <w:rsid w:val="3CA1704A"/>
    <w:rsid w:val="3CCC29E2"/>
    <w:rsid w:val="3CEF5BEF"/>
    <w:rsid w:val="3D0113CD"/>
    <w:rsid w:val="3D046932"/>
    <w:rsid w:val="3D124BF7"/>
    <w:rsid w:val="3D1B5EC5"/>
    <w:rsid w:val="3D2573C2"/>
    <w:rsid w:val="3D335C39"/>
    <w:rsid w:val="3D532A3A"/>
    <w:rsid w:val="3D605CA8"/>
    <w:rsid w:val="3D81233F"/>
    <w:rsid w:val="3D890EE7"/>
    <w:rsid w:val="3D8A6036"/>
    <w:rsid w:val="3D9F7A2D"/>
    <w:rsid w:val="3DD403A2"/>
    <w:rsid w:val="3DDA6CB7"/>
    <w:rsid w:val="3DE0182C"/>
    <w:rsid w:val="3DE10046"/>
    <w:rsid w:val="3DEB7740"/>
    <w:rsid w:val="3DFE082C"/>
    <w:rsid w:val="3DFE13C3"/>
    <w:rsid w:val="3E043D34"/>
    <w:rsid w:val="3E0A682F"/>
    <w:rsid w:val="3E120DBF"/>
    <w:rsid w:val="3E602210"/>
    <w:rsid w:val="3E6D7B2B"/>
    <w:rsid w:val="3E816F07"/>
    <w:rsid w:val="3E9F14AA"/>
    <w:rsid w:val="3EA255FD"/>
    <w:rsid w:val="3EAD20E3"/>
    <w:rsid w:val="3ED454B4"/>
    <w:rsid w:val="3ED938FB"/>
    <w:rsid w:val="3EDE5D60"/>
    <w:rsid w:val="3EED6576"/>
    <w:rsid w:val="3F102CD3"/>
    <w:rsid w:val="3F120B10"/>
    <w:rsid w:val="3F32667F"/>
    <w:rsid w:val="3F36616F"/>
    <w:rsid w:val="3F423B10"/>
    <w:rsid w:val="3F433A5A"/>
    <w:rsid w:val="3F66706D"/>
    <w:rsid w:val="3F6E48C7"/>
    <w:rsid w:val="3F732F1F"/>
    <w:rsid w:val="3F845C3D"/>
    <w:rsid w:val="3F963B0C"/>
    <w:rsid w:val="3F9C7EDC"/>
    <w:rsid w:val="3FAC23D6"/>
    <w:rsid w:val="3FBA0262"/>
    <w:rsid w:val="3FD61700"/>
    <w:rsid w:val="3FF34060"/>
    <w:rsid w:val="3FF757D4"/>
    <w:rsid w:val="3FFB43AD"/>
    <w:rsid w:val="400C5C22"/>
    <w:rsid w:val="4025767C"/>
    <w:rsid w:val="403E47E5"/>
    <w:rsid w:val="404A34DB"/>
    <w:rsid w:val="40506F7F"/>
    <w:rsid w:val="40555BD1"/>
    <w:rsid w:val="4065700E"/>
    <w:rsid w:val="406713EB"/>
    <w:rsid w:val="406E6CCF"/>
    <w:rsid w:val="407222E7"/>
    <w:rsid w:val="4074513F"/>
    <w:rsid w:val="4086082D"/>
    <w:rsid w:val="40A315E2"/>
    <w:rsid w:val="40A4348B"/>
    <w:rsid w:val="40A470DC"/>
    <w:rsid w:val="40A73D78"/>
    <w:rsid w:val="40E77937"/>
    <w:rsid w:val="410A6A48"/>
    <w:rsid w:val="411B14E1"/>
    <w:rsid w:val="41393CF5"/>
    <w:rsid w:val="416C23A8"/>
    <w:rsid w:val="41801AFE"/>
    <w:rsid w:val="41810341"/>
    <w:rsid w:val="41815EBB"/>
    <w:rsid w:val="41945E2E"/>
    <w:rsid w:val="41C27A3D"/>
    <w:rsid w:val="41E308B2"/>
    <w:rsid w:val="41EE02BD"/>
    <w:rsid w:val="41F1637D"/>
    <w:rsid w:val="41F92FE7"/>
    <w:rsid w:val="42067015"/>
    <w:rsid w:val="4207344F"/>
    <w:rsid w:val="42124940"/>
    <w:rsid w:val="42154CFF"/>
    <w:rsid w:val="423B189D"/>
    <w:rsid w:val="424E1AC6"/>
    <w:rsid w:val="42855D4C"/>
    <w:rsid w:val="428D68CB"/>
    <w:rsid w:val="42A868A9"/>
    <w:rsid w:val="42AE454B"/>
    <w:rsid w:val="42AE7254"/>
    <w:rsid w:val="42C30E67"/>
    <w:rsid w:val="42C46549"/>
    <w:rsid w:val="42DC0DDB"/>
    <w:rsid w:val="42F500EF"/>
    <w:rsid w:val="430F6485"/>
    <w:rsid w:val="43107404"/>
    <w:rsid w:val="43453ACD"/>
    <w:rsid w:val="43667552"/>
    <w:rsid w:val="438E183A"/>
    <w:rsid w:val="43947392"/>
    <w:rsid w:val="439D6BED"/>
    <w:rsid w:val="43A452DD"/>
    <w:rsid w:val="43C47EB5"/>
    <w:rsid w:val="43EF144A"/>
    <w:rsid w:val="441D16AC"/>
    <w:rsid w:val="44210FBE"/>
    <w:rsid w:val="442510C0"/>
    <w:rsid w:val="443044ED"/>
    <w:rsid w:val="447D31D0"/>
    <w:rsid w:val="448347FC"/>
    <w:rsid w:val="448E55A6"/>
    <w:rsid w:val="44A80AE0"/>
    <w:rsid w:val="44E11D8D"/>
    <w:rsid w:val="44ED1FD9"/>
    <w:rsid w:val="44F74553"/>
    <w:rsid w:val="450A1747"/>
    <w:rsid w:val="45163E17"/>
    <w:rsid w:val="452B7DF8"/>
    <w:rsid w:val="454955E0"/>
    <w:rsid w:val="455F5336"/>
    <w:rsid w:val="456316C8"/>
    <w:rsid w:val="456608CA"/>
    <w:rsid w:val="45686055"/>
    <w:rsid w:val="456926CF"/>
    <w:rsid w:val="4570781E"/>
    <w:rsid w:val="45715A81"/>
    <w:rsid w:val="45A136C4"/>
    <w:rsid w:val="45AC03A0"/>
    <w:rsid w:val="45B42569"/>
    <w:rsid w:val="45C656E1"/>
    <w:rsid w:val="45DD4736"/>
    <w:rsid w:val="45F03E8E"/>
    <w:rsid w:val="45FB35BF"/>
    <w:rsid w:val="4600321B"/>
    <w:rsid w:val="461E4D77"/>
    <w:rsid w:val="46205483"/>
    <w:rsid w:val="46304A05"/>
    <w:rsid w:val="46416B58"/>
    <w:rsid w:val="464A0752"/>
    <w:rsid w:val="46545D00"/>
    <w:rsid w:val="46600A25"/>
    <w:rsid w:val="4667380D"/>
    <w:rsid w:val="46767E80"/>
    <w:rsid w:val="469B1F82"/>
    <w:rsid w:val="46A059C2"/>
    <w:rsid w:val="46A8374A"/>
    <w:rsid w:val="46AD52B3"/>
    <w:rsid w:val="46DF4B26"/>
    <w:rsid w:val="46F661E4"/>
    <w:rsid w:val="46F96400"/>
    <w:rsid w:val="471B44DA"/>
    <w:rsid w:val="472864CF"/>
    <w:rsid w:val="472972CF"/>
    <w:rsid w:val="4732153F"/>
    <w:rsid w:val="473E6151"/>
    <w:rsid w:val="475573AE"/>
    <w:rsid w:val="477B2925"/>
    <w:rsid w:val="47986E44"/>
    <w:rsid w:val="47A73950"/>
    <w:rsid w:val="47E250E6"/>
    <w:rsid w:val="485D58A5"/>
    <w:rsid w:val="48687F1C"/>
    <w:rsid w:val="48892CB1"/>
    <w:rsid w:val="48943E1E"/>
    <w:rsid w:val="48BE2C92"/>
    <w:rsid w:val="48C76FB5"/>
    <w:rsid w:val="48D760FE"/>
    <w:rsid w:val="48EA7844"/>
    <w:rsid w:val="48FF7C5E"/>
    <w:rsid w:val="491D214E"/>
    <w:rsid w:val="491E356B"/>
    <w:rsid w:val="492D2A7A"/>
    <w:rsid w:val="494E5DA2"/>
    <w:rsid w:val="49510102"/>
    <w:rsid w:val="49521DF7"/>
    <w:rsid w:val="495C0AA0"/>
    <w:rsid w:val="49A012FE"/>
    <w:rsid w:val="49B1034B"/>
    <w:rsid w:val="49B70B6D"/>
    <w:rsid w:val="49C20B73"/>
    <w:rsid w:val="49E8450A"/>
    <w:rsid w:val="4A0C528E"/>
    <w:rsid w:val="4A3370BA"/>
    <w:rsid w:val="4A4543C6"/>
    <w:rsid w:val="4A4E23DD"/>
    <w:rsid w:val="4A4F4B74"/>
    <w:rsid w:val="4A4F7228"/>
    <w:rsid w:val="4A5F0596"/>
    <w:rsid w:val="4A7E09CA"/>
    <w:rsid w:val="4A7E6503"/>
    <w:rsid w:val="4AB60988"/>
    <w:rsid w:val="4ACB4469"/>
    <w:rsid w:val="4AD41E04"/>
    <w:rsid w:val="4B011DFE"/>
    <w:rsid w:val="4B412209"/>
    <w:rsid w:val="4B426139"/>
    <w:rsid w:val="4B6136FB"/>
    <w:rsid w:val="4B7874EC"/>
    <w:rsid w:val="4B83273C"/>
    <w:rsid w:val="4B8769F6"/>
    <w:rsid w:val="4B91498B"/>
    <w:rsid w:val="4B925CCE"/>
    <w:rsid w:val="4BA6188C"/>
    <w:rsid w:val="4BC37ED5"/>
    <w:rsid w:val="4BCD39B7"/>
    <w:rsid w:val="4BCF0301"/>
    <w:rsid w:val="4BD23D7D"/>
    <w:rsid w:val="4BD50ABE"/>
    <w:rsid w:val="4BDE3E16"/>
    <w:rsid w:val="4BEB5EC6"/>
    <w:rsid w:val="4C0B44E0"/>
    <w:rsid w:val="4C11590C"/>
    <w:rsid w:val="4C2061DD"/>
    <w:rsid w:val="4C3229C0"/>
    <w:rsid w:val="4C322B98"/>
    <w:rsid w:val="4C393C27"/>
    <w:rsid w:val="4C3C28EB"/>
    <w:rsid w:val="4C432716"/>
    <w:rsid w:val="4C4C6FD2"/>
    <w:rsid w:val="4C5D0E54"/>
    <w:rsid w:val="4C6D07A4"/>
    <w:rsid w:val="4CA566E2"/>
    <w:rsid w:val="4CAF6B2A"/>
    <w:rsid w:val="4CC82E66"/>
    <w:rsid w:val="4CCA78FD"/>
    <w:rsid w:val="4CD33573"/>
    <w:rsid w:val="4CD66B35"/>
    <w:rsid w:val="4D483D21"/>
    <w:rsid w:val="4D5D6FBD"/>
    <w:rsid w:val="4D6151F8"/>
    <w:rsid w:val="4DAD74CF"/>
    <w:rsid w:val="4DB90848"/>
    <w:rsid w:val="4DD70FD5"/>
    <w:rsid w:val="4DE568B7"/>
    <w:rsid w:val="4DF3616D"/>
    <w:rsid w:val="4DF82C7A"/>
    <w:rsid w:val="4DFD7CEB"/>
    <w:rsid w:val="4E006EFD"/>
    <w:rsid w:val="4E096992"/>
    <w:rsid w:val="4E1A6C5C"/>
    <w:rsid w:val="4E3118E3"/>
    <w:rsid w:val="4E3A10AC"/>
    <w:rsid w:val="4E450C32"/>
    <w:rsid w:val="4E5076DF"/>
    <w:rsid w:val="4E7E71D5"/>
    <w:rsid w:val="4E960E86"/>
    <w:rsid w:val="4EA7201B"/>
    <w:rsid w:val="4EAD7102"/>
    <w:rsid w:val="4EB11518"/>
    <w:rsid w:val="4EB26E94"/>
    <w:rsid w:val="4EDA1F52"/>
    <w:rsid w:val="4EE7006E"/>
    <w:rsid w:val="4F0A1409"/>
    <w:rsid w:val="4F0E361E"/>
    <w:rsid w:val="4F231B40"/>
    <w:rsid w:val="4F2A1121"/>
    <w:rsid w:val="4F442E5D"/>
    <w:rsid w:val="4F534CD7"/>
    <w:rsid w:val="4F734899"/>
    <w:rsid w:val="4F7971A1"/>
    <w:rsid w:val="4F7B6A90"/>
    <w:rsid w:val="4F82321A"/>
    <w:rsid w:val="4F8E742F"/>
    <w:rsid w:val="4FAF7D99"/>
    <w:rsid w:val="4FB05A26"/>
    <w:rsid w:val="4FB16CCA"/>
    <w:rsid w:val="4FD86DCF"/>
    <w:rsid w:val="4FDB4423"/>
    <w:rsid w:val="4FDE22E4"/>
    <w:rsid w:val="4FDE3EF0"/>
    <w:rsid w:val="4FDE4342"/>
    <w:rsid w:val="4FED74F7"/>
    <w:rsid w:val="4FF21E00"/>
    <w:rsid w:val="4FF932AD"/>
    <w:rsid w:val="4FFD5C59"/>
    <w:rsid w:val="501424D4"/>
    <w:rsid w:val="50211B71"/>
    <w:rsid w:val="5058283D"/>
    <w:rsid w:val="506D58CC"/>
    <w:rsid w:val="5076288D"/>
    <w:rsid w:val="50852092"/>
    <w:rsid w:val="50A20452"/>
    <w:rsid w:val="50B213CE"/>
    <w:rsid w:val="50C8299F"/>
    <w:rsid w:val="50CE348B"/>
    <w:rsid w:val="50CF1F80"/>
    <w:rsid w:val="50CF3D94"/>
    <w:rsid w:val="50D81233"/>
    <w:rsid w:val="50DB0924"/>
    <w:rsid w:val="50DB21A0"/>
    <w:rsid w:val="50E10B6B"/>
    <w:rsid w:val="50F33A54"/>
    <w:rsid w:val="50FF6E4E"/>
    <w:rsid w:val="510A691E"/>
    <w:rsid w:val="511B3698"/>
    <w:rsid w:val="513F5B02"/>
    <w:rsid w:val="514A1C4E"/>
    <w:rsid w:val="51653D6E"/>
    <w:rsid w:val="516923D4"/>
    <w:rsid w:val="516E3AE8"/>
    <w:rsid w:val="51777D7A"/>
    <w:rsid w:val="51830E34"/>
    <w:rsid w:val="51962A9D"/>
    <w:rsid w:val="51B8433C"/>
    <w:rsid w:val="51C25640"/>
    <w:rsid w:val="51CA1D8A"/>
    <w:rsid w:val="51F51363"/>
    <w:rsid w:val="51FF74B8"/>
    <w:rsid w:val="520A4423"/>
    <w:rsid w:val="52143060"/>
    <w:rsid w:val="52156840"/>
    <w:rsid w:val="52450AF6"/>
    <w:rsid w:val="528C27BF"/>
    <w:rsid w:val="52900F78"/>
    <w:rsid w:val="5290648E"/>
    <w:rsid w:val="529D61E3"/>
    <w:rsid w:val="529D6507"/>
    <w:rsid w:val="52A339B6"/>
    <w:rsid w:val="52A5743C"/>
    <w:rsid w:val="52A65DA3"/>
    <w:rsid w:val="52D8431C"/>
    <w:rsid w:val="52DA4B1F"/>
    <w:rsid w:val="52ED2B91"/>
    <w:rsid w:val="530C1A22"/>
    <w:rsid w:val="53322D5B"/>
    <w:rsid w:val="534103F4"/>
    <w:rsid w:val="534B4F81"/>
    <w:rsid w:val="53594E35"/>
    <w:rsid w:val="536567ED"/>
    <w:rsid w:val="53691369"/>
    <w:rsid w:val="53855543"/>
    <w:rsid w:val="53886B25"/>
    <w:rsid w:val="53C658BC"/>
    <w:rsid w:val="53C90F08"/>
    <w:rsid w:val="53E2313E"/>
    <w:rsid w:val="53F6304F"/>
    <w:rsid w:val="53FD20E4"/>
    <w:rsid w:val="54031F53"/>
    <w:rsid w:val="54071B43"/>
    <w:rsid w:val="541303D5"/>
    <w:rsid w:val="54185AF9"/>
    <w:rsid w:val="54487065"/>
    <w:rsid w:val="544D5C90"/>
    <w:rsid w:val="548919F1"/>
    <w:rsid w:val="548E031B"/>
    <w:rsid w:val="54A25480"/>
    <w:rsid w:val="54C46176"/>
    <w:rsid w:val="54D036BB"/>
    <w:rsid w:val="54EC4DE8"/>
    <w:rsid w:val="54FB79D7"/>
    <w:rsid w:val="5500270B"/>
    <w:rsid w:val="550F1330"/>
    <w:rsid w:val="551408A9"/>
    <w:rsid w:val="5530650D"/>
    <w:rsid w:val="55345488"/>
    <w:rsid w:val="55583CBF"/>
    <w:rsid w:val="555B7055"/>
    <w:rsid w:val="55630F5D"/>
    <w:rsid w:val="557E5D22"/>
    <w:rsid w:val="55D1679A"/>
    <w:rsid w:val="55D3103B"/>
    <w:rsid w:val="55D537CD"/>
    <w:rsid w:val="55F07904"/>
    <w:rsid w:val="55F85AD5"/>
    <w:rsid w:val="55FD0B7B"/>
    <w:rsid w:val="55FD30EB"/>
    <w:rsid w:val="560D4B5C"/>
    <w:rsid w:val="561A12D1"/>
    <w:rsid w:val="561B6DE4"/>
    <w:rsid w:val="562940C7"/>
    <w:rsid w:val="56350AD7"/>
    <w:rsid w:val="5658249F"/>
    <w:rsid w:val="565D33B9"/>
    <w:rsid w:val="56741698"/>
    <w:rsid w:val="56780658"/>
    <w:rsid w:val="56D007FF"/>
    <w:rsid w:val="56DB3128"/>
    <w:rsid w:val="56EE3BE1"/>
    <w:rsid w:val="56F02C50"/>
    <w:rsid w:val="56F73FDE"/>
    <w:rsid w:val="570258AE"/>
    <w:rsid w:val="570636A6"/>
    <w:rsid w:val="570D0833"/>
    <w:rsid w:val="571829D6"/>
    <w:rsid w:val="57345A69"/>
    <w:rsid w:val="5739628B"/>
    <w:rsid w:val="57405C1F"/>
    <w:rsid w:val="574373CA"/>
    <w:rsid w:val="5763305D"/>
    <w:rsid w:val="57696EE6"/>
    <w:rsid w:val="577445B8"/>
    <w:rsid w:val="57AC396B"/>
    <w:rsid w:val="57B04F36"/>
    <w:rsid w:val="57D1482F"/>
    <w:rsid w:val="57E826A1"/>
    <w:rsid w:val="57F13968"/>
    <w:rsid w:val="58021BEA"/>
    <w:rsid w:val="580469B3"/>
    <w:rsid w:val="58310C72"/>
    <w:rsid w:val="5836318F"/>
    <w:rsid w:val="583671A4"/>
    <w:rsid w:val="583F0DC9"/>
    <w:rsid w:val="58580AAD"/>
    <w:rsid w:val="586133E2"/>
    <w:rsid w:val="587F294D"/>
    <w:rsid w:val="588854B2"/>
    <w:rsid w:val="58943EE2"/>
    <w:rsid w:val="58AC3160"/>
    <w:rsid w:val="58AC3282"/>
    <w:rsid w:val="58C316DE"/>
    <w:rsid w:val="58C3742F"/>
    <w:rsid w:val="58DC7806"/>
    <w:rsid w:val="590C7EA4"/>
    <w:rsid w:val="59202514"/>
    <w:rsid w:val="5981100A"/>
    <w:rsid w:val="5983798A"/>
    <w:rsid w:val="59A001B3"/>
    <w:rsid w:val="59A2342A"/>
    <w:rsid w:val="59B6460B"/>
    <w:rsid w:val="59CE25C4"/>
    <w:rsid w:val="59D07793"/>
    <w:rsid w:val="59D56AC7"/>
    <w:rsid w:val="59DA4877"/>
    <w:rsid w:val="59EF2443"/>
    <w:rsid w:val="5A076B17"/>
    <w:rsid w:val="5A132D6E"/>
    <w:rsid w:val="5A182BEE"/>
    <w:rsid w:val="5A202C97"/>
    <w:rsid w:val="5A4C4C52"/>
    <w:rsid w:val="5A6B2D19"/>
    <w:rsid w:val="5A6F322D"/>
    <w:rsid w:val="5A800B4C"/>
    <w:rsid w:val="5A9509CE"/>
    <w:rsid w:val="5AA21828"/>
    <w:rsid w:val="5AAE5E99"/>
    <w:rsid w:val="5AD12767"/>
    <w:rsid w:val="5AE814CA"/>
    <w:rsid w:val="5AEB18AD"/>
    <w:rsid w:val="5AF47203"/>
    <w:rsid w:val="5B061502"/>
    <w:rsid w:val="5B0C04B5"/>
    <w:rsid w:val="5B13515F"/>
    <w:rsid w:val="5B241A3E"/>
    <w:rsid w:val="5B321AF1"/>
    <w:rsid w:val="5B333E4C"/>
    <w:rsid w:val="5B351D64"/>
    <w:rsid w:val="5B5C273E"/>
    <w:rsid w:val="5B765FCE"/>
    <w:rsid w:val="5B8147BE"/>
    <w:rsid w:val="5B914A01"/>
    <w:rsid w:val="5B93075D"/>
    <w:rsid w:val="5B93537A"/>
    <w:rsid w:val="5BDD1A7E"/>
    <w:rsid w:val="5C3321BD"/>
    <w:rsid w:val="5C6C7AE4"/>
    <w:rsid w:val="5C702A52"/>
    <w:rsid w:val="5C9F3435"/>
    <w:rsid w:val="5CAB3154"/>
    <w:rsid w:val="5CB04D5A"/>
    <w:rsid w:val="5CD83ACA"/>
    <w:rsid w:val="5CEA001F"/>
    <w:rsid w:val="5D0A471A"/>
    <w:rsid w:val="5D0B5B6D"/>
    <w:rsid w:val="5D0C5EC2"/>
    <w:rsid w:val="5D0D5760"/>
    <w:rsid w:val="5D160AFE"/>
    <w:rsid w:val="5D1A2A7C"/>
    <w:rsid w:val="5D3513BC"/>
    <w:rsid w:val="5D430968"/>
    <w:rsid w:val="5D541EF5"/>
    <w:rsid w:val="5D634966"/>
    <w:rsid w:val="5D79111E"/>
    <w:rsid w:val="5D7C6827"/>
    <w:rsid w:val="5D8226B4"/>
    <w:rsid w:val="5D885D9C"/>
    <w:rsid w:val="5DA15121"/>
    <w:rsid w:val="5DAA51F0"/>
    <w:rsid w:val="5DAB7B37"/>
    <w:rsid w:val="5DBF6BBD"/>
    <w:rsid w:val="5DDA4031"/>
    <w:rsid w:val="5DFA34A7"/>
    <w:rsid w:val="5E1816F8"/>
    <w:rsid w:val="5E194573"/>
    <w:rsid w:val="5E24290B"/>
    <w:rsid w:val="5E346A05"/>
    <w:rsid w:val="5E5F09F8"/>
    <w:rsid w:val="5E6E6DAB"/>
    <w:rsid w:val="5EA163B7"/>
    <w:rsid w:val="5EA30FD9"/>
    <w:rsid w:val="5EAC56AE"/>
    <w:rsid w:val="5EAE71DB"/>
    <w:rsid w:val="5ED370DF"/>
    <w:rsid w:val="5EE72758"/>
    <w:rsid w:val="5EF93807"/>
    <w:rsid w:val="5F0545C8"/>
    <w:rsid w:val="5F062F58"/>
    <w:rsid w:val="5F085DA4"/>
    <w:rsid w:val="5F1476DE"/>
    <w:rsid w:val="5F1855DB"/>
    <w:rsid w:val="5F2A7EF1"/>
    <w:rsid w:val="5F562317"/>
    <w:rsid w:val="5F65191D"/>
    <w:rsid w:val="5F7333B9"/>
    <w:rsid w:val="5F7E1332"/>
    <w:rsid w:val="5F8E092D"/>
    <w:rsid w:val="5F910D3E"/>
    <w:rsid w:val="5F927999"/>
    <w:rsid w:val="5F97635E"/>
    <w:rsid w:val="5FAF02FD"/>
    <w:rsid w:val="5FBF7663"/>
    <w:rsid w:val="5FD96977"/>
    <w:rsid w:val="5FF90708"/>
    <w:rsid w:val="5FFD132D"/>
    <w:rsid w:val="601220F3"/>
    <w:rsid w:val="6014175D"/>
    <w:rsid w:val="60247DCB"/>
    <w:rsid w:val="60395667"/>
    <w:rsid w:val="603D4476"/>
    <w:rsid w:val="6045496F"/>
    <w:rsid w:val="60793CB6"/>
    <w:rsid w:val="609B00D0"/>
    <w:rsid w:val="60A850B9"/>
    <w:rsid w:val="60FD7762"/>
    <w:rsid w:val="610572F8"/>
    <w:rsid w:val="610C3698"/>
    <w:rsid w:val="61101AC6"/>
    <w:rsid w:val="61190980"/>
    <w:rsid w:val="61244335"/>
    <w:rsid w:val="6128437A"/>
    <w:rsid w:val="61435CBB"/>
    <w:rsid w:val="614800A8"/>
    <w:rsid w:val="6166062F"/>
    <w:rsid w:val="61821DD7"/>
    <w:rsid w:val="61842912"/>
    <w:rsid w:val="61865D42"/>
    <w:rsid w:val="619A3EE4"/>
    <w:rsid w:val="619C652E"/>
    <w:rsid w:val="61C43236"/>
    <w:rsid w:val="61DE5B70"/>
    <w:rsid w:val="61EE1A33"/>
    <w:rsid w:val="61FA7533"/>
    <w:rsid w:val="620D321D"/>
    <w:rsid w:val="621A4BF4"/>
    <w:rsid w:val="622E19D8"/>
    <w:rsid w:val="623A0087"/>
    <w:rsid w:val="62AF39D2"/>
    <w:rsid w:val="62F76C92"/>
    <w:rsid w:val="63045DC8"/>
    <w:rsid w:val="630A5099"/>
    <w:rsid w:val="63230CAE"/>
    <w:rsid w:val="63307788"/>
    <w:rsid w:val="633A0929"/>
    <w:rsid w:val="63587ECC"/>
    <w:rsid w:val="636420AA"/>
    <w:rsid w:val="63921CBC"/>
    <w:rsid w:val="63984453"/>
    <w:rsid w:val="63A06C42"/>
    <w:rsid w:val="63B84085"/>
    <w:rsid w:val="63CE1898"/>
    <w:rsid w:val="63DD3B02"/>
    <w:rsid w:val="63F07540"/>
    <w:rsid w:val="63F35EC1"/>
    <w:rsid w:val="63F73098"/>
    <w:rsid w:val="645C075E"/>
    <w:rsid w:val="645E67EE"/>
    <w:rsid w:val="6470246F"/>
    <w:rsid w:val="64763304"/>
    <w:rsid w:val="647D5FA2"/>
    <w:rsid w:val="64833D23"/>
    <w:rsid w:val="649C61C5"/>
    <w:rsid w:val="649D1793"/>
    <w:rsid w:val="64A4192E"/>
    <w:rsid w:val="64A55EAB"/>
    <w:rsid w:val="64DC6478"/>
    <w:rsid w:val="64F6169C"/>
    <w:rsid w:val="6505783C"/>
    <w:rsid w:val="65070FE1"/>
    <w:rsid w:val="6510308C"/>
    <w:rsid w:val="651038A5"/>
    <w:rsid w:val="651A4998"/>
    <w:rsid w:val="653667D3"/>
    <w:rsid w:val="65505091"/>
    <w:rsid w:val="656767D3"/>
    <w:rsid w:val="65842EE1"/>
    <w:rsid w:val="65866A8D"/>
    <w:rsid w:val="65915CCD"/>
    <w:rsid w:val="659F41BF"/>
    <w:rsid w:val="65A44570"/>
    <w:rsid w:val="65A52FE7"/>
    <w:rsid w:val="65B5321C"/>
    <w:rsid w:val="65B53D15"/>
    <w:rsid w:val="65B80EEB"/>
    <w:rsid w:val="65ED5B1C"/>
    <w:rsid w:val="65F45189"/>
    <w:rsid w:val="65F5290A"/>
    <w:rsid w:val="65FC33BF"/>
    <w:rsid w:val="66260B9D"/>
    <w:rsid w:val="662B15AE"/>
    <w:rsid w:val="662B7713"/>
    <w:rsid w:val="66507267"/>
    <w:rsid w:val="66587A53"/>
    <w:rsid w:val="66587E4D"/>
    <w:rsid w:val="6664127D"/>
    <w:rsid w:val="6668396F"/>
    <w:rsid w:val="666A0397"/>
    <w:rsid w:val="666D61BC"/>
    <w:rsid w:val="669C739B"/>
    <w:rsid w:val="66A032AC"/>
    <w:rsid w:val="66A5036A"/>
    <w:rsid w:val="66A762C2"/>
    <w:rsid w:val="66A8551C"/>
    <w:rsid w:val="66C62B5D"/>
    <w:rsid w:val="66C84B58"/>
    <w:rsid w:val="66CA526B"/>
    <w:rsid w:val="66CD00E2"/>
    <w:rsid w:val="66DE609A"/>
    <w:rsid w:val="66E10752"/>
    <w:rsid w:val="66F04EFF"/>
    <w:rsid w:val="670B3991"/>
    <w:rsid w:val="67186E8F"/>
    <w:rsid w:val="67203B1D"/>
    <w:rsid w:val="67377E06"/>
    <w:rsid w:val="67475660"/>
    <w:rsid w:val="674E66DB"/>
    <w:rsid w:val="6757025C"/>
    <w:rsid w:val="677400CE"/>
    <w:rsid w:val="67760F4F"/>
    <w:rsid w:val="67890C82"/>
    <w:rsid w:val="679118E5"/>
    <w:rsid w:val="67953B12"/>
    <w:rsid w:val="67A67CB7"/>
    <w:rsid w:val="67AE11A3"/>
    <w:rsid w:val="67B37AAD"/>
    <w:rsid w:val="67C75C7F"/>
    <w:rsid w:val="67CC79E3"/>
    <w:rsid w:val="67E90D21"/>
    <w:rsid w:val="67F075B9"/>
    <w:rsid w:val="67FB4030"/>
    <w:rsid w:val="680111AD"/>
    <w:rsid w:val="68026B4A"/>
    <w:rsid w:val="681974EB"/>
    <w:rsid w:val="68441FF9"/>
    <w:rsid w:val="6866025A"/>
    <w:rsid w:val="686B098F"/>
    <w:rsid w:val="686E1C26"/>
    <w:rsid w:val="68C55CEA"/>
    <w:rsid w:val="68CA77A4"/>
    <w:rsid w:val="68CF7246"/>
    <w:rsid w:val="68E021E4"/>
    <w:rsid w:val="68E71047"/>
    <w:rsid w:val="69057D23"/>
    <w:rsid w:val="690A7914"/>
    <w:rsid w:val="691649E4"/>
    <w:rsid w:val="692622A5"/>
    <w:rsid w:val="69312899"/>
    <w:rsid w:val="694E73C9"/>
    <w:rsid w:val="6957734C"/>
    <w:rsid w:val="695D6686"/>
    <w:rsid w:val="6975345F"/>
    <w:rsid w:val="697C7257"/>
    <w:rsid w:val="69845274"/>
    <w:rsid w:val="69A1219F"/>
    <w:rsid w:val="69A515C7"/>
    <w:rsid w:val="69C837E1"/>
    <w:rsid w:val="69CA41C9"/>
    <w:rsid w:val="69DD42E5"/>
    <w:rsid w:val="69F57E1A"/>
    <w:rsid w:val="69F605CD"/>
    <w:rsid w:val="69F920E0"/>
    <w:rsid w:val="69FE2F53"/>
    <w:rsid w:val="6A4D56EB"/>
    <w:rsid w:val="6A4E0346"/>
    <w:rsid w:val="6A5E2C49"/>
    <w:rsid w:val="6A5F216E"/>
    <w:rsid w:val="6A6211F5"/>
    <w:rsid w:val="6A7E67B9"/>
    <w:rsid w:val="6A855C15"/>
    <w:rsid w:val="6A9E278E"/>
    <w:rsid w:val="6A9F14FB"/>
    <w:rsid w:val="6AA02886"/>
    <w:rsid w:val="6AA2076B"/>
    <w:rsid w:val="6ACA2434"/>
    <w:rsid w:val="6ACB081A"/>
    <w:rsid w:val="6AD40E1E"/>
    <w:rsid w:val="6AD66324"/>
    <w:rsid w:val="6AF5205A"/>
    <w:rsid w:val="6AF90678"/>
    <w:rsid w:val="6B0600C0"/>
    <w:rsid w:val="6B08193B"/>
    <w:rsid w:val="6B113469"/>
    <w:rsid w:val="6B1A2C85"/>
    <w:rsid w:val="6B33640D"/>
    <w:rsid w:val="6B386CB1"/>
    <w:rsid w:val="6B415F71"/>
    <w:rsid w:val="6B5670CE"/>
    <w:rsid w:val="6B8A178F"/>
    <w:rsid w:val="6B973A42"/>
    <w:rsid w:val="6B9C4C6C"/>
    <w:rsid w:val="6BC717CD"/>
    <w:rsid w:val="6BD44022"/>
    <w:rsid w:val="6BDE77D5"/>
    <w:rsid w:val="6BE841F6"/>
    <w:rsid w:val="6C0A12CA"/>
    <w:rsid w:val="6C2A3910"/>
    <w:rsid w:val="6C382DF1"/>
    <w:rsid w:val="6C5C6804"/>
    <w:rsid w:val="6C722924"/>
    <w:rsid w:val="6C7D4B2E"/>
    <w:rsid w:val="6C9C17B8"/>
    <w:rsid w:val="6CAB2D5B"/>
    <w:rsid w:val="6CAB30F9"/>
    <w:rsid w:val="6CD132FB"/>
    <w:rsid w:val="6CDF2E4F"/>
    <w:rsid w:val="6CE50DE3"/>
    <w:rsid w:val="6D0B038C"/>
    <w:rsid w:val="6D2F2148"/>
    <w:rsid w:val="6D3D6610"/>
    <w:rsid w:val="6D50469D"/>
    <w:rsid w:val="6D5910F7"/>
    <w:rsid w:val="6D685ABB"/>
    <w:rsid w:val="6D693742"/>
    <w:rsid w:val="6D9A666B"/>
    <w:rsid w:val="6DAE17F1"/>
    <w:rsid w:val="6DC73E5A"/>
    <w:rsid w:val="6DD36D10"/>
    <w:rsid w:val="6DD5307F"/>
    <w:rsid w:val="6DD72B83"/>
    <w:rsid w:val="6E07364A"/>
    <w:rsid w:val="6E075F35"/>
    <w:rsid w:val="6E1E6B73"/>
    <w:rsid w:val="6E224114"/>
    <w:rsid w:val="6E3440F2"/>
    <w:rsid w:val="6E4C60A3"/>
    <w:rsid w:val="6E692DC9"/>
    <w:rsid w:val="6E6B20A4"/>
    <w:rsid w:val="6E6E3B47"/>
    <w:rsid w:val="6E715DD5"/>
    <w:rsid w:val="6E736A8F"/>
    <w:rsid w:val="6E7E5A33"/>
    <w:rsid w:val="6E80057A"/>
    <w:rsid w:val="6E885396"/>
    <w:rsid w:val="6ECB0CD4"/>
    <w:rsid w:val="6EDB0A02"/>
    <w:rsid w:val="6F006748"/>
    <w:rsid w:val="6F037E5A"/>
    <w:rsid w:val="6F0E482A"/>
    <w:rsid w:val="6F125304"/>
    <w:rsid w:val="6F484F7F"/>
    <w:rsid w:val="6F5B7934"/>
    <w:rsid w:val="6F6A1399"/>
    <w:rsid w:val="6F6D7A9E"/>
    <w:rsid w:val="6F992BD4"/>
    <w:rsid w:val="6FA3540E"/>
    <w:rsid w:val="6FA96375"/>
    <w:rsid w:val="6FB66352"/>
    <w:rsid w:val="6FBA2543"/>
    <w:rsid w:val="6FC53D14"/>
    <w:rsid w:val="7004302B"/>
    <w:rsid w:val="701644B6"/>
    <w:rsid w:val="701A3E9E"/>
    <w:rsid w:val="701D465E"/>
    <w:rsid w:val="70243602"/>
    <w:rsid w:val="7025639F"/>
    <w:rsid w:val="70506E3C"/>
    <w:rsid w:val="70545867"/>
    <w:rsid w:val="70597D80"/>
    <w:rsid w:val="707C3099"/>
    <w:rsid w:val="707E0BB0"/>
    <w:rsid w:val="708B529E"/>
    <w:rsid w:val="70924B9B"/>
    <w:rsid w:val="70993AFC"/>
    <w:rsid w:val="70A66401"/>
    <w:rsid w:val="70BA3C5B"/>
    <w:rsid w:val="70C44AD9"/>
    <w:rsid w:val="70D0206A"/>
    <w:rsid w:val="70D60C4B"/>
    <w:rsid w:val="70D861BF"/>
    <w:rsid w:val="70F936D9"/>
    <w:rsid w:val="70FF05C1"/>
    <w:rsid w:val="711A5A94"/>
    <w:rsid w:val="713A5A9F"/>
    <w:rsid w:val="714C1284"/>
    <w:rsid w:val="714D72B8"/>
    <w:rsid w:val="714E46F6"/>
    <w:rsid w:val="7157045F"/>
    <w:rsid w:val="715D3FDE"/>
    <w:rsid w:val="71695B67"/>
    <w:rsid w:val="71863042"/>
    <w:rsid w:val="718A0C20"/>
    <w:rsid w:val="719C5411"/>
    <w:rsid w:val="719F3256"/>
    <w:rsid w:val="71A91B07"/>
    <w:rsid w:val="71AF05BA"/>
    <w:rsid w:val="71B138F5"/>
    <w:rsid w:val="71B46975"/>
    <w:rsid w:val="71BC0DC9"/>
    <w:rsid w:val="71CB3977"/>
    <w:rsid w:val="71DD19DC"/>
    <w:rsid w:val="71EB37EB"/>
    <w:rsid w:val="71F9658A"/>
    <w:rsid w:val="72010869"/>
    <w:rsid w:val="720553A9"/>
    <w:rsid w:val="720F6228"/>
    <w:rsid w:val="72192FFB"/>
    <w:rsid w:val="721A5B23"/>
    <w:rsid w:val="722B25B3"/>
    <w:rsid w:val="72442094"/>
    <w:rsid w:val="724C01D4"/>
    <w:rsid w:val="724C2FD8"/>
    <w:rsid w:val="725A77F4"/>
    <w:rsid w:val="726F52AF"/>
    <w:rsid w:val="72740B69"/>
    <w:rsid w:val="72816160"/>
    <w:rsid w:val="72BC2975"/>
    <w:rsid w:val="72BC71C0"/>
    <w:rsid w:val="72C023B8"/>
    <w:rsid w:val="72C664D9"/>
    <w:rsid w:val="72CA5DE6"/>
    <w:rsid w:val="72E51913"/>
    <w:rsid w:val="730258AB"/>
    <w:rsid w:val="7310768F"/>
    <w:rsid w:val="733210C8"/>
    <w:rsid w:val="7356205A"/>
    <w:rsid w:val="73726F8C"/>
    <w:rsid w:val="73890D67"/>
    <w:rsid w:val="73974AD8"/>
    <w:rsid w:val="73977C09"/>
    <w:rsid w:val="73AC38B2"/>
    <w:rsid w:val="73AE4248"/>
    <w:rsid w:val="73B414FE"/>
    <w:rsid w:val="73B85193"/>
    <w:rsid w:val="73C372CA"/>
    <w:rsid w:val="73CA1E7A"/>
    <w:rsid w:val="73D54113"/>
    <w:rsid w:val="73D949E3"/>
    <w:rsid w:val="73F22A72"/>
    <w:rsid w:val="74000C22"/>
    <w:rsid w:val="740A73CA"/>
    <w:rsid w:val="74160427"/>
    <w:rsid w:val="742E508B"/>
    <w:rsid w:val="74367B7D"/>
    <w:rsid w:val="743F3D1B"/>
    <w:rsid w:val="747A2501"/>
    <w:rsid w:val="747F300B"/>
    <w:rsid w:val="74977C4C"/>
    <w:rsid w:val="74B3262D"/>
    <w:rsid w:val="74B453E8"/>
    <w:rsid w:val="74B51C28"/>
    <w:rsid w:val="74B94727"/>
    <w:rsid w:val="74BD1F6B"/>
    <w:rsid w:val="74C2533C"/>
    <w:rsid w:val="74C81629"/>
    <w:rsid w:val="74CD6B93"/>
    <w:rsid w:val="74E67A88"/>
    <w:rsid w:val="74E92D60"/>
    <w:rsid w:val="74F6722B"/>
    <w:rsid w:val="74FD680C"/>
    <w:rsid w:val="750340FC"/>
    <w:rsid w:val="75494586"/>
    <w:rsid w:val="75530B22"/>
    <w:rsid w:val="75597DCF"/>
    <w:rsid w:val="755A4626"/>
    <w:rsid w:val="755D7AAE"/>
    <w:rsid w:val="75672AFA"/>
    <w:rsid w:val="759E3B4B"/>
    <w:rsid w:val="75C25129"/>
    <w:rsid w:val="75C66E24"/>
    <w:rsid w:val="75E654F2"/>
    <w:rsid w:val="75F257F1"/>
    <w:rsid w:val="76066838"/>
    <w:rsid w:val="760D4D74"/>
    <w:rsid w:val="76112EA4"/>
    <w:rsid w:val="764A1401"/>
    <w:rsid w:val="764F3ACF"/>
    <w:rsid w:val="765051AC"/>
    <w:rsid w:val="765C1150"/>
    <w:rsid w:val="76654669"/>
    <w:rsid w:val="766E79D6"/>
    <w:rsid w:val="76702CD2"/>
    <w:rsid w:val="7677713F"/>
    <w:rsid w:val="7685686B"/>
    <w:rsid w:val="768F7269"/>
    <w:rsid w:val="769E7B7B"/>
    <w:rsid w:val="76A520C7"/>
    <w:rsid w:val="76A71125"/>
    <w:rsid w:val="76B048E8"/>
    <w:rsid w:val="76B43A70"/>
    <w:rsid w:val="76BB2180"/>
    <w:rsid w:val="76BD6253"/>
    <w:rsid w:val="76E824D3"/>
    <w:rsid w:val="7711659E"/>
    <w:rsid w:val="77215D18"/>
    <w:rsid w:val="7727026C"/>
    <w:rsid w:val="772E0568"/>
    <w:rsid w:val="77343404"/>
    <w:rsid w:val="774779CE"/>
    <w:rsid w:val="777A2655"/>
    <w:rsid w:val="777B50ED"/>
    <w:rsid w:val="77855513"/>
    <w:rsid w:val="779767A7"/>
    <w:rsid w:val="779773CD"/>
    <w:rsid w:val="77CD2A15"/>
    <w:rsid w:val="77D55B8F"/>
    <w:rsid w:val="77EB2CE1"/>
    <w:rsid w:val="77FA7033"/>
    <w:rsid w:val="77FE2FC7"/>
    <w:rsid w:val="78270FD8"/>
    <w:rsid w:val="782D385F"/>
    <w:rsid w:val="783A6F96"/>
    <w:rsid w:val="78462A11"/>
    <w:rsid w:val="78484242"/>
    <w:rsid w:val="784A356A"/>
    <w:rsid w:val="784D2D5B"/>
    <w:rsid w:val="785931B9"/>
    <w:rsid w:val="7859644F"/>
    <w:rsid w:val="785A4D5C"/>
    <w:rsid w:val="78616351"/>
    <w:rsid w:val="78782796"/>
    <w:rsid w:val="788621AC"/>
    <w:rsid w:val="789054C7"/>
    <w:rsid w:val="789C5CFA"/>
    <w:rsid w:val="78C778F6"/>
    <w:rsid w:val="78D13BAA"/>
    <w:rsid w:val="78D619D6"/>
    <w:rsid w:val="78DA27F1"/>
    <w:rsid w:val="78DA7A12"/>
    <w:rsid w:val="78F11324"/>
    <w:rsid w:val="78F261E6"/>
    <w:rsid w:val="78FD4563"/>
    <w:rsid w:val="79134850"/>
    <w:rsid w:val="79246910"/>
    <w:rsid w:val="792B6529"/>
    <w:rsid w:val="793573A6"/>
    <w:rsid w:val="793D4B95"/>
    <w:rsid w:val="794434AE"/>
    <w:rsid w:val="794F3F6B"/>
    <w:rsid w:val="7952069E"/>
    <w:rsid w:val="79746075"/>
    <w:rsid w:val="79A935A4"/>
    <w:rsid w:val="79B835CF"/>
    <w:rsid w:val="79BA52EC"/>
    <w:rsid w:val="79DC4A19"/>
    <w:rsid w:val="79DD4A9F"/>
    <w:rsid w:val="7A1A39BC"/>
    <w:rsid w:val="7A236943"/>
    <w:rsid w:val="7A3902E6"/>
    <w:rsid w:val="7A4B2C37"/>
    <w:rsid w:val="7A5944E4"/>
    <w:rsid w:val="7A6F5AB6"/>
    <w:rsid w:val="7A811ED9"/>
    <w:rsid w:val="7A926349"/>
    <w:rsid w:val="7A960256"/>
    <w:rsid w:val="7A997C6D"/>
    <w:rsid w:val="7AA31C03"/>
    <w:rsid w:val="7AAC6D0A"/>
    <w:rsid w:val="7AAE2C70"/>
    <w:rsid w:val="7AB642C6"/>
    <w:rsid w:val="7ABB238E"/>
    <w:rsid w:val="7AC21FB4"/>
    <w:rsid w:val="7ACD779E"/>
    <w:rsid w:val="7AEC7106"/>
    <w:rsid w:val="7B2442A2"/>
    <w:rsid w:val="7B305E36"/>
    <w:rsid w:val="7B33221E"/>
    <w:rsid w:val="7B4F484C"/>
    <w:rsid w:val="7B62561B"/>
    <w:rsid w:val="7B6A1F6E"/>
    <w:rsid w:val="7B86755B"/>
    <w:rsid w:val="7B89291D"/>
    <w:rsid w:val="7B8E5FF4"/>
    <w:rsid w:val="7B9300CC"/>
    <w:rsid w:val="7BA2735A"/>
    <w:rsid w:val="7BAA460B"/>
    <w:rsid w:val="7BD53ACF"/>
    <w:rsid w:val="7BD92135"/>
    <w:rsid w:val="7C0067A9"/>
    <w:rsid w:val="7C062606"/>
    <w:rsid w:val="7C0B048F"/>
    <w:rsid w:val="7C1032C9"/>
    <w:rsid w:val="7C305719"/>
    <w:rsid w:val="7C3B4C75"/>
    <w:rsid w:val="7C474F34"/>
    <w:rsid w:val="7C4B60B7"/>
    <w:rsid w:val="7C587E0F"/>
    <w:rsid w:val="7C666295"/>
    <w:rsid w:val="7C690A7E"/>
    <w:rsid w:val="7C6E4C43"/>
    <w:rsid w:val="7C75137E"/>
    <w:rsid w:val="7C831763"/>
    <w:rsid w:val="7C98667A"/>
    <w:rsid w:val="7CD2143C"/>
    <w:rsid w:val="7CD50349"/>
    <w:rsid w:val="7CD97B5E"/>
    <w:rsid w:val="7CE34539"/>
    <w:rsid w:val="7CE672A3"/>
    <w:rsid w:val="7CEC7D69"/>
    <w:rsid w:val="7CFD593C"/>
    <w:rsid w:val="7D07647A"/>
    <w:rsid w:val="7D1A7E38"/>
    <w:rsid w:val="7D4362E8"/>
    <w:rsid w:val="7D5661EE"/>
    <w:rsid w:val="7D684929"/>
    <w:rsid w:val="7D6E232C"/>
    <w:rsid w:val="7D8851DE"/>
    <w:rsid w:val="7D8B01F4"/>
    <w:rsid w:val="7D8E6354"/>
    <w:rsid w:val="7D95108A"/>
    <w:rsid w:val="7DA20A96"/>
    <w:rsid w:val="7DC50094"/>
    <w:rsid w:val="7DD722F0"/>
    <w:rsid w:val="7DE721F0"/>
    <w:rsid w:val="7DE74F88"/>
    <w:rsid w:val="7E0919B2"/>
    <w:rsid w:val="7E094DEB"/>
    <w:rsid w:val="7E227E81"/>
    <w:rsid w:val="7E2748F9"/>
    <w:rsid w:val="7E2C18CE"/>
    <w:rsid w:val="7E31282A"/>
    <w:rsid w:val="7E337887"/>
    <w:rsid w:val="7E350DC4"/>
    <w:rsid w:val="7E4B17E1"/>
    <w:rsid w:val="7E5078E5"/>
    <w:rsid w:val="7E5455BA"/>
    <w:rsid w:val="7E5A082B"/>
    <w:rsid w:val="7E6A57E5"/>
    <w:rsid w:val="7E7F2578"/>
    <w:rsid w:val="7E857B4C"/>
    <w:rsid w:val="7E8B414C"/>
    <w:rsid w:val="7E950EBC"/>
    <w:rsid w:val="7E9A0CA5"/>
    <w:rsid w:val="7EA412BC"/>
    <w:rsid w:val="7EE96104"/>
    <w:rsid w:val="7F0A04A3"/>
    <w:rsid w:val="7F170C58"/>
    <w:rsid w:val="7F221EE7"/>
    <w:rsid w:val="7F2D47DA"/>
    <w:rsid w:val="7F4D62ED"/>
    <w:rsid w:val="7F7553C9"/>
    <w:rsid w:val="7F7A329A"/>
    <w:rsid w:val="7F7D346F"/>
    <w:rsid w:val="7F7E3EBD"/>
    <w:rsid w:val="7F863260"/>
    <w:rsid w:val="7F930C38"/>
    <w:rsid w:val="7F9F508F"/>
    <w:rsid w:val="7FA77AA0"/>
    <w:rsid w:val="7FAA4765"/>
    <w:rsid w:val="7FB9626B"/>
    <w:rsid w:val="7FC95C68"/>
    <w:rsid w:val="7FD10E31"/>
    <w:rsid w:val="7FE63F6A"/>
    <w:rsid w:val="7FE64C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qFormat="1" w:unhideWhenUsed="0" w:uiPriority="99"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iPriority="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pacing w:line="360" w:lineRule="auto"/>
      <w:ind w:firstLine="964"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0"/>
    <w:pPr>
      <w:keepNext/>
      <w:keepLines/>
      <w:spacing w:beforeLines="0" w:beforeAutospacing="0" w:afterLines="0" w:afterAutospacing="0" w:line="360" w:lineRule="auto"/>
      <w:ind w:firstLine="0" w:firstLineChars="0"/>
      <w:jc w:val="center"/>
      <w:outlineLvl w:val="0"/>
    </w:pPr>
    <w:rPr>
      <w:rFonts w:ascii="Times New Roman" w:hAnsi="Times New Roman" w:eastAsia="宋体"/>
      <w:b/>
      <w:kern w:val="44"/>
      <w:sz w:val="32"/>
    </w:rPr>
  </w:style>
  <w:style w:type="character" w:default="1" w:styleId="17">
    <w:name w:val="Default Paragraph Font"/>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style>
  <w:style w:type="paragraph" w:styleId="4">
    <w:name w:val="List Number"/>
    <w:basedOn w:val="1"/>
    <w:qFormat/>
    <w:uiPriority w:val="0"/>
    <w:pPr>
      <w:numPr>
        <w:ilvl w:val="0"/>
        <w:numId w:val="1"/>
      </w:numPr>
    </w:pPr>
  </w:style>
  <w:style w:type="paragraph" w:styleId="5">
    <w:name w:val="Normal Indent"/>
    <w:basedOn w:val="1"/>
    <w:next w:val="1"/>
    <w:qFormat/>
    <w:uiPriority w:val="0"/>
    <w:pPr>
      <w:ind w:firstLine="420"/>
    </w:pPr>
    <w:rPr>
      <w:rFonts w:ascii="Times New Roman" w:hAnsi="Times New Roman" w:eastAsia="宋体" w:cs="Times New Roman"/>
      <w:snapToGrid w:val="0"/>
      <w:kern w:val="0"/>
    </w:rPr>
  </w:style>
  <w:style w:type="paragraph" w:styleId="6">
    <w:name w:val="annotation text"/>
    <w:basedOn w:val="1"/>
    <w:qFormat/>
    <w:uiPriority w:val="0"/>
    <w:pPr>
      <w:jc w:val="left"/>
    </w:pPr>
  </w:style>
  <w:style w:type="paragraph" w:styleId="7">
    <w:name w:val="Body Text"/>
    <w:basedOn w:val="1"/>
    <w:unhideWhenUsed/>
    <w:qFormat/>
    <w:uiPriority w:val="99"/>
    <w:pPr>
      <w:spacing w:line="240" w:lineRule="auto"/>
      <w:ind w:firstLine="0" w:firstLineChars="0"/>
      <w:jc w:val="center"/>
    </w:pPr>
    <w:rPr>
      <w:rFonts w:ascii="Times New Roman" w:hAnsi="Times New Roman" w:eastAsia="宋体"/>
    </w:rPr>
  </w:style>
  <w:style w:type="paragraph" w:styleId="8">
    <w:name w:val="footer"/>
    <w:basedOn w:val="1"/>
    <w:qFormat/>
    <w:uiPriority w:val="99"/>
    <w:pPr>
      <w:tabs>
        <w:tab w:val="center" w:pos="4153"/>
        <w:tab w:val="right" w:pos="8306"/>
      </w:tabs>
      <w:snapToGrid w:val="0"/>
      <w:jc w:val="left"/>
    </w:pPr>
    <w:rPr>
      <w:kern w:val="0"/>
      <w:sz w:val="18"/>
      <w:szCs w:val="20"/>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List"/>
    <w:basedOn w:val="1"/>
    <w:qFormat/>
    <w:uiPriority w:val="99"/>
    <w:pPr>
      <w:widowControl/>
      <w:spacing w:line="360" w:lineRule="auto"/>
    </w:pPr>
    <w:rPr>
      <w:rFonts w:ascii="宋体"/>
      <w:sz w:val="24"/>
    </w:rPr>
  </w:style>
  <w:style w:type="paragraph" w:styleId="12">
    <w:name w:val="Body Text Indent 3"/>
    <w:basedOn w:val="1"/>
    <w:semiHidden/>
    <w:unhideWhenUsed/>
    <w:qFormat/>
    <w:uiPriority w:val="0"/>
    <w:pPr>
      <w:spacing w:line="560" w:lineRule="exact"/>
      <w:ind w:firstLine="560" w:firstLineChars="200"/>
    </w:pPr>
    <w:rPr>
      <w:rFonts w:eastAsiaTheme="minorEastAsia" w:cstheme="minorBidi"/>
      <w:sz w:val="28"/>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4">
    <w:name w:val="Body Text First Indent"/>
    <w:basedOn w:val="7"/>
    <w:qFormat/>
    <w:uiPriority w:val="0"/>
    <w:pPr>
      <w:spacing w:after="120" w:line="240" w:lineRule="auto"/>
      <w:ind w:firstLine="420" w:firstLineChars="100"/>
    </w:pPr>
    <w:rPr>
      <w:rFonts w:eastAsia="宋体"/>
      <w:spacing w:val="0"/>
      <w:sz w:val="3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xl2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customStyle="1" w:styleId="19">
    <w:name w:val="Default"/>
    <w:basedOn w:val="20"/>
    <w:next w:val="1"/>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20">
    <w:name w:val="纯文本1"/>
    <w:basedOn w:val="1"/>
    <w:qFormat/>
    <w:uiPriority w:val="0"/>
    <w:rPr>
      <w:rFonts w:hint="eastAsia" w:ascii="宋体" w:hAnsi="Courier New"/>
    </w:rPr>
  </w:style>
  <w:style w:type="paragraph" w:customStyle="1" w:styleId="21">
    <w:name w:val="正文-标题"/>
    <w:basedOn w:val="1"/>
    <w:qFormat/>
    <w:uiPriority w:val="0"/>
    <w:pPr>
      <w:ind w:firstLine="720" w:firstLineChars="200"/>
    </w:pPr>
    <w:rPr>
      <w:rFonts w:ascii="Times New Roman" w:hAnsi="Times New Roman" w:eastAsia="宋体"/>
      <w:b/>
      <w:color w:val="auto"/>
      <w:u w:val="none" w:color="auto"/>
    </w:rPr>
  </w:style>
  <w:style w:type="paragraph" w:customStyle="1" w:styleId="22">
    <w:name w:val="正文-大多数内容"/>
    <w:basedOn w:val="1"/>
    <w:qFormat/>
    <w:uiPriority w:val="0"/>
    <w:pPr>
      <w:ind w:firstLine="720" w:firstLineChars="200"/>
      <w:jc w:val="both"/>
    </w:pPr>
    <w:rPr>
      <w:rFonts w:ascii="Times New Roman" w:hAnsi="Times New Roman" w:eastAsia="宋体"/>
      <w:color w:val="auto"/>
      <w:u w:val="none" w:color="auto"/>
    </w:rPr>
  </w:style>
  <w:style w:type="paragraph" w:customStyle="1" w:styleId="23">
    <w:name w:val="图标头"/>
    <w:basedOn w:val="1"/>
    <w:link w:val="25"/>
    <w:qFormat/>
    <w:uiPriority w:val="0"/>
    <w:pPr>
      <w:spacing w:line="240" w:lineRule="auto"/>
      <w:ind w:firstLine="0" w:firstLineChars="0"/>
      <w:jc w:val="center"/>
    </w:pPr>
    <w:rPr>
      <w:rFonts w:ascii="Times New Roman" w:hAnsi="Times New Roman" w:eastAsia="宋体"/>
      <w:b/>
      <w:color w:val="auto"/>
      <w:sz w:val="21"/>
      <w:u w:val="none" w:color="auto"/>
    </w:rPr>
  </w:style>
  <w:style w:type="paragraph" w:customStyle="1" w:styleId="24">
    <w:name w:val="表格"/>
    <w:basedOn w:val="5"/>
    <w:next w:val="1"/>
    <w:qFormat/>
    <w:uiPriority w:val="0"/>
    <w:pPr>
      <w:spacing w:line="240" w:lineRule="auto"/>
      <w:ind w:firstLine="0" w:firstLineChars="0"/>
      <w:jc w:val="center"/>
    </w:pPr>
    <w:rPr>
      <w:rFonts w:ascii="Times New Roman" w:hAnsi="Times New Roman"/>
      <w:color w:val="auto"/>
      <w:sz w:val="21"/>
      <w:u w:val="none" w:color="auto"/>
    </w:rPr>
  </w:style>
  <w:style w:type="character" w:customStyle="1" w:styleId="25">
    <w:name w:val="图标头 Char"/>
    <w:link w:val="23"/>
    <w:qFormat/>
    <w:uiPriority w:val="0"/>
    <w:rPr>
      <w:rFonts w:ascii="Times New Roman" w:hAnsi="Times New Roman" w:eastAsia="宋体"/>
      <w:b/>
      <w:color w:val="auto"/>
      <w:sz w:val="21"/>
      <w:u w:val="none" w:color="auto"/>
    </w:rPr>
  </w:style>
  <w:style w:type="paragraph" w:customStyle="1" w:styleId="26">
    <w:name w:val="报告书正文"/>
    <w:basedOn w:val="1"/>
    <w:qFormat/>
    <w:uiPriority w:val="0"/>
    <w:pPr>
      <w:widowControl/>
      <w:spacing w:line="300" w:lineRule="auto"/>
      <w:ind w:firstLine="200" w:firstLineChars="200"/>
      <w:jc w:val="left"/>
    </w:pPr>
    <w:rPr>
      <w:color w:val="000000"/>
    </w:rPr>
  </w:style>
  <w:style w:type="paragraph" w:customStyle="1" w:styleId="27">
    <w:name w:val="表中+"/>
    <w:basedOn w:val="28"/>
    <w:qFormat/>
    <w:uiPriority w:val="0"/>
    <w:pPr>
      <w:tabs>
        <w:tab w:val="left" w:pos="360"/>
        <w:tab w:val="left" w:pos="964"/>
      </w:tabs>
      <w:adjustRightInd w:val="0"/>
      <w:snapToGrid w:val="0"/>
      <w:spacing w:line="240" w:lineRule="auto"/>
      <w:ind w:left="0" w:firstLine="0"/>
      <w:jc w:val="center"/>
    </w:pPr>
    <w:rPr>
      <w:kern w:val="0"/>
      <w:sz w:val="21"/>
    </w:rPr>
  </w:style>
  <w:style w:type="paragraph" w:customStyle="1" w:styleId="28">
    <w:name w:val="列表2"/>
    <w:basedOn w:val="29"/>
    <w:qFormat/>
    <w:uiPriority w:val="0"/>
    <w:pPr>
      <w:tabs>
        <w:tab w:val="left" w:pos="360"/>
        <w:tab w:val="left" w:pos="964"/>
      </w:tabs>
      <w:adjustRightInd/>
      <w:spacing w:line="360" w:lineRule="auto"/>
    </w:pPr>
    <w:rPr>
      <w:sz w:val="24"/>
    </w:rPr>
  </w:style>
  <w:style w:type="paragraph" w:customStyle="1" w:styleId="29">
    <w:name w:val="样式 列表编号 + 行距: 最小值 12 磅"/>
    <w:basedOn w:val="4"/>
    <w:qFormat/>
    <w:uiPriority w:val="0"/>
    <w:pPr>
      <w:numPr>
        <w:ilvl w:val="0"/>
        <w:numId w:val="0"/>
      </w:numPr>
      <w:tabs>
        <w:tab w:val="left" w:pos="964"/>
      </w:tabs>
      <w:adjustRightInd w:val="0"/>
      <w:spacing w:line="240" w:lineRule="atLeast"/>
      <w:ind w:left="964" w:hanging="397"/>
      <w:textAlignment w:val="baseline"/>
    </w:pPr>
    <w:rPr>
      <w:rFonts w:cs="宋体"/>
      <w:sz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62</Pages>
  <Words>32094</Words>
  <Characters>36610</Characters>
  <Lines>1</Lines>
  <Paragraphs>1</Paragraphs>
  <TotalTime>21</TotalTime>
  <ScaleCrop>false</ScaleCrop>
  <LinksUpToDate>false</LinksUpToDate>
  <CharactersWithSpaces>36879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2024-07-30T08:07:00Z</dcterms:created>
  <dc:creator>Administrator</dc:creator>
  <cp:lastModifiedBy>浩然</cp:lastModifiedBy>
  <dcterms:modified xsi:type="dcterms:W3CDTF">2026-07-20T02:01:51Z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C3CEB6E2F30A4EF19F6BBC77C7A0DB80_13</vt:lpwstr>
  </property>
  <property fmtid="{D5CDD505-2E9C-101B-9397-08002B2CF9AE}" pid="4" name="KSOTemplateDocerSaveRecord">
    <vt:lpwstr>eyJoZGlkIjoiM2NkYTVlMDAyZTNiODViMzQ5OTE1NGM2ODJkN2NjMGEiLCJ1c2VySWQiOiI0Mjg4ODIwNjAifQ==</vt:lpwstr>
  </property>
</Properties>
</file>