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FD89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72"/>
          <w:szCs w:val="72"/>
        </w:rPr>
      </w:pPr>
    </w:p>
    <w:p w14:paraId="24EF1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kern w:val="0"/>
          <w:sz w:val="72"/>
          <w:szCs w:val="72"/>
        </w:rPr>
      </w:pPr>
      <w:r>
        <w:rPr>
          <w:rFonts w:hint="eastAsia" w:ascii="微软雅黑" w:hAnsi="微软雅黑" w:eastAsia="微软雅黑" w:cs="微软雅黑"/>
          <w:kern w:val="0"/>
          <w:sz w:val="72"/>
          <w:szCs w:val="72"/>
          <w:lang w:eastAsia="zh-CN"/>
        </w:rPr>
        <w:t>岳阳县道路运输服务中心2026年</w:t>
      </w:r>
      <w:r>
        <w:rPr>
          <w:rFonts w:hint="eastAsia" w:ascii="微软雅黑" w:hAnsi="微软雅黑" w:eastAsia="微软雅黑" w:cs="微软雅黑"/>
          <w:kern w:val="0"/>
          <w:sz w:val="72"/>
          <w:szCs w:val="72"/>
        </w:rPr>
        <w:t>度</w:t>
      </w:r>
      <w:r>
        <w:rPr>
          <w:rFonts w:hint="eastAsia" w:ascii="微软雅黑" w:hAnsi="微软雅黑" w:eastAsia="微软雅黑" w:cs="微软雅黑"/>
          <w:kern w:val="0"/>
          <w:sz w:val="72"/>
          <w:szCs w:val="72"/>
          <w:lang w:val="en-US" w:eastAsia="zh-CN"/>
        </w:rPr>
        <w:t>单位预算</w:t>
      </w:r>
    </w:p>
    <w:p w14:paraId="4789C91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</w:rPr>
      </w:pPr>
    </w:p>
    <w:p w14:paraId="5D1AC35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880" w:firstLineChars="200"/>
        <w:jc w:val="center"/>
        <w:textAlignment w:val="auto"/>
        <w:rPr>
          <w:rFonts w:hint="eastAsia"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目录</w:t>
      </w:r>
    </w:p>
    <w:p w14:paraId="129514D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643" w:firstLineChars="200"/>
        <w:textAlignment w:val="auto"/>
        <w:rPr>
          <w:rFonts w:ascii="仿宋_GB2312" w:eastAsia="仿宋_GB2312"/>
          <w:b/>
          <w:bCs/>
          <w:kern w:val="0"/>
          <w:sz w:val="32"/>
          <w:szCs w:val="32"/>
        </w:rPr>
      </w:pPr>
    </w:p>
    <w:p w14:paraId="501C1AD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 w:cs="黑体"/>
          <w:color w:val="auto"/>
          <w:kern w:val="0"/>
          <w:sz w:val="32"/>
          <w:szCs w:val="32"/>
        </w:rPr>
      </w:pPr>
      <w:r>
        <w:rPr>
          <w:rFonts w:hint="eastAsia" w:eastAsia="黑体" w:cs="黑体"/>
          <w:color w:val="auto"/>
          <w:kern w:val="0"/>
          <w:sz w:val="32"/>
          <w:szCs w:val="32"/>
        </w:rPr>
        <w:t>第一部分</w:t>
      </w:r>
      <w:r>
        <w:rPr>
          <w:rFonts w:hint="eastAsia" w:eastAsia="黑体" w:cs="黑体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 w:cs="黑体"/>
          <w:color w:val="auto"/>
          <w:kern w:val="0"/>
          <w:sz w:val="32"/>
          <w:szCs w:val="32"/>
          <w:lang w:eastAsia="zh-CN"/>
        </w:rPr>
        <w:t>2026年</w:t>
      </w:r>
      <w:r>
        <w:rPr>
          <w:rFonts w:hint="eastAsia" w:eastAsia="黑体" w:cs="黑体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eastAsia="黑体" w:cs="黑体"/>
          <w:color w:val="auto"/>
          <w:kern w:val="0"/>
          <w:sz w:val="32"/>
          <w:szCs w:val="32"/>
          <w:lang w:eastAsia="zh-CN"/>
        </w:rPr>
        <w:t>预算</w:t>
      </w:r>
      <w:r>
        <w:rPr>
          <w:rFonts w:hint="eastAsia" w:eastAsia="黑体" w:cs="黑体"/>
          <w:color w:val="auto"/>
          <w:kern w:val="0"/>
          <w:sz w:val="32"/>
          <w:szCs w:val="32"/>
        </w:rPr>
        <w:t>说明</w:t>
      </w:r>
    </w:p>
    <w:p w14:paraId="075C49A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 w:cs="黑体"/>
          <w:kern w:val="0"/>
          <w:sz w:val="32"/>
          <w:szCs w:val="32"/>
        </w:rPr>
      </w:pPr>
      <w:r>
        <w:rPr>
          <w:rFonts w:hint="eastAsia" w:eastAsia="黑体" w:cs="黑体"/>
          <w:kern w:val="0"/>
          <w:sz w:val="32"/>
          <w:szCs w:val="32"/>
        </w:rPr>
        <w:t>第二部分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 xml:space="preserve">  单位</w:t>
      </w:r>
      <w:r>
        <w:rPr>
          <w:rFonts w:hint="eastAsia" w:eastAsia="黑体" w:cs="黑体"/>
          <w:kern w:val="0"/>
          <w:sz w:val="32"/>
          <w:szCs w:val="32"/>
          <w:lang w:eastAsia="zh-CN"/>
        </w:rPr>
        <w:t>预算</w:t>
      </w:r>
      <w:r>
        <w:rPr>
          <w:rFonts w:hint="eastAsia" w:eastAsia="黑体" w:cs="黑体"/>
          <w:kern w:val="0"/>
          <w:sz w:val="32"/>
          <w:szCs w:val="32"/>
        </w:rPr>
        <w:t>公开表格</w:t>
      </w:r>
    </w:p>
    <w:p w14:paraId="4C2622A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1、收支总表</w:t>
      </w:r>
    </w:p>
    <w:p w14:paraId="3E2003A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2、收入总表</w:t>
      </w:r>
    </w:p>
    <w:p w14:paraId="4F63F79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3、支出总表</w:t>
      </w:r>
    </w:p>
    <w:p w14:paraId="16F75327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4、支出预算分类汇总表（按政府预算经济分类）</w:t>
      </w:r>
    </w:p>
    <w:p w14:paraId="7149FE4A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5、支出预算分类汇总表（按部门预算经济分类）</w:t>
      </w:r>
    </w:p>
    <w:p w14:paraId="14C11B8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6、财政拨款收支总表</w:t>
      </w:r>
    </w:p>
    <w:p w14:paraId="146FBBF9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7、一般公共预算支出表</w:t>
      </w:r>
    </w:p>
    <w:p w14:paraId="5F9E53A2">
      <w:pPr>
        <w:widowControl/>
        <w:spacing w:line="600" w:lineRule="exact"/>
        <w:ind w:firstLine="640" w:firstLineChars="200"/>
        <w:jc w:val="left"/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一般公共预算基本支出表</w:t>
      </w:r>
    </w:p>
    <w:p w14:paraId="60B9626F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、一般公共预算基本支出表-人员经费（工资福利支出）（按政府预算经济分类）</w:t>
      </w:r>
    </w:p>
    <w:p w14:paraId="59FF09D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、一般公共预算基本支出表-人员经费（工资福利支出）（按部门预算经济分类）</w:t>
      </w:r>
    </w:p>
    <w:p w14:paraId="5CF7D87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、一般公共预算基本支出表-人员经费（对个人和家庭的补助）（按政府预算经济分类）</w:t>
      </w:r>
    </w:p>
    <w:p w14:paraId="7A1B2991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、一般公共预算基本支出表-人员经费（对个人和家庭的补助）（按部门预算经济分类）</w:t>
      </w:r>
    </w:p>
    <w:p w14:paraId="350AD3E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、一般公共预算基本支出表-</w:t>
      </w:r>
      <w:r>
        <w:rPr>
          <w:rFonts w:hint="eastAsia" w:eastAsia="仿宋_GB2312"/>
          <w:sz w:val="32"/>
          <w:szCs w:val="32"/>
          <w:lang w:eastAsia="zh-CN"/>
        </w:rPr>
        <w:t>公用</w:t>
      </w:r>
      <w:r>
        <w:rPr>
          <w:rFonts w:eastAsia="仿宋_GB2312"/>
          <w:sz w:val="32"/>
          <w:szCs w:val="32"/>
        </w:rPr>
        <w:t>经费（商品和服务支出）（按政府预算经济分类）</w:t>
      </w:r>
    </w:p>
    <w:p w14:paraId="72A806B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、一般公共预算基本支出表-</w:t>
      </w:r>
      <w:r>
        <w:rPr>
          <w:rFonts w:hint="eastAsia" w:eastAsia="仿宋_GB2312"/>
          <w:sz w:val="32"/>
          <w:szCs w:val="32"/>
          <w:lang w:eastAsia="zh-CN"/>
        </w:rPr>
        <w:t>公用</w:t>
      </w:r>
      <w:r>
        <w:rPr>
          <w:rFonts w:eastAsia="仿宋_GB2312"/>
          <w:sz w:val="32"/>
          <w:szCs w:val="32"/>
        </w:rPr>
        <w:t>经费（商品和服务支出）（按部门预算经济分类）</w:t>
      </w:r>
    </w:p>
    <w:p w14:paraId="0602F7A5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、一般公共预算“三公”经费支出表</w:t>
      </w:r>
    </w:p>
    <w:p w14:paraId="51DE0AD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、政府性基金预算支出表</w:t>
      </w:r>
    </w:p>
    <w:p w14:paraId="0B2572DE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、政府性基金预算支出分类汇总表（按政府预算经济分类）</w:t>
      </w:r>
    </w:p>
    <w:p w14:paraId="3F023D1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、政府性基金预算支出分类汇总表（按部门预算经济分类）</w:t>
      </w:r>
    </w:p>
    <w:p w14:paraId="0F80D80B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>、国有资本经营预算支出表</w:t>
      </w:r>
    </w:p>
    <w:p w14:paraId="4FDB7AFC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</w:t>
      </w:r>
      <w:r>
        <w:rPr>
          <w:rFonts w:eastAsia="仿宋_GB2312"/>
          <w:sz w:val="32"/>
          <w:szCs w:val="32"/>
        </w:rPr>
        <w:t>、财政专户管理资金预算支出表</w:t>
      </w:r>
    </w:p>
    <w:p w14:paraId="2864D030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、专项资金预算汇总表</w:t>
      </w:r>
    </w:p>
    <w:p w14:paraId="691CD3C7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项目支出</w:t>
      </w:r>
      <w:r>
        <w:rPr>
          <w:rFonts w:eastAsia="仿宋_GB2312"/>
          <w:sz w:val="32"/>
          <w:szCs w:val="32"/>
        </w:rPr>
        <w:t>绩效目标表</w:t>
      </w:r>
    </w:p>
    <w:p w14:paraId="0DB85332">
      <w:pPr>
        <w:widowControl/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、部门整体支出绩效目标表</w:t>
      </w:r>
    </w:p>
    <w:p w14:paraId="1C645262">
      <w:pPr>
        <w:widowControl/>
        <w:spacing w:line="600" w:lineRule="exact"/>
        <w:ind w:firstLine="643" w:firstLineChars="200"/>
        <w:rPr>
          <w:rFonts w:hint="eastAsia" w:eastAsia="仿宋_GB2312" w:cs="仿宋_GB2312"/>
          <w:color w:val="FF0000"/>
          <w:kern w:val="0"/>
          <w:sz w:val="32"/>
          <w:szCs w:val="32"/>
        </w:rPr>
      </w:pPr>
      <w:r>
        <w:rPr>
          <w:rFonts w:eastAsia="仿宋_GB2312"/>
          <w:b/>
          <w:bCs w:val="0"/>
          <w:color w:val="FF0000"/>
          <w:kern w:val="0"/>
          <w:sz w:val="32"/>
          <w:szCs w:val="32"/>
        </w:rPr>
        <w:t>注：以上</w:t>
      </w:r>
      <w:r>
        <w:rPr>
          <w:rFonts w:hint="eastAsia" w:eastAsia="仿宋_GB2312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b/>
          <w:bCs w:val="0"/>
          <w:color w:val="FF0000"/>
          <w:kern w:val="0"/>
          <w:sz w:val="32"/>
          <w:szCs w:val="32"/>
          <w:lang w:eastAsia="zh-CN"/>
        </w:rPr>
        <w:t>预算</w:t>
      </w:r>
      <w:r>
        <w:rPr>
          <w:rFonts w:hint="eastAsia" w:eastAsia="仿宋_GB2312"/>
          <w:b/>
          <w:bCs w:val="0"/>
          <w:color w:val="FF0000"/>
          <w:kern w:val="0"/>
          <w:sz w:val="32"/>
          <w:szCs w:val="32"/>
          <w:lang w:val="en-US" w:eastAsia="zh-CN"/>
        </w:rPr>
        <w:t>公开</w:t>
      </w:r>
      <w:r>
        <w:rPr>
          <w:rFonts w:eastAsia="仿宋_GB2312"/>
          <w:b/>
          <w:bCs w:val="0"/>
          <w:color w:val="FF0000"/>
          <w:kern w:val="0"/>
          <w:sz w:val="32"/>
          <w:szCs w:val="32"/>
        </w:rPr>
        <w:t>报表中，空表表示本</w:t>
      </w:r>
      <w:r>
        <w:rPr>
          <w:rFonts w:hint="eastAsia" w:eastAsia="仿宋_GB2312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eastAsia="仿宋_GB2312"/>
          <w:b/>
          <w:bCs w:val="0"/>
          <w:color w:val="FF0000"/>
          <w:kern w:val="0"/>
          <w:sz w:val="32"/>
          <w:szCs w:val="32"/>
        </w:rPr>
        <w:t>无相关收支情况。</w:t>
      </w:r>
    </w:p>
    <w:p w14:paraId="0A481E9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eastAsia="黑体" w:cs="黑体"/>
          <w:kern w:val="0"/>
          <w:sz w:val="32"/>
          <w:szCs w:val="32"/>
        </w:rPr>
      </w:pPr>
      <w:r>
        <w:rPr>
          <w:rFonts w:hint="eastAsia" w:eastAsia="黑体" w:cs="黑体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2026年单位预算</w:t>
      </w:r>
      <w:r>
        <w:rPr>
          <w:rFonts w:hint="eastAsia" w:ascii="黑体" w:hAnsi="黑体" w:eastAsia="黑体" w:cs="黑体"/>
          <w:kern w:val="0"/>
          <w:sz w:val="32"/>
          <w:szCs w:val="32"/>
        </w:rPr>
        <w:t>说明</w:t>
      </w:r>
    </w:p>
    <w:p w14:paraId="251EFFD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</w:p>
    <w:p w14:paraId="3DD49BB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kern w:val="0"/>
          <w:sz w:val="32"/>
          <w:szCs w:val="32"/>
        </w:rPr>
        <w:t>基本概况</w:t>
      </w:r>
    </w:p>
    <w:p w14:paraId="72A04E4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（一）职能职责</w:t>
      </w:r>
    </w:p>
    <w:p w14:paraId="0886A5C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ascii="仿宋" w:hAnsi="仿宋" w:eastAsia="仿宋" w:cs="Segoe UI"/>
          <w:color w:val="333333"/>
          <w:sz w:val="32"/>
          <w:szCs w:val="32"/>
          <w:shd w:val="clear" w:color="auto" w:fill="FFFFFF"/>
        </w:rPr>
        <w:t>主管全县道路运输工作，对道路运输行业实施行业管理，维护运输行业安全和市场秩序；监管道路客货运输，运输站场，汽车维修，驾驶员培训以及运输服务。</w:t>
      </w:r>
    </w:p>
    <w:p w14:paraId="47E30E4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（二）机构设置</w:t>
      </w:r>
    </w:p>
    <w:p w14:paraId="3F585605">
      <w:pPr>
        <w:widowControl/>
        <w:spacing w:line="600" w:lineRule="exact"/>
        <w:ind w:firstLine="640" w:firstLineChars="200"/>
        <w:rPr>
          <w:rFonts w:hint="eastAsia"/>
          <w:lang w:eastAsia="zh-CN"/>
        </w:rPr>
      </w:pP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岳阳县道路运输服务中心单位内设机构包括:办公室、财务室、汽驾办、站场办、人事股、监察室、交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管站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等</w:t>
      </w:r>
      <w:r>
        <w:rPr>
          <w:rFonts w:ascii="仿宋" w:hAnsi="仿宋" w:eastAsia="仿宋" w:cs="Segoe UI"/>
          <w:color w:val="333333"/>
          <w:sz w:val="32"/>
          <w:szCs w:val="32"/>
          <w:shd w:val="clear" w:color="auto" w:fill="FFFFFF"/>
        </w:rPr>
        <w:t>。</w:t>
      </w:r>
    </w:p>
    <w:p w14:paraId="339304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黑体"/>
          <w:kern w:val="0"/>
          <w:sz w:val="32"/>
          <w:szCs w:val="32"/>
        </w:rPr>
        <w:t>收支总体情况</w:t>
      </w:r>
    </w:p>
    <w:p w14:paraId="715606D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（一）收入预算</w:t>
      </w:r>
    </w:p>
    <w:p w14:paraId="483333E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包括一般公共预算、政府性基金、国有资本经营预算等财政拨款收入，以及经营收入、事业收入等单位资金。2026年本单位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收入预算666.50万元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，其中，一般公共预算拨款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666.50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万元，国有资本经营预算拨款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万元，财政专户管理资金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万元，上级补助收入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万元，事业单位经营收入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万元，上年结转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万元。收入较去年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减少456.26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万元，主要是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因为机构改革人员调出。</w:t>
      </w:r>
    </w:p>
    <w:p w14:paraId="7CDA85C9">
      <w:pPr>
        <w:widowControl/>
        <w:spacing w:line="600" w:lineRule="exact"/>
        <w:ind w:firstLine="630" w:firstLineChars="196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（二）支出预算</w:t>
      </w:r>
    </w:p>
    <w:p w14:paraId="49A4018D">
      <w:pPr>
        <w:widowControl/>
        <w:spacing w:line="600" w:lineRule="exact"/>
        <w:ind w:firstLine="627" w:firstLineChars="196"/>
        <w:jc w:val="left"/>
        <w:rPr>
          <w:rFonts w:hint="eastAsia" w:eastAsia="仿宋" w:cs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2026年本单位</w:t>
      </w:r>
      <w:r>
        <w:rPr>
          <w:rFonts w:eastAsia="仿宋_GB2312"/>
          <w:sz w:val="32"/>
          <w:szCs w:val="32"/>
        </w:rPr>
        <w:t>支出预算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666.50</w:t>
      </w:r>
      <w:r>
        <w:rPr>
          <w:rFonts w:eastAsia="仿宋_GB2312"/>
          <w:sz w:val="32"/>
          <w:szCs w:val="32"/>
        </w:rPr>
        <w:t>万元，其中，一般公共服务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eastAsia="仿宋_GB2312"/>
          <w:sz w:val="32"/>
          <w:szCs w:val="32"/>
        </w:rPr>
        <w:t>万元，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社会保障和就业支出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val="en-US" w:eastAsia="zh-CN"/>
        </w:rPr>
        <w:t>35.42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万元，卫生健康支出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val="en-US" w:eastAsia="zh-CN"/>
        </w:rPr>
        <w:t>19.79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万元，交通运输支出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val="en-US" w:eastAsia="zh-CN"/>
        </w:rPr>
        <w:t>586.28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万元，住房保障支出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val="en-US" w:eastAsia="zh-CN"/>
        </w:rPr>
        <w:t>25.00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</w:rPr>
        <w:t>万元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支出较</w:t>
      </w:r>
      <w:r>
        <w:rPr>
          <w:rFonts w:hint="eastAsia" w:eastAsia="仿宋_GB2312"/>
          <w:sz w:val="32"/>
          <w:szCs w:val="32"/>
          <w:lang w:eastAsia="zh-CN"/>
        </w:rPr>
        <w:t>去年减少</w:t>
      </w:r>
      <w:r>
        <w:rPr>
          <w:rFonts w:hint="eastAsia" w:eastAsia="仿宋_GB2312"/>
          <w:sz w:val="32"/>
          <w:szCs w:val="32"/>
          <w:lang w:val="en-US" w:eastAsia="zh-CN"/>
        </w:rPr>
        <w:t>456.26</w:t>
      </w:r>
      <w:r>
        <w:rPr>
          <w:rFonts w:hint="eastAsia" w:eastAsia="仿宋_GB2312"/>
          <w:sz w:val="32"/>
          <w:szCs w:val="32"/>
          <w:lang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其中基本支出减少</w:t>
      </w:r>
      <w:r>
        <w:rPr>
          <w:rFonts w:hint="eastAsia" w:eastAsia="仿宋_GB2312"/>
          <w:sz w:val="32"/>
          <w:szCs w:val="32"/>
          <w:lang w:val="en-US" w:eastAsia="zh-CN"/>
        </w:rPr>
        <w:t>269.45</w:t>
      </w:r>
      <w:r>
        <w:rPr>
          <w:rFonts w:hint="eastAsia" w:eastAsia="仿宋_GB2312"/>
          <w:sz w:val="32"/>
          <w:szCs w:val="32"/>
          <w:lang w:eastAsia="zh-CN"/>
        </w:rPr>
        <w:t>万元，项目支出减少</w:t>
      </w:r>
      <w:r>
        <w:rPr>
          <w:rFonts w:hint="eastAsia" w:eastAsia="仿宋_GB2312"/>
          <w:sz w:val="32"/>
          <w:szCs w:val="32"/>
          <w:lang w:val="en-US" w:eastAsia="zh-CN"/>
        </w:rPr>
        <w:t>186.81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/>
          <w:sz w:val="32"/>
          <w:szCs w:val="32"/>
          <w:lang w:eastAsia="zh-CN"/>
        </w:rPr>
        <w:t>其中基本支出较上年减少</w:t>
      </w:r>
      <w:r>
        <w:rPr>
          <w:rFonts w:hint="eastAsia" w:eastAsia="仿宋_GB2312"/>
          <w:sz w:val="32"/>
          <w:szCs w:val="32"/>
          <w:lang w:eastAsia="zh-CN"/>
        </w:rPr>
        <w:t>主要是</w:t>
      </w:r>
      <w:r>
        <w:rPr>
          <w:rFonts w:hint="eastAsia" w:eastAsia="仿宋_GB2312"/>
          <w:sz w:val="32"/>
          <w:szCs w:val="32"/>
          <w:lang w:val="en-US" w:eastAsia="zh-CN"/>
        </w:rPr>
        <w:t>因为人员改革调出一部分</w:t>
      </w:r>
      <w:bookmarkStart w:id="0" w:name="_GoBack"/>
      <w:bookmarkEnd w:id="0"/>
      <w:r>
        <w:rPr>
          <w:rFonts w:hint="eastAsia" w:eastAsia="仿宋_GB2312"/>
          <w:sz w:val="32"/>
          <w:szCs w:val="32"/>
          <w:lang w:val="en-US" w:eastAsia="zh-CN"/>
        </w:rPr>
        <w:t>职工至其他单位</w:t>
      </w:r>
      <w:r>
        <w:rPr>
          <w:rFonts w:hint="eastAsia" w:eastAsia="仿宋_GB2312"/>
          <w:sz w:val="32"/>
          <w:szCs w:val="32"/>
          <w:lang w:eastAsia="zh-CN"/>
        </w:rPr>
        <w:t>，项目支出减少</w:t>
      </w:r>
      <w:r>
        <w:rPr>
          <w:rFonts w:hint="eastAsia" w:eastAsia="仿宋_GB2312"/>
          <w:sz w:val="32"/>
          <w:szCs w:val="32"/>
          <w:lang w:val="en-US" w:eastAsia="zh-CN"/>
        </w:rPr>
        <w:t>主要是</w:t>
      </w:r>
      <w:r>
        <w:rPr>
          <w:rFonts w:hint="eastAsia" w:eastAsia="仿宋_GB2312"/>
          <w:sz w:val="32"/>
          <w:szCs w:val="32"/>
          <w:lang w:eastAsia="zh-CN"/>
        </w:rPr>
        <w:t>因为</w:t>
      </w:r>
      <w:r>
        <w:rPr>
          <w:rFonts w:hint="eastAsia" w:eastAsia="仿宋_GB2312"/>
          <w:sz w:val="32"/>
          <w:szCs w:val="32"/>
          <w:lang w:val="en-US" w:eastAsia="zh-CN"/>
        </w:rPr>
        <w:t>机构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改革人员调出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。</w:t>
      </w:r>
    </w:p>
    <w:p w14:paraId="1E86AB1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kern w:val="0"/>
          <w:sz w:val="32"/>
          <w:szCs w:val="32"/>
        </w:rPr>
        <w:t>一般公共预算拨款支出预算</w:t>
      </w:r>
    </w:p>
    <w:p w14:paraId="48BE7B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2026年</w:t>
      </w:r>
      <w:r>
        <w:rPr>
          <w:rFonts w:hint="eastAsia" w:eastAsia="仿宋_GB2312" w:cs="仿宋_GB2312"/>
          <w:kern w:val="0"/>
          <w:sz w:val="32"/>
          <w:szCs w:val="32"/>
        </w:rPr>
        <w:t>一般公共预算拨款支出预算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666.50</w:t>
      </w:r>
      <w:r>
        <w:rPr>
          <w:rFonts w:hint="eastAsia" w:eastAsia="仿宋_GB2312" w:cs="仿宋_GB2312"/>
          <w:kern w:val="0"/>
          <w:sz w:val="32"/>
          <w:szCs w:val="32"/>
        </w:rPr>
        <w:t>万元，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其中，一般公共服务支出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万元，占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%；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社会保障和就业支出35.42万元，占5.32%，卫生健康支出19.79万元，占2.97%，交通运输支出586.28，占87.96%，住房保障支出25万元，占3.75%。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具体安排情况如下：</w:t>
      </w:r>
    </w:p>
    <w:p w14:paraId="3172666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</w:rPr>
        <w:t>（一）基本支出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：2026年基本支出年初预算数为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382.50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万元，是指为保障单位机构正常运转、完成日常工作任务而发生的各项支出，包括用于基本工资、津贴补贴等人员经费以及办公费、印刷费、水电费、差旅费等日常公用经费。</w:t>
      </w:r>
    </w:p>
    <w:p w14:paraId="22CBED26">
      <w:pPr>
        <w:widowControl/>
        <w:spacing w:line="600" w:lineRule="exact"/>
        <w:ind w:firstLine="66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</w:rPr>
        <w:t>（二）项目支出：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2026年</w:t>
      </w:r>
      <w:r>
        <w:rPr>
          <w:rFonts w:hint="eastAsia" w:eastAsia="仿宋_GB2312" w:cs="仿宋_GB2312"/>
          <w:kern w:val="0"/>
          <w:sz w:val="32"/>
          <w:szCs w:val="32"/>
        </w:rPr>
        <w:t>项目支出年初预算数为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284.00</w:t>
      </w:r>
      <w:r>
        <w:rPr>
          <w:rFonts w:hint="eastAsia" w:eastAsia="仿宋_GB2312" w:cs="仿宋_GB2312"/>
          <w:kern w:val="0"/>
          <w:sz w:val="32"/>
          <w:szCs w:val="32"/>
        </w:rPr>
        <w:t>万元，是指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 w:cs="仿宋_GB2312"/>
          <w:kern w:val="0"/>
          <w:sz w:val="32"/>
          <w:szCs w:val="32"/>
        </w:rPr>
        <w:t>为完成特定行政工作任务或事业发展目标而发生的支出，包括有关业务工作经费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</w:rPr>
        <w:t>运行维护经费</w:t>
      </w:r>
      <w:r>
        <w:rPr>
          <w:rFonts w:hint="eastAsia" w:eastAsia="仿宋_GB2312"/>
          <w:sz w:val="32"/>
          <w:szCs w:val="32"/>
          <w:lang w:val="en-US" w:eastAsia="zh-CN"/>
        </w:rPr>
        <w:t>等</w:t>
      </w:r>
      <w:r>
        <w:rPr>
          <w:rFonts w:hint="eastAsia" w:eastAsia="仿宋_GB2312"/>
          <w:sz w:val="32"/>
          <w:szCs w:val="32"/>
        </w:rPr>
        <w:t>。其中：业务工作经费支出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284.00</w:t>
      </w:r>
      <w:r>
        <w:rPr>
          <w:rFonts w:hint="eastAsia" w:eastAsia="仿宋_GB2312"/>
          <w:sz w:val="32"/>
          <w:szCs w:val="32"/>
        </w:rPr>
        <w:t>万元，主要用于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道路运输整、招呼站维修</w:t>
      </w:r>
      <w:r>
        <w:rPr>
          <w:rFonts w:hint="eastAsia" w:eastAsia="仿宋_GB2312"/>
          <w:sz w:val="32"/>
          <w:szCs w:val="32"/>
        </w:rPr>
        <w:t>等方面；运行维护经费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万元。</w:t>
      </w:r>
    </w:p>
    <w:p w14:paraId="697B02E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、政府性基金预算支出</w:t>
      </w:r>
    </w:p>
    <w:p w14:paraId="7FA3DEF6">
      <w:pPr>
        <w:widowControl/>
        <w:spacing w:line="600" w:lineRule="exact"/>
        <w:ind w:firstLine="640" w:firstLineChars="200"/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年度本单位无政府性基金安排的支出，所以公开的附件16-18（政府性基金预算）为空。</w:t>
      </w:r>
    </w:p>
    <w:p w14:paraId="4E78AC9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、其他重要事项的情况说明</w:t>
      </w:r>
    </w:p>
    <w:p w14:paraId="2DCCAF0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（一）机关运行经费</w:t>
      </w:r>
    </w:p>
    <w:p w14:paraId="77BC914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本单位2026年</w:t>
      </w:r>
      <w:r>
        <w:rPr>
          <w:rFonts w:hint="eastAsia" w:eastAsia="仿宋_GB2312" w:cs="仿宋_GB2312"/>
          <w:kern w:val="0"/>
          <w:sz w:val="32"/>
          <w:szCs w:val="32"/>
        </w:rPr>
        <w:t>机关运行经费当年一般公共预算拨款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51.78</w:t>
      </w:r>
      <w:r>
        <w:rPr>
          <w:rFonts w:hint="eastAsia" w:eastAsia="仿宋_GB2312" w:cs="仿宋_GB2312"/>
          <w:kern w:val="0"/>
          <w:sz w:val="32"/>
          <w:szCs w:val="32"/>
        </w:rPr>
        <w:t>万元，比</w:t>
      </w:r>
      <w:r>
        <w:rPr>
          <w:rFonts w:hint="eastAsia" w:eastAsia="仿宋_GB2312"/>
          <w:kern w:val="0"/>
          <w:sz w:val="32"/>
          <w:szCs w:val="32"/>
          <w:lang w:eastAsia="zh-CN"/>
        </w:rPr>
        <w:t>上一年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46.32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万元，减少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47.21</w:t>
      </w:r>
      <w:r>
        <w:rPr>
          <w:rFonts w:eastAsia="仿宋_GB2312"/>
          <w:kern w:val="0"/>
          <w:sz w:val="32"/>
          <w:szCs w:val="32"/>
        </w:rPr>
        <w:t>%</w:t>
      </w:r>
      <w:r>
        <w:rPr>
          <w:rFonts w:hint="eastAsia" w:eastAsia="仿宋_GB2312" w:cs="仿宋_GB2312"/>
          <w:kern w:val="0"/>
          <w:sz w:val="32"/>
          <w:szCs w:val="32"/>
        </w:rPr>
        <w:t>。主要原因是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机构改革人员调出。</w:t>
      </w:r>
    </w:p>
    <w:p w14:paraId="641153C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（二）“三公”经费预算</w:t>
      </w:r>
    </w:p>
    <w:p w14:paraId="0F050BD8">
      <w:pPr>
        <w:widowControl/>
        <w:spacing w:line="600" w:lineRule="exact"/>
        <w:ind w:firstLine="640" w:firstLineChars="200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本单位2026年</w:t>
      </w:r>
      <w:r>
        <w:rPr>
          <w:rFonts w:hint="eastAsia" w:eastAsia="仿宋_GB2312" w:cs="仿宋_GB2312"/>
          <w:kern w:val="0"/>
          <w:sz w:val="32"/>
          <w:szCs w:val="32"/>
        </w:rPr>
        <w:t>“三公”经费预算数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万元，其中，公务接待费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万元，因公出国（境）费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万元，公务用车购置及运行费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kern w:val="0"/>
          <w:sz w:val="32"/>
          <w:szCs w:val="32"/>
        </w:rPr>
        <w:t>其中公务用车购置费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万元，公务用车运行费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万元。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跟</w:t>
      </w:r>
      <w:r>
        <w:rPr>
          <w:rFonts w:hint="eastAsia" w:eastAsia="仿宋_GB2312"/>
          <w:kern w:val="0"/>
          <w:sz w:val="32"/>
          <w:szCs w:val="32"/>
          <w:lang w:eastAsia="zh-CN"/>
        </w:rPr>
        <w:t>上一年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相同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 w:cs="仿宋_GB2312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Segoe UI"/>
          <w:color w:val="333333"/>
          <w:sz w:val="32"/>
          <w:szCs w:val="32"/>
          <w:shd w:val="clear" w:color="auto" w:fill="FFFFFF"/>
          <w:lang w:eastAsia="zh-CN"/>
        </w:rPr>
        <w:t>缩紧日子，厉行节约。</w:t>
      </w:r>
    </w:p>
    <w:p w14:paraId="0F1F139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（三）一般性支出情况</w:t>
      </w:r>
    </w:p>
    <w:p w14:paraId="399D3C5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本单位202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年会议费预算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万元，拟召开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次会议，人数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人；培训费预算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万元，拟开展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次培训，人数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人；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2026年度本单位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未计划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安排会议、培训，未计划</w:t>
      </w:r>
      <w:r>
        <w:rPr>
          <w:rFonts w:hint="eastAsia" w:ascii="仿宋" w:hAnsi="仿宋" w:eastAsia="仿宋" w:cs="Segoe UI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举办节庆、晚会、论坛、赛事活动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 w14:paraId="5A741AE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（四）政府采购情况</w:t>
      </w:r>
    </w:p>
    <w:p w14:paraId="5214B1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3216DC"/>
          <w:kern w:val="0"/>
          <w:sz w:val="32"/>
          <w:szCs w:val="32"/>
          <w:lang w:eastAsia="zh-CN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2026年度本单位未安排政府采购预算。</w:t>
      </w:r>
    </w:p>
    <w:p w14:paraId="02327D4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（五）国有资产占有使用及新增资产配置情况</w:t>
      </w:r>
    </w:p>
    <w:p w14:paraId="5AA8EE2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</w:rPr>
      </w:pPr>
      <w:r>
        <w:rPr>
          <w:rFonts w:hint="eastAsia" w:eastAsia="仿宋_GB2312" w:cs="仿宋_GB2312"/>
          <w:color w:val="auto"/>
          <w:kern w:val="0"/>
          <w:sz w:val="32"/>
          <w:szCs w:val="32"/>
        </w:rPr>
        <w:t>截至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上一年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12月底，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本单位</w:t>
      </w:r>
      <w:r>
        <w:rPr>
          <w:rFonts w:hint="eastAsia" w:eastAsia="仿宋_GB2312" w:cs="仿宋_GB2312"/>
          <w:color w:val="auto"/>
          <w:kern w:val="0"/>
          <w:sz w:val="32"/>
          <w:szCs w:val="32"/>
        </w:rPr>
        <w:t>共有车</w:t>
      </w:r>
      <w:r>
        <w:rPr>
          <w:rFonts w:hint="eastAsia" w:eastAsia="仿宋_GB2312" w:cs="仿宋_GB2312"/>
          <w:kern w:val="0"/>
          <w:sz w:val="32"/>
          <w:szCs w:val="32"/>
        </w:rPr>
        <w:t>辆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辆，其中领导干部用车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辆，一般公务用车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辆，其他用车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辆。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 w:cs="仿宋_GB2312"/>
          <w:kern w:val="0"/>
          <w:sz w:val="32"/>
          <w:szCs w:val="32"/>
        </w:rPr>
        <w:t>价值50万元以上通用设备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台，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 w:cs="仿宋_GB2312"/>
          <w:kern w:val="0"/>
          <w:sz w:val="32"/>
          <w:szCs w:val="32"/>
        </w:rPr>
        <w:t>价值100万元以上专用设备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eastAsia="仿宋_GB2312" w:cs="仿宋_GB2312"/>
          <w:kern w:val="0"/>
          <w:sz w:val="32"/>
          <w:szCs w:val="32"/>
        </w:rPr>
        <w:t>台。</w:t>
      </w:r>
    </w:p>
    <w:p w14:paraId="168E067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eastAsia="仿宋_GB2312" w:cs="仿宋_GB2312"/>
          <w:kern w:val="0"/>
          <w:sz w:val="32"/>
          <w:szCs w:val="32"/>
          <w:lang w:eastAsia="zh-CN"/>
        </w:rPr>
        <w:t>2026年度本单位未计划处置或新增车辆、设备等。</w:t>
      </w:r>
    </w:p>
    <w:p w14:paraId="68C5499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（六）预算绩效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目标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说明</w:t>
      </w:r>
    </w:p>
    <w:p w14:paraId="6A5E9C8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eastAsia="仿宋_GB2312"/>
          <w:bCs/>
          <w:kern w:val="0"/>
          <w:sz w:val="32"/>
          <w:szCs w:val="32"/>
          <w:lang w:eastAsia="zh-CN"/>
        </w:rPr>
        <w:t>本单位</w:t>
      </w:r>
      <w:r>
        <w:rPr>
          <w:rFonts w:eastAsia="仿宋_GB2312"/>
          <w:bCs/>
          <w:kern w:val="0"/>
          <w:sz w:val="32"/>
          <w:szCs w:val="32"/>
        </w:rPr>
        <w:t>所有支出实行绩效目标管理。纳入</w:t>
      </w:r>
      <w:r>
        <w:rPr>
          <w:rFonts w:hint="eastAsia" w:eastAsia="仿宋_GB2312"/>
          <w:bCs/>
          <w:kern w:val="0"/>
          <w:sz w:val="32"/>
          <w:szCs w:val="32"/>
          <w:lang w:eastAsia="zh-CN"/>
        </w:rPr>
        <w:t>2026年单位</w:t>
      </w:r>
      <w:r>
        <w:rPr>
          <w:rFonts w:eastAsia="仿宋_GB2312"/>
          <w:bCs/>
          <w:kern w:val="0"/>
          <w:sz w:val="32"/>
          <w:szCs w:val="32"/>
        </w:rPr>
        <w:t>整体支出绩效目标的金额为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666.50</w:t>
      </w:r>
      <w:r>
        <w:rPr>
          <w:rFonts w:eastAsia="仿宋_GB2312"/>
          <w:bCs/>
          <w:kern w:val="0"/>
          <w:sz w:val="32"/>
          <w:szCs w:val="32"/>
        </w:rPr>
        <w:t>万元，其中，基本支出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382.50</w:t>
      </w:r>
      <w:r>
        <w:rPr>
          <w:rFonts w:eastAsia="仿宋_GB2312"/>
          <w:bCs/>
          <w:kern w:val="0"/>
          <w:sz w:val="32"/>
          <w:szCs w:val="32"/>
        </w:rPr>
        <w:t>万元，项目支出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284.00</w:t>
      </w:r>
      <w:r>
        <w:rPr>
          <w:rFonts w:eastAsia="仿宋_GB2312"/>
          <w:bCs/>
          <w:kern w:val="0"/>
          <w:sz w:val="32"/>
          <w:szCs w:val="32"/>
        </w:rPr>
        <w:t>万元，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详见文尾附表中单位预算公开表格的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val="en-US" w:eastAsia="zh-CN"/>
        </w:rPr>
        <w:t>表22-23</w:t>
      </w:r>
      <w:r>
        <w:rPr>
          <w:rFonts w:hint="eastAsia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 w14:paraId="42D07D0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、名词解释</w:t>
      </w:r>
    </w:p>
    <w:p w14:paraId="12CE72A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</w:rPr>
        <w:t>1、机关运行经费：是指各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6C1F7B3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</w:rPr>
        <w:t>2、“三公”经费：纳入财政预算管理的“三公“经费，是指用一般公共预算拨款安排的公务接待费、公务用车购置及运行维护费和因公出国（境）费。其中，公务接待费反映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按规定开支的各类公务接待支出；公务用车购置及运行费反映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公务用车车辆购置支出（含车辆购置税），以及燃料费、维修费、保险费等支出；因公出国（境）费反映</w:t>
      </w:r>
      <w:r>
        <w:rPr>
          <w:rFonts w:hint="eastAsia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eastAsia="仿宋_GB2312"/>
          <w:kern w:val="0"/>
          <w:sz w:val="32"/>
          <w:szCs w:val="32"/>
        </w:rPr>
        <w:t>公务出国（境）的国际旅费、国外城市间交通费、食宿费等支出。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               </w:t>
      </w:r>
    </w:p>
    <w:p w14:paraId="4A4170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eastAsia="黑体" w:cs="黑体"/>
          <w:kern w:val="0"/>
          <w:sz w:val="32"/>
          <w:szCs w:val="32"/>
        </w:rPr>
        <w:br w:type="page"/>
      </w:r>
      <w:r>
        <w:rPr>
          <w:rFonts w:hint="eastAsia" w:eastAsia="黑体" w:cs="黑体"/>
          <w:kern w:val="0"/>
          <w:sz w:val="32"/>
          <w:szCs w:val="32"/>
        </w:rPr>
        <w:t>第二部分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 w:cs="黑体"/>
          <w:kern w:val="0"/>
          <w:sz w:val="32"/>
          <w:szCs w:val="32"/>
          <w:lang w:eastAsia="zh-CN"/>
        </w:rPr>
        <w:t>单位预算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公开</w:t>
      </w:r>
      <w:r>
        <w:rPr>
          <w:rFonts w:hint="eastAsia" w:eastAsia="黑体" w:cs="黑体"/>
          <w:kern w:val="0"/>
          <w:sz w:val="32"/>
          <w:szCs w:val="32"/>
        </w:rPr>
        <w:t>表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格</w:t>
      </w:r>
    </w:p>
    <w:p w14:paraId="46EB83C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11520" w:firstLineChars="3600"/>
        <w:textAlignment w:val="auto"/>
        <w:rPr>
          <w:rFonts w:hint="default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eastAsia="黑体" w:cs="黑体"/>
          <w:kern w:val="0"/>
          <w:sz w:val="32"/>
          <w:szCs w:val="32"/>
          <w:lang w:eastAsia="zh-CN"/>
        </w:rPr>
        <w:t>附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附</w:t>
      </w:r>
      <w:r>
        <w:rPr>
          <w:rFonts w:hint="eastAsia" w:eastAsia="黑体" w:cs="黑体"/>
          <w:kern w:val="0"/>
          <w:sz w:val="32"/>
          <w:szCs w:val="32"/>
          <w:lang w:eastAsia="zh-CN"/>
        </w:rPr>
        <w:t>件：</w:t>
      </w:r>
      <w:r>
        <w:rPr>
          <w:rFonts w:hint="eastAsia" w:eastAsia="黑体" w:cs="黑体"/>
          <w:kern w:val="0"/>
          <w:sz w:val="32"/>
          <w:szCs w:val="32"/>
          <w:lang w:val="en-US" w:eastAsia="zh-CN"/>
        </w:rPr>
        <w:t>XX单位预算公开表格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511E1C-2519-41DC-8ADB-26EA4EFF7A3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F12BEB2-1C2E-4BDA-ADA6-6FAE8A1CD22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E73F5F61-0F15-4C8D-88AB-1CF44DE14B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70CF5C8-3267-41C8-9AC4-7A23E4EECD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EBAEB54-C1A1-4F1E-A637-00C1914E68FE}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  <w:embedRegular r:id="rId6" w:fontKey="{53550324-62BD-4838-BE5B-A7C368E214B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B8EAEBD-CDF1-4ADF-94F8-A03599AD5A92}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D560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ED2DB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181E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636B5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9BB8A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970E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YTA5Yzk4NmQ3NzkyYzIyNzdmNGNjNTM3N2I0NGIifQ=="/>
  </w:docVars>
  <w:rsids>
    <w:rsidRoot w:val="00CA5057"/>
    <w:rsid w:val="00001697"/>
    <w:rsid w:val="000034D6"/>
    <w:rsid w:val="0006270B"/>
    <w:rsid w:val="00065DA2"/>
    <w:rsid w:val="00117900"/>
    <w:rsid w:val="001336FC"/>
    <w:rsid w:val="00193395"/>
    <w:rsid w:val="001A0136"/>
    <w:rsid w:val="001A3382"/>
    <w:rsid w:val="001A3861"/>
    <w:rsid w:val="001A6377"/>
    <w:rsid w:val="001C6E63"/>
    <w:rsid w:val="001D154A"/>
    <w:rsid w:val="001F365A"/>
    <w:rsid w:val="00203B0A"/>
    <w:rsid w:val="0025517E"/>
    <w:rsid w:val="00270E85"/>
    <w:rsid w:val="002B0968"/>
    <w:rsid w:val="002C117B"/>
    <w:rsid w:val="002F5747"/>
    <w:rsid w:val="002F57F8"/>
    <w:rsid w:val="00344D3D"/>
    <w:rsid w:val="003457B4"/>
    <w:rsid w:val="00355284"/>
    <w:rsid w:val="003C0AE2"/>
    <w:rsid w:val="003C0E16"/>
    <w:rsid w:val="003C62F5"/>
    <w:rsid w:val="003E6642"/>
    <w:rsid w:val="00452611"/>
    <w:rsid w:val="00464A20"/>
    <w:rsid w:val="00466617"/>
    <w:rsid w:val="004711E9"/>
    <w:rsid w:val="00490880"/>
    <w:rsid w:val="0049696B"/>
    <w:rsid w:val="004A0D4C"/>
    <w:rsid w:val="004A798F"/>
    <w:rsid w:val="004B4F1A"/>
    <w:rsid w:val="004B766D"/>
    <w:rsid w:val="004D0879"/>
    <w:rsid w:val="004E302C"/>
    <w:rsid w:val="0054440F"/>
    <w:rsid w:val="005E6320"/>
    <w:rsid w:val="006137D9"/>
    <w:rsid w:val="00617392"/>
    <w:rsid w:val="00637664"/>
    <w:rsid w:val="00687143"/>
    <w:rsid w:val="00695750"/>
    <w:rsid w:val="006C1259"/>
    <w:rsid w:val="006E013D"/>
    <w:rsid w:val="006E335E"/>
    <w:rsid w:val="006F2FD2"/>
    <w:rsid w:val="00714685"/>
    <w:rsid w:val="00754296"/>
    <w:rsid w:val="00755471"/>
    <w:rsid w:val="007B0161"/>
    <w:rsid w:val="007C48A3"/>
    <w:rsid w:val="00812DE3"/>
    <w:rsid w:val="00832EBB"/>
    <w:rsid w:val="008459F5"/>
    <w:rsid w:val="008511BD"/>
    <w:rsid w:val="00854FCA"/>
    <w:rsid w:val="0085589C"/>
    <w:rsid w:val="008827C7"/>
    <w:rsid w:val="00893563"/>
    <w:rsid w:val="008974A0"/>
    <w:rsid w:val="008C1057"/>
    <w:rsid w:val="008E61DB"/>
    <w:rsid w:val="008E6571"/>
    <w:rsid w:val="009143CB"/>
    <w:rsid w:val="0093410B"/>
    <w:rsid w:val="00990520"/>
    <w:rsid w:val="00995AF1"/>
    <w:rsid w:val="009D1CA3"/>
    <w:rsid w:val="009D450C"/>
    <w:rsid w:val="009E5041"/>
    <w:rsid w:val="009E7921"/>
    <w:rsid w:val="00A0350C"/>
    <w:rsid w:val="00A03C0E"/>
    <w:rsid w:val="00A867C6"/>
    <w:rsid w:val="00AA481C"/>
    <w:rsid w:val="00AB576D"/>
    <w:rsid w:val="00AB6861"/>
    <w:rsid w:val="00AC160E"/>
    <w:rsid w:val="00B0403C"/>
    <w:rsid w:val="00B21CBD"/>
    <w:rsid w:val="00B366B4"/>
    <w:rsid w:val="00B82665"/>
    <w:rsid w:val="00BC04D7"/>
    <w:rsid w:val="00BE4229"/>
    <w:rsid w:val="00BF5A08"/>
    <w:rsid w:val="00C36022"/>
    <w:rsid w:val="00C5316A"/>
    <w:rsid w:val="00CA5057"/>
    <w:rsid w:val="00CB1E6F"/>
    <w:rsid w:val="00CB5C8F"/>
    <w:rsid w:val="00CF2BA3"/>
    <w:rsid w:val="00D1730A"/>
    <w:rsid w:val="00D279D7"/>
    <w:rsid w:val="00D60DAB"/>
    <w:rsid w:val="00D75CFA"/>
    <w:rsid w:val="00D84D40"/>
    <w:rsid w:val="00D96317"/>
    <w:rsid w:val="00DB63BF"/>
    <w:rsid w:val="00DD2BA7"/>
    <w:rsid w:val="00DD573A"/>
    <w:rsid w:val="00E01BD5"/>
    <w:rsid w:val="00E179D0"/>
    <w:rsid w:val="00E24DC7"/>
    <w:rsid w:val="00E419D9"/>
    <w:rsid w:val="00E5547E"/>
    <w:rsid w:val="00E75085"/>
    <w:rsid w:val="00EA5C43"/>
    <w:rsid w:val="00EC052E"/>
    <w:rsid w:val="00F05F5B"/>
    <w:rsid w:val="00F06D7F"/>
    <w:rsid w:val="00F078E9"/>
    <w:rsid w:val="00F24836"/>
    <w:rsid w:val="00F36C19"/>
    <w:rsid w:val="00F74B02"/>
    <w:rsid w:val="00FB0434"/>
    <w:rsid w:val="00FB1B41"/>
    <w:rsid w:val="00FB3CC9"/>
    <w:rsid w:val="00FE2E8C"/>
    <w:rsid w:val="01492937"/>
    <w:rsid w:val="01F92482"/>
    <w:rsid w:val="02DF562C"/>
    <w:rsid w:val="032D48E5"/>
    <w:rsid w:val="039837D0"/>
    <w:rsid w:val="04497920"/>
    <w:rsid w:val="069419C6"/>
    <w:rsid w:val="08281851"/>
    <w:rsid w:val="0A471242"/>
    <w:rsid w:val="0AF15A72"/>
    <w:rsid w:val="0C0C6008"/>
    <w:rsid w:val="0C4F7AFC"/>
    <w:rsid w:val="0D5B6622"/>
    <w:rsid w:val="0E064421"/>
    <w:rsid w:val="0ED234CD"/>
    <w:rsid w:val="0F654CC7"/>
    <w:rsid w:val="0F9E0A26"/>
    <w:rsid w:val="11C72B64"/>
    <w:rsid w:val="125D1EF2"/>
    <w:rsid w:val="146D3864"/>
    <w:rsid w:val="14903A2F"/>
    <w:rsid w:val="15D9563A"/>
    <w:rsid w:val="19420C90"/>
    <w:rsid w:val="19AD75E4"/>
    <w:rsid w:val="19D5374E"/>
    <w:rsid w:val="1AC31CB7"/>
    <w:rsid w:val="1BEF6124"/>
    <w:rsid w:val="1CEC0C0B"/>
    <w:rsid w:val="1EAD2225"/>
    <w:rsid w:val="1F1F1226"/>
    <w:rsid w:val="1FD471C5"/>
    <w:rsid w:val="22392531"/>
    <w:rsid w:val="24F8149B"/>
    <w:rsid w:val="26570D53"/>
    <w:rsid w:val="27D848B8"/>
    <w:rsid w:val="2A1107D8"/>
    <w:rsid w:val="2CDB483B"/>
    <w:rsid w:val="2FC40521"/>
    <w:rsid w:val="3405688C"/>
    <w:rsid w:val="34E11E02"/>
    <w:rsid w:val="388764A3"/>
    <w:rsid w:val="3BC82B6A"/>
    <w:rsid w:val="3C406054"/>
    <w:rsid w:val="3E4D3BDD"/>
    <w:rsid w:val="41DA7DB9"/>
    <w:rsid w:val="431654D6"/>
    <w:rsid w:val="447637E8"/>
    <w:rsid w:val="49EF4858"/>
    <w:rsid w:val="4A602336"/>
    <w:rsid w:val="4AE9742D"/>
    <w:rsid w:val="4BA67C06"/>
    <w:rsid w:val="4CA46ED7"/>
    <w:rsid w:val="4D013E21"/>
    <w:rsid w:val="4D8D7228"/>
    <w:rsid w:val="4DDD2C7F"/>
    <w:rsid w:val="4F1826FF"/>
    <w:rsid w:val="506C2AB0"/>
    <w:rsid w:val="53344C63"/>
    <w:rsid w:val="55295806"/>
    <w:rsid w:val="55D3446A"/>
    <w:rsid w:val="57B56747"/>
    <w:rsid w:val="593F63D3"/>
    <w:rsid w:val="5B07758C"/>
    <w:rsid w:val="5B423ECD"/>
    <w:rsid w:val="5C017846"/>
    <w:rsid w:val="5CDA4DA9"/>
    <w:rsid w:val="5D5E0DDF"/>
    <w:rsid w:val="5F4C7562"/>
    <w:rsid w:val="5F525FBA"/>
    <w:rsid w:val="6252114F"/>
    <w:rsid w:val="62820F98"/>
    <w:rsid w:val="62873CEC"/>
    <w:rsid w:val="64035B71"/>
    <w:rsid w:val="6423384C"/>
    <w:rsid w:val="64DB31B9"/>
    <w:rsid w:val="65624818"/>
    <w:rsid w:val="65DB4A2B"/>
    <w:rsid w:val="66175C8E"/>
    <w:rsid w:val="681842B0"/>
    <w:rsid w:val="6AE87D9C"/>
    <w:rsid w:val="6F8561D3"/>
    <w:rsid w:val="70271B5B"/>
    <w:rsid w:val="71AC0C24"/>
    <w:rsid w:val="773C67F0"/>
    <w:rsid w:val="7DFA5EB0"/>
    <w:rsid w:val="7E3E736E"/>
    <w:rsid w:val="7E8445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link w:val="11"/>
    <w:autoRedefine/>
    <w:qFormat/>
    <w:uiPriority w:val="0"/>
    <w:pPr>
      <w:spacing w:after="120"/>
    </w:pPr>
  </w:style>
  <w:style w:type="paragraph" w:styleId="4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5">
    <w:name w:val="Balloon Text"/>
    <w:basedOn w:val="1"/>
    <w:link w:val="13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Body Text Char"/>
    <w:basedOn w:val="10"/>
    <w:link w:val="3"/>
    <w:autoRedefine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2">
    <w:name w:val="Date Char"/>
    <w:basedOn w:val="10"/>
    <w:link w:val="4"/>
    <w:autoRedefine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3">
    <w:name w:val="Balloon Text Char"/>
    <w:basedOn w:val="10"/>
    <w:link w:val="5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">
    <w:name w:val="Footer Char"/>
    <w:basedOn w:val="10"/>
    <w:link w:val="6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Header Char"/>
    <w:basedOn w:val="10"/>
    <w:link w:val="7"/>
    <w:autoRedefine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6">
    <w:name w:val="表格内容"/>
    <w:basedOn w:val="3"/>
    <w:autoRedefine/>
    <w:qFormat/>
    <w:uiPriority w:val="0"/>
    <w:pPr>
      <w:suppressLineNumbers/>
      <w:suppressAutoHyphens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7</Pages>
  <Words>3234</Words>
  <Characters>3476</Characters>
  <Lines>38</Lines>
  <Paragraphs>10</Paragraphs>
  <TotalTime>0</TotalTime>
  <ScaleCrop>false</ScaleCrop>
  <LinksUpToDate>false</LinksUpToDate>
  <CharactersWithSpaces>3500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2018-08-09T00:21:00Z</dcterms:created>
  <dc:creator>周继恩 10.105.113.143</dc:creator>
  <cp:lastModifiedBy>陈芳</cp:lastModifiedBy>
  <cp:lastPrinted>2019-05-05T07:55:00Z</cp:lastPrinted>
  <dcterms:modified xsi:type="dcterms:W3CDTF">2026-03-19T02:36:11Z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F8FB817C978B48DAA773E0F46796C123_13</vt:lpwstr>
  </property>
  <property fmtid="{D5CDD505-2E9C-101B-9397-08002B2CF9AE}" pid="4" name="KSOTemplateDocerSaveRecord">
    <vt:lpwstr>eyJoZGlkIjoiYzg1YTdhZmQzODExMDk3ODljMDhhYjBhNjc1Y2RhMDkiLCJ1c2VySWQiOiIxNjU4OTgwNDI2In0=</vt:lpwstr>
  </property>
</Properties>
</file>