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C78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eastAsia="zh-CN"/>
        </w:rPr>
        <w:t>岳阳县农村公路养护中心</w:t>
      </w: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单位</w:t>
      </w: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eastAsia="zh-CN"/>
        </w:rPr>
        <w:t>2026</w:t>
      </w:r>
      <w:r>
        <w:rPr>
          <w:rFonts w:ascii="微软雅黑" w:hAnsi="微软雅黑" w:eastAsia="微软雅黑" w:cs="微软雅黑"/>
          <w:b/>
          <w:sz w:val="36"/>
          <w:szCs w:val="36"/>
        </w:rPr>
        <w:t>年</w:t>
      </w: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  <w:t>度</w:t>
      </w:r>
    </w:p>
    <w:p w14:paraId="3444F5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单位预算</w:t>
      </w:r>
    </w:p>
    <w:p w14:paraId="6FF626B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ind w:firstLine="3522" w:firstLineChars="800"/>
        <w:jc w:val="both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</w:rPr>
        <w:t>目录</w:t>
      </w:r>
      <w:bookmarkStart w:id="0" w:name="_GoBack"/>
      <w:bookmarkEnd w:id="0"/>
    </w:p>
    <w:p w14:paraId="5A20B4F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</w:p>
    <w:p w14:paraId="6733B6E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</w:rPr>
        <w:t>第一部分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eastAsia="zh-CN"/>
        </w:rPr>
        <w:t>2026</w:t>
      </w:r>
      <w:r>
        <w:rPr>
          <w:rFonts w:ascii="微软雅黑" w:hAnsi="微软雅黑" w:eastAsia="微软雅黑" w:cs="微软雅黑"/>
          <w:b/>
          <w:color w:val="auto"/>
          <w:sz w:val="32"/>
        </w:rPr>
        <w:t>年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val="en-US" w:eastAsia="zh-CN"/>
        </w:rPr>
        <w:t>单位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eastAsia="zh-CN"/>
        </w:rPr>
        <w:t>预算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</w:rPr>
        <w:t>说明</w:t>
      </w:r>
    </w:p>
    <w:p w14:paraId="7BDD9A6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第二部分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 xml:space="preserve">  单位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预算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公开表格</w:t>
      </w:r>
    </w:p>
    <w:p w14:paraId="61D38485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1、收支总表</w:t>
      </w:r>
    </w:p>
    <w:p w14:paraId="584846FA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2、收入总表</w:t>
      </w:r>
    </w:p>
    <w:p w14:paraId="53F01618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3、支出总表</w:t>
      </w:r>
    </w:p>
    <w:p w14:paraId="130D90D6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4、支出预算分类汇总表（按政府预算经济分类）</w:t>
      </w:r>
    </w:p>
    <w:p w14:paraId="5E100185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5、支出预算分类汇总表（按部门预算经济分类）</w:t>
      </w:r>
    </w:p>
    <w:p w14:paraId="76375A1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6、财政拨款收支总表</w:t>
      </w:r>
    </w:p>
    <w:p w14:paraId="1C0FFA8B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7、一般公共预算支出表</w:t>
      </w:r>
    </w:p>
    <w:p w14:paraId="1F0A94A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</w:t>
      </w:r>
    </w:p>
    <w:p w14:paraId="4F0A1597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、一般公共预算基本支出表-人员经费（工资福利支出）（按政府预算经济分类）</w:t>
      </w:r>
    </w:p>
    <w:p w14:paraId="31583A7D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、一般公共预算基本支出表-人员经费（工资福利支出）（按部门预算经济分类）</w:t>
      </w:r>
    </w:p>
    <w:p w14:paraId="64E7AF5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、一般公共预算基本支出表-人员经费（对个人和家庭的补助）（按政府预算经济分类）</w:t>
      </w:r>
    </w:p>
    <w:p w14:paraId="24CFEC9B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、一般公共预算基本支出表-人员经费（对个人和家庭的补助）（按部门预算经济分类）</w:t>
      </w:r>
    </w:p>
    <w:p w14:paraId="7AEAE007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公用</w:t>
      </w:r>
      <w:r>
        <w:rPr>
          <w:rFonts w:hint="eastAsia" w:ascii="仿宋" w:hAnsi="仿宋" w:eastAsia="仿宋" w:cs="仿宋"/>
          <w:sz w:val="32"/>
          <w:szCs w:val="32"/>
        </w:rPr>
        <w:t>经费（商品和服务支出）（按政府预算经济分类）</w:t>
      </w:r>
    </w:p>
    <w:p w14:paraId="317ACFFE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公用</w:t>
      </w:r>
      <w:r>
        <w:rPr>
          <w:rFonts w:hint="eastAsia" w:ascii="仿宋" w:hAnsi="仿宋" w:eastAsia="仿宋" w:cs="仿宋"/>
          <w:sz w:val="32"/>
          <w:szCs w:val="32"/>
        </w:rPr>
        <w:t>经费（商品和服务支出）（按部门预算经济分类）</w:t>
      </w:r>
    </w:p>
    <w:p w14:paraId="3C8049CD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、一般公共预算“三公”经费支出表</w:t>
      </w:r>
    </w:p>
    <w:p w14:paraId="706FF693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、政府性基金预算支出表</w:t>
      </w:r>
    </w:p>
    <w:p w14:paraId="63E0ED63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、政府性基金预算支出分类汇总表（按政府预算经济分类）</w:t>
      </w:r>
    </w:p>
    <w:p w14:paraId="602D4D5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、政府性基金预算支出分类汇总表（按部门预算经济分类）</w:t>
      </w:r>
    </w:p>
    <w:p w14:paraId="034814AA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、国有资本经营预算支出表</w:t>
      </w:r>
    </w:p>
    <w:p w14:paraId="63BAAA45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、财政专户管理资金预算支出表</w:t>
      </w:r>
    </w:p>
    <w:p w14:paraId="3C8592AD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、专项资金预算汇总表</w:t>
      </w:r>
    </w:p>
    <w:p w14:paraId="47F3D03B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项目支出</w:t>
      </w:r>
      <w:r>
        <w:rPr>
          <w:rFonts w:hint="eastAsia" w:ascii="仿宋" w:hAnsi="仿宋" w:eastAsia="仿宋" w:cs="仿宋"/>
          <w:sz w:val="32"/>
          <w:szCs w:val="32"/>
        </w:rPr>
        <w:t>绩效目标表</w:t>
      </w:r>
    </w:p>
    <w:p w14:paraId="051F6685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、部门整体支出绩效目标表</w:t>
      </w:r>
    </w:p>
    <w:p w14:paraId="3DD58422">
      <w:pPr>
        <w:widowControl/>
        <w:spacing w:line="600" w:lineRule="exact"/>
        <w:ind w:firstLine="643" w:firstLineChars="200"/>
        <w:rPr>
          <w:rFonts w:hint="eastAsia" w:ascii="微软雅黑" w:hAnsi="微软雅黑" w:eastAsia="微软雅黑" w:cs="微软雅黑"/>
          <w:color w:val="FF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</w:rPr>
        <w:t>注：以上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  <w:lang w:val="en-US" w:eastAsia="zh-CN"/>
        </w:rPr>
        <w:t>公开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</w:rPr>
        <w:t>报表中，空表表示本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</w:rPr>
        <w:t>无相关</w:t>
      </w:r>
      <w:r>
        <w:rPr>
          <w:rFonts w:hint="eastAsia" w:ascii="微软雅黑" w:hAnsi="微软雅黑" w:eastAsia="微软雅黑" w:cs="微软雅黑"/>
          <w:b/>
          <w:bCs w:val="0"/>
          <w:color w:val="FF0000"/>
          <w:kern w:val="0"/>
          <w:sz w:val="32"/>
          <w:szCs w:val="32"/>
        </w:rPr>
        <w:t>收支情况。</w:t>
      </w:r>
    </w:p>
    <w:p w14:paraId="35AFA40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42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br w:type="page"/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第一部分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2026</w:t>
      </w:r>
      <w:r>
        <w:rPr>
          <w:rFonts w:ascii="微软雅黑" w:hAnsi="微软雅黑" w:eastAsia="微软雅黑" w:cs="微软雅黑"/>
          <w:b/>
          <w:sz w:val="32"/>
        </w:rPr>
        <w:t>年单位预算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说明</w:t>
      </w:r>
    </w:p>
    <w:p w14:paraId="44AE7CF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kern w:val="0"/>
          <w:sz w:val="32"/>
          <w:szCs w:val="32"/>
        </w:rPr>
      </w:pPr>
    </w:p>
    <w:p w14:paraId="1A35040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一、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单位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基本概况</w:t>
      </w:r>
    </w:p>
    <w:p w14:paraId="710CC49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（一）职能职责</w:t>
      </w:r>
    </w:p>
    <w:p w14:paraId="0D8A02A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1、宣传贯彻执行国家有关农村公路管关的法律法规，具体负责全县农村公路养护工作的管理。</w:t>
      </w:r>
    </w:p>
    <w:p w14:paraId="00AFFF7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2、制订年度养护计划并按计划执行。</w:t>
      </w:r>
    </w:p>
    <w:p w14:paraId="2330471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3、加强农村公路养护巡检，制订养护目标责任，建立健全养护管理规章制度，完善管关体系。</w:t>
      </w:r>
    </w:p>
    <w:p w14:paraId="1357A77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4、加强养护资金管理，实行专款专用，安全合理使用养护资金，确保农村公路养护工作正常有序开展。</w:t>
      </w:r>
    </w:p>
    <w:p w14:paraId="65929DC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5、强化公路保护意识，加强路况巡查和安全管理，及时抢修损坏严重的管养路段，保障公路畅通。</w:t>
      </w:r>
    </w:p>
    <w:p w14:paraId="18A0977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6、完成县局交办的其他工作任务。</w:t>
      </w:r>
    </w:p>
    <w:p w14:paraId="2170979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320" w:firstLineChars="1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（二）机构设置</w:t>
      </w:r>
    </w:p>
    <w:p w14:paraId="7FE6F96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岳阳县农村公路养护中心设下列内设机构：办公室、财务股、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安防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股、养护股、工会。本单位没有所属二级机构，因此本年度部门预算仅为本级单位预算。</w:t>
      </w:r>
    </w:p>
    <w:p w14:paraId="0829D32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320" w:firstLineChars="1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、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单位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收支总体情况</w:t>
      </w:r>
    </w:p>
    <w:p w14:paraId="7BE9280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（一）收入预算</w:t>
      </w:r>
    </w:p>
    <w:p w14:paraId="3590B3A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包括一般公共预算、政府性基金、国有资本经营预算等财政拨款收入，以及经营收入、事业收入等单位资金。</w:t>
      </w:r>
      <w:r>
        <w:rPr>
          <w:rFonts w:hint="eastAsia" w:ascii="仿宋" w:hAnsi="仿宋" w:eastAsia="仿宋" w:cs="仿宋"/>
          <w:sz w:val="32"/>
        </w:rPr>
        <w:t>2026年本单位收入预算</w:t>
      </w:r>
      <w:r>
        <w:rPr>
          <w:rFonts w:hint="eastAsia" w:ascii="仿宋" w:hAnsi="仿宋" w:eastAsia="仿宋" w:cs="仿宋"/>
          <w:sz w:val="32"/>
          <w:lang w:val="en-US" w:eastAsia="zh-CN"/>
        </w:rPr>
        <w:t>410.09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万元，其中，一般公共预算拨款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410.09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万元，政府性基金预算拨款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万元，国有资本经营预算拨款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万元，财政专户管理资金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万元，上级补助收入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万元，事业单位经营收入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万元，上年结转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万元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  <w:lang w:eastAsia="zh-CN"/>
        </w:rPr>
        <w:t>本单位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>2026年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</w:rPr>
        <w:t>没有政府性基金预算拨款和纳入专户管理的非税收入拨款收入，也没有使用政府性基金预算拨款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</w:rPr>
        <w:t>国有资本经营预算收入和纳入专户管理的非税收入拨款安排的支出，所以公开的附件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  <w:lang w:val="en-US" w:eastAsia="zh-CN"/>
        </w:rPr>
        <w:t>16-18（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</w:rPr>
        <w:t>政府性基金预算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</w:rPr>
        <w:t>、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  <w:lang w:val="en-US" w:eastAsia="zh-CN"/>
        </w:rPr>
        <w:t>19（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</w:rPr>
        <w:t>国有资本经营预算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</w:rPr>
        <w:t>、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</w:rPr>
        <w:t>表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  <w:lang w:val="en-US" w:eastAsia="zh-CN"/>
        </w:rPr>
        <w:t>财政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</w:rPr>
        <w:t>专户管理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  <w:lang w:val="en-US" w:eastAsia="zh-CN"/>
        </w:rPr>
        <w:t>资金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</w:rPr>
        <w:t>预算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single"/>
        </w:rPr>
        <w:t>均为空。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收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入较去年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增长63.29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万元，主要是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因为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零基预算改革后我单位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人员增加及工资基数调整及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项目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经费按实际情况调整所致。</w:t>
      </w:r>
    </w:p>
    <w:p w14:paraId="56B96A02">
      <w:pPr>
        <w:widowControl/>
        <w:spacing w:line="600" w:lineRule="exact"/>
        <w:ind w:firstLine="320" w:firstLineChars="100"/>
        <w:jc w:val="left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（二）支出预算</w:t>
      </w:r>
    </w:p>
    <w:p w14:paraId="272972E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sz w:val="32"/>
        </w:rPr>
        <w:t>年本单位</w:t>
      </w:r>
      <w:r>
        <w:rPr>
          <w:rFonts w:hint="eastAsia" w:ascii="仿宋" w:hAnsi="仿宋" w:eastAsia="仿宋" w:cs="仿宋"/>
          <w:sz w:val="32"/>
          <w:szCs w:val="32"/>
        </w:rPr>
        <w:t>支出预算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410.09</w:t>
      </w:r>
      <w:r>
        <w:rPr>
          <w:rFonts w:hint="eastAsia" w:ascii="仿宋" w:hAnsi="仿宋" w:eastAsia="仿宋" w:cs="仿宋"/>
          <w:sz w:val="32"/>
          <w:szCs w:val="32"/>
        </w:rPr>
        <w:t>万元，其中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一般公共服务支出220.98万元、</w:t>
      </w:r>
      <w:r>
        <w:rPr>
          <w:rFonts w:hint="eastAsia" w:ascii="仿宋" w:hAnsi="仿宋" w:eastAsia="仿宋" w:cs="仿宋"/>
          <w:sz w:val="32"/>
          <w:szCs w:val="32"/>
        </w:rPr>
        <w:t>社会保障和就业支出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25.66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卫生健康支出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14.34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交通运输支出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131.00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万元、</w:t>
      </w:r>
      <w:r>
        <w:rPr>
          <w:rFonts w:hint="eastAsia" w:ascii="仿宋" w:hAnsi="仿宋" w:eastAsia="仿宋" w:cs="仿宋"/>
          <w:sz w:val="32"/>
          <w:szCs w:val="32"/>
        </w:rPr>
        <w:t>住房保障支出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18.11</w:t>
      </w:r>
      <w:r>
        <w:rPr>
          <w:rFonts w:hint="eastAsia" w:ascii="仿宋" w:hAnsi="仿宋" w:eastAsia="仿宋" w:cs="仿宋"/>
          <w:sz w:val="32"/>
          <w:szCs w:val="32"/>
        </w:rPr>
        <w:t>万元。支出较去年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增长63.29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其中</w:t>
      </w:r>
      <w:r>
        <w:rPr>
          <w:rFonts w:hint="eastAsia" w:ascii="仿宋" w:hAnsi="仿宋" w:eastAsia="仿宋" w:cs="仿宋"/>
          <w:sz w:val="32"/>
          <w:szCs w:val="32"/>
        </w:rPr>
        <w:t>基本支出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增长25.38</w:t>
      </w:r>
      <w:r>
        <w:rPr>
          <w:rFonts w:hint="eastAsia" w:ascii="仿宋" w:hAnsi="仿宋" w:eastAsia="仿宋" w:cs="仿宋"/>
          <w:sz w:val="32"/>
          <w:szCs w:val="32"/>
        </w:rPr>
        <w:t>万元，项目支出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增长37.91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。其中基本支出较上年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增加25.38万元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主要是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零基预算改革后我单位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人员增加及工资基数调整所致。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项目支出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  <w:t>增加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>37.91万元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因为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零基预算改革后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本年度增加了新的业务活动，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项目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经费按实际情况调整所致。</w:t>
      </w:r>
    </w:p>
    <w:p w14:paraId="4725AB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三、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一般公共预算拨款支出预算</w:t>
      </w:r>
    </w:p>
    <w:p w14:paraId="063DF30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sz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</w:rPr>
        <w:t>一般公共预算拨款支出预算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410.09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其中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一般公共服务支出220.98万元，占53.89%;</w:t>
      </w:r>
      <w:r>
        <w:rPr>
          <w:rFonts w:hint="eastAsia" w:ascii="仿宋" w:hAnsi="仿宋" w:eastAsia="仿宋" w:cs="仿宋"/>
          <w:sz w:val="32"/>
          <w:szCs w:val="32"/>
        </w:rPr>
        <w:t>社会保障和就业支出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25.66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,占6.26%;</w:t>
      </w:r>
      <w:r>
        <w:rPr>
          <w:rFonts w:hint="eastAsia" w:ascii="仿宋" w:hAnsi="仿宋" w:eastAsia="仿宋" w:cs="仿宋"/>
          <w:sz w:val="32"/>
          <w:szCs w:val="32"/>
        </w:rPr>
        <w:t>卫生健康支出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14.34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占3.50%;</w:t>
      </w:r>
      <w:r>
        <w:rPr>
          <w:rFonts w:hint="eastAsia" w:ascii="仿宋" w:hAnsi="仿宋" w:eastAsia="仿宋" w:cs="仿宋"/>
          <w:sz w:val="32"/>
          <w:szCs w:val="32"/>
        </w:rPr>
        <w:t>交通运输支出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131.00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占31.94%;</w:t>
      </w:r>
      <w:r>
        <w:rPr>
          <w:rFonts w:hint="eastAsia" w:ascii="仿宋" w:hAnsi="仿宋" w:eastAsia="仿宋" w:cs="仿宋"/>
          <w:sz w:val="32"/>
          <w:szCs w:val="32"/>
        </w:rPr>
        <w:t>住房保障支出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18.11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占4.41%;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具体安排情况如下</w:t>
      </w:r>
      <w:r>
        <w:rPr>
          <w:rFonts w:hint="eastAsia" w:ascii="微软雅黑" w:hAnsi="微软雅黑" w:eastAsia="微软雅黑" w:cs="微软雅黑"/>
          <w:kern w:val="0"/>
          <w:sz w:val="32"/>
          <w:szCs w:val="32"/>
          <w:lang w:eastAsia="zh-CN"/>
        </w:rPr>
        <w:t>：</w:t>
      </w:r>
    </w:p>
    <w:p w14:paraId="61343F5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（一）基本支出</w:t>
      </w:r>
      <w:r>
        <w:rPr>
          <w:rFonts w:hint="eastAsia" w:ascii="微软雅黑" w:hAnsi="微软雅黑" w:eastAsia="微软雅黑" w:cs="微软雅黑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</w:rPr>
        <w:t>2026年基本支出年初预算数为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279.09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万元。是指为保障单位机构正常运转、完成日常工作任务而发生的各项支出，包括用于基本工资、奖金、绩效工资、机关事业单位基本养老保险缴费、职工基本医疗保险缴费、 公务员医疗补助缴费、其他社会保障缴费、住房公积金等人员经费以及公务接待费、劳务费、其他交通费用、其他商品和服务支出等日常公用经费。</w:t>
      </w:r>
    </w:p>
    <w:p w14:paraId="438F21D7">
      <w:pPr>
        <w:widowControl/>
        <w:spacing w:line="600" w:lineRule="exact"/>
        <w:ind w:firstLine="660"/>
        <w:jc w:val="left"/>
        <w:rPr>
          <w:rFonts w:hint="default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（二）项目支出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sz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项目支出年初预算数为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131.00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kern w:val="0"/>
          <w:sz w:val="32"/>
          <w:szCs w:val="32"/>
        </w:rPr>
        <w:t>是指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为完成特定行政工作任务或事业发展目标而发生的支出，包括有关业务工作经费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运行维护经费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。其中：业务工作经费支出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101.00</w:t>
      </w:r>
      <w:r>
        <w:rPr>
          <w:rFonts w:hint="eastAsia" w:ascii="仿宋" w:hAnsi="仿宋" w:eastAsia="仿宋" w:cs="仿宋"/>
          <w:sz w:val="32"/>
          <w:szCs w:val="32"/>
        </w:rPr>
        <w:t>万元，主要用于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农村公路养护与维护管理</w:t>
      </w:r>
      <w:r>
        <w:rPr>
          <w:rFonts w:hint="eastAsia" w:ascii="仿宋" w:hAnsi="仿宋" w:eastAsia="仿宋" w:cs="仿宋"/>
          <w:sz w:val="32"/>
          <w:szCs w:val="32"/>
        </w:rPr>
        <w:t>方面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的经费开支</w:t>
      </w:r>
      <w:r>
        <w:rPr>
          <w:rFonts w:hint="eastAsia" w:ascii="仿宋" w:hAnsi="仿宋" w:eastAsia="仿宋" w:cs="仿宋"/>
          <w:sz w:val="32"/>
          <w:szCs w:val="32"/>
        </w:rPr>
        <w:t>；运行维护经费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30.00</w:t>
      </w:r>
      <w:r>
        <w:rPr>
          <w:rFonts w:hint="eastAsia" w:ascii="仿宋" w:hAnsi="仿宋" w:eastAsia="仿宋" w:cs="仿宋"/>
          <w:sz w:val="32"/>
          <w:szCs w:val="32"/>
        </w:rPr>
        <w:t>万元，主要用于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东部山区养护工作站运转经费</w:t>
      </w:r>
      <w:r>
        <w:rPr>
          <w:rFonts w:hint="eastAsia" w:ascii="仿宋" w:hAnsi="仿宋" w:eastAsia="仿宋" w:cs="仿宋"/>
          <w:sz w:val="32"/>
          <w:szCs w:val="32"/>
        </w:rPr>
        <w:t>等方面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开支。</w:t>
      </w:r>
    </w:p>
    <w:p w14:paraId="42A4ED2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</w:rPr>
        <w:t>、政府性基金预算支出</w:t>
      </w:r>
    </w:p>
    <w:p w14:paraId="4A3DF80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2026年度本单位无政府性基金安排的支出，所以公开的附件16-18（政府性基金预算）为空。</w:t>
      </w:r>
    </w:p>
    <w:p w14:paraId="499C6FC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、其他重要事项的情况说明</w:t>
      </w:r>
    </w:p>
    <w:p w14:paraId="2E23E13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（一）机关运行经费</w:t>
      </w:r>
    </w:p>
    <w:p w14:paraId="758297F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本单位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2026年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机关运行经费当年一般公共预算拨款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39.00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万元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none"/>
          <w:lang w:val="en-US" w:eastAsia="zh-CN"/>
        </w:rPr>
        <w:t>，与上年基本持平。</w:t>
      </w:r>
    </w:p>
    <w:p w14:paraId="473A885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（二）“三公”经费预算</w:t>
      </w:r>
    </w:p>
    <w:p w14:paraId="228601E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本单位</w:t>
      </w:r>
      <w:r>
        <w:rPr>
          <w:rFonts w:hint="eastAsia" w:ascii="仿宋" w:hAnsi="仿宋" w:eastAsia="仿宋" w:cs="仿宋"/>
          <w:sz w:val="32"/>
        </w:rPr>
        <w:t>2026年</w:t>
      </w:r>
      <w:r>
        <w:rPr>
          <w:rFonts w:hint="eastAsia" w:ascii="仿宋" w:hAnsi="仿宋" w:eastAsia="仿宋" w:cs="仿宋"/>
          <w:kern w:val="0"/>
          <w:sz w:val="32"/>
          <w:szCs w:val="32"/>
        </w:rPr>
        <w:t>“三公”经费预算数</w:t>
      </w:r>
      <w:r>
        <w:rPr>
          <w:rFonts w:hint="eastAsia" w:ascii="仿宋" w:hAnsi="仿宋" w:eastAsia="仿宋" w:cs="仿宋"/>
          <w:sz w:val="32"/>
        </w:rPr>
        <w:t>1.50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其中，公务接待费</w:t>
      </w:r>
      <w:r>
        <w:rPr>
          <w:rFonts w:hint="eastAsia" w:ascii="仿宋" w:hAnsi="仿宋" w:eastAsia="仿宋" w:cs="仿宋"/>
          <w:sz w:val="32"/>
        </w:rPr>
        <w:t>1.50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万元，因公出国（境）费</w:t>
      </w:r>
      <w:r>
        <w:rPr>
          <w:rFonts w:hint="eastAsia" w:ascii="仿宋" w:hAnsi="仿宋" w:eastAsia="仿宋" w:cs="仿宋"/>
          <w:sz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万元，公务用车购置及运行费</w:t>
      </w:r>
      <w:r>
        <w:rPr>
          <w:rFonts w:hint="eastAsia" w:ascii="仿宋" w:hAnsi="仿宋" w:eastAsia="仿宋" w:cs="仿宋"/>
          <w:sz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其中公务用车购置费</w:t>
      </w:r>
      <w:r>
        <w:rPr>
          <w:rFonts w:hint="eastAsia" w:ascii="仿宋" w:hAnsi="仿宋" w:eastAsia="仿宋" w:cs="仿宋"/>
          <w:sz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万元，公务用车运行费</w:t>
      </w:r>
      <w:r>
        <w:rPr>
          <w:rFonts w:hint="eastAsia" w:ascii="仿宋" w:hAnsi="仿宋" w:eastAsia="仿宋" w:cs="仿宋"/>
          <w:sz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与上年持平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按上级文件要求严控公务接待费开支预算。</w:t>
      </w:r>
    </w:p>
    <w:p w14:paraId="56D6D71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320" w:firstLineChars="1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（三）一般性支出情况</w:t>
      </w:r>
    </w:p>
    <w:p w14:paraId="67CD48D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本单位2026年培训费预算0万元，拟开展0次培训，人数0人，内容无；2026年度本单位未计划安排会议，未计划举办节庆、晚会、论坛、赛事活动。</w:t>
      </w:r>
    </w:p>
    <w:p w14:paraId="759A29A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eastAsia="zh-CN"/>
        </w:rPr>
        <w:t>（四）政府采购情况</w:t>
      </w:r>
    </w:p>
    <w:p w14:paraId="21EF2D5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2026年度本单位政府采购预算总额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25.80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万元，其中工程类0万元，货物类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22.30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万元，服务类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3.50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万元。</w:t>
      </w:r>
    </w:p>
    <w:p w14:paraId="3BBC9D2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（五）国有资产占有使用及新增资产配置情况</w:t>
      </w:r>
    </w:p>
    <w:p w14:paraId="577A992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截至上一年12月底，本单位共有车辆0辆，其中领导干部用车0辆，一般公务用车0辆，其他用车0辆。单位价值50万元以上通用设备0台，单位价值100万元以上专用设备0台。</w:t>
      </w:r>
    </w:p>
    <w:p w14:paraId="2AF5D27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2026年度本单位未计划处置或新增车辆、设备等。</w:t>
      </w:r>
    </w:p>
    <w:p w14:paraId="491E798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（六）预算绩效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目标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说明</w:t>
      </w:r>
    </w:p>
    <w:p w14:paraId="505BFD9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本单位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所有支出实行绩效目标管理。纳入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sz w:val="32"/>
        </w:rPr>
        <w:t>年单位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整体支出绩效目标的金额为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410.09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万元，其中，基本支出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279.09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万元，项目支出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131.00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详见文尾附表中单位预算公开表格的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表22-23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。</w:t>
      </w:r>
    </w:p>
    <w:p w14:paraId="2F05AF0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六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、名词解释</w:t>
      </w:r>
    </w:p>
    <w:p w14:paraId="4CDFCE6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1、机关运行经费：是指各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3C40C56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2、“三公”经费：纳入财政预算管理的“三公“经费，是指用一般公共预算拨款安排的公务接待费、公务用车购置及运行维护费和因公出国（境）费。其中，公务接待费反映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按规定开支的各类公务接待支出；公务用车购置及运行费反映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公务用车车辆购置支出（含车辆购置税），以及燃料费、维修费、保险费等支出；因公出国（境）费反映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公务出国（境）的国际旅费、国外城市间交通费、食宿费等支出。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           </w:t>
      </w:r>
    </w:p>
    <w:p w14:paraId="74DC1B9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1921" w:firstLineChars="600"/>
        <w:jc w:val="both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第二部分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单位预算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表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格</w:t>
      </w:r>
    </w:p>
    <w:p w14:paraId="1D5A3E5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附件：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岳阳县农村公路养护中心</w:t>
      </w:r>
      <w:r>
        <w:rPr>
          <w:rFonts w:ascii="微软雅黑" w:hAnsi="微软雅黑" w:eastAsia="微软雅黑" w:cs="微软雅黑"/>
          <w:b/>
          <w:sz w:val="32"/>
        </w:rPr>
        <w:t>单位预算公开表格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CC8043DA-75E2-47AE-9FA1-CF078CEB4FF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0CB1566-6AD1-4917-B864-526ADC445DF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C5E37CD-6F87-4E9B-B50D-253BB99992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30686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461A0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7E045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A8B93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18E67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03E11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0NWU4NzA0NTBhNzIxMGYxNjdhYzgyZTJkYTk0YzAifQ=="/>
    <w:docVar w:name="KSO_WPS_MARK_KEY" w:val="4ec26934-afcf-48b4-991b-b93945f8c5dd"/>
  </w:docVars>
  <w:rsids>
    <w:rsidRoot w:val="00CA5057"/>
    <w:rsid w:val="00001697"/>
    <w:rsid w:val="000034D6"/>
    <w:rsid w:val="0006270B"/>
    <w:rsid w:val="00065DA2"/>
    <w:rsid w:val="00117900"/>
    <w:rsid w:val="001336FC"/>
    <w:rsid w:val="00193395"/>
    <w:rsid w:val="001A0136"/>
    <w:rsid w:val="001A3382"/>
    <w:rsid w:val="001A3861"/>
    <w:rsid w:val="001A6377"/>
    <w:rsid w:val="001C6E63"/>
    <w:rsid w:val="001D154A"/>
    <w:rsid w:val="001F365A"/>
    <w:rsid w:val="00203B0A"/>
    <w:rsid w:val="0025517E"/>
    <w:rsid w:val="00270E85"/>
    <w:rsid w:val="002B0968"/>
    <w:rsid w:val="002C117B"/>
    <w:rsid w:val="002F5747"/>
    <w:rsid w:val="002F57F8"/>
    <w:rsid w:val="00344D3D"/>
    <w:rsid w:val="003457B4"/>
    <w:rsid w:val="00355284"/>
    <w:rsid w:val="003C0AE2"/>
    <w:rsid w:val="003C0E16"/>
    <w:rsid w:val="003C62F5"/>
    <w:rsid w:val="003E6642"/>
    <w:rsid w:val="00452611"/>
    <w:rsid w:val="00464A20"/>
    <w:rsid w:val="00466617"/>
    <w:rsid w:val="004711E9"/>
    <w:rsid w:val="00490880"/>
    <w:rsid w:val="0049696B"/>
    <w:rsid w:val="004A0D4C"/>
    <w:rsid w:val="004A798F"/>
    <w:rsid w:val="004B4F1A"/>
    <w:rsid w:val="004B766D"/>
    <w:rsid w:val="004D0879"/>
    <w:rsid w:val="004E302C"/>
    <w:rsid w:val="0054440F"/>
    <w:rsid w:val="005E6320"/>
    <w:rsid w:val="006137D9"/>
    <w:rsid w:val="00617392"/>
    <w:rsid w:val="00637664"/>
    <w:rsid w:val="00687143"/>
    <w:rsid w:val="00695750"/>
    <w:rsid w:val="006C1259"/>
    <w:rsid w:val="006E013D"/>
    <w:rsid w:val="006E335E"/>
    <w:rsid w:val="006F2FD2"/>
    <w:rsid w:val="00714685"/>
    <w:rsid w:val="00754296"/>
    <w:rsid w:val="00755471"/>
    <w:rsid w:val="007B0161"/>
    <w:rsid w:val="007C48A3"/>
    <w:rsid w:val="00812DE3"/>
    <w:rsid w:val="00832EBB"/>
    <w:rsid w:val="008459F5"/>
    <w:rsid w:val="008511BD"/>
    <w:rsid w:val="00854FCA"/>
    <w:rsid w:val="0085589C"/>
    <w:rsid w:val="008827C7"/>
    <w:rsid w:val="00893563"/>
    <w:rsid w:val="008974A0"/>
    <w:rsid w:val="008C1057"/>
    <w:rsid w:val="008E61DB"/>
    <w:rsid w:val="008E6571"/>
    <w:rsid w:val="009143CB"/>
    <w:rsid w:val="0093410B"/>
    <w:rsid w:val="00990520"/>
    <w:rsid w:val="00995AF1"/>
    <w:rsid w:val="009D1CA3"/>
    <w:rsid w:val="009D450C"/>
    <w:rsid w:val="009E5041"/>
    <w:rsid w:val="009E7921"/>
    <w:rsid w:val="00A0350C"/>
    <w:rsid w:val="00A03C0E"/>
    <w:rsid w:val="00A867C6"/>
    <w:rsid w:val="00AA481C"/>
    <w:rsid w:val="00AB576D"/>
    <w:rsid w:val="00AB6861"/>
    <w:rsid w:val="00AC160E"/>
    <w:rsid w:val="00B0403C"/>
    <w:rsid w:val="00B21CBD"/>
    <w:rsid w:val="00B366B4"/>
    <w:rsid w:val="00B82665"/>
    <w:rsid w:val="00BC04D7"/>
    <w:rsid w:val="00BE4229"/>
    <w:rsid w:val="00BF5A08"/>
    <w:rsid w:val="00C36022"/>
    <w:rsid w:val="00C5316A"/>
    <w:rsid w:val="00CA5057"/>
    <w:rsid w:val="00CB1E6F"/>
    <w:rsid w:val="00CB5C8F"/>
    <w:rsid w:val="00CF2BA3"/>
    <w:rsid w:val="00D1730A"/>
    <w:rsid w:val="00D279D7"/>
    <w:rsid w:val="00D60DAB"/>
    <w:rsid w:val="00D75CFA"/>
    <w:rsid w:val="00D84D40"/>
    <w:rsid w:val="00D96317"/>
    <w:rsid w:val="00DB63BF"/>
    <w:rsid w:val="00DD2BA7"/>
    <w:rsid w:val="00DD573A"/>
    <w:rsid w:val="00E01BD5"/>
    <w:rsid w:val="00E179D0"/>
    <w:rsid w:val="00E24DC7"/>
    <w:rsid w:val="00E419D9"/>
    <w:rsid w:val="00E5547E"/>
    <w:rsid w:val="00E75085"/>
    <w:rsid w:val="00EA5C43"/>
    <w:rsid w:val="00EC052E"/>
    <w:rsid w:val="00F05F5B"/>
    <w:rsid w:val="00F06D7F"/>
    <w:rsid w:val="00F078E9"/>
    <w:rsid w:val="00F24836"/>
    <w:rsid w:val="00F36C19"/>
    <w:rsid w:val="00F74B02"/>
    <w:rsid w:val="00FB0434"/>
    <w:rsid w:val="00FB1B41"/>
    <w:rsid w:val="00FB3CC9"/>
    <w:rsid w:val="00FE2E8C"/>
    <w:rsid w:val="02DF562C"/>
    <w:rsid w:val="032D48E5"/>
    <w:rsid w:val="039837D0"/>
    <w:rsid w:val="04497920"/>
    <w:rsid w:val="066C559F"/>
    <w:rsid w:val="069419C6"/>
    <w:rsid w:val="08281851"/>
    <w:rsid w:val="0AF15A72"/>
    <w:rsid w:val="0B422D73"/>
    <w:rsid w:val="0C0C6008"/>
    <w:rsid w:val="0C4F7AFC"/>
    <w:rsid w:val="0D5B6622"/>
    <w:rsid w:val="0E064421"/>
    <w:rsid w:val="0E3715D1"/>
    <w:rsid w:val="0ED234CD"/>
    <w:rsid w:val="0F654CC7"/>
    <w:rsid w:val="0F9E0A26"/>
    <w:rsid w:val="13422421"/>
    <w:rsid w:val="14903A2F"/>
    <w:rsid w:val="15D9563A"/>
    <w:rsid w:val="1887053C"/>
    <w:rsid w:val="19420C90"/>
    <w:rsid w:val="19D5374E"/>
    <w:rsid w:val="1AC31CB7"/>
    <w:rsid w:val="1BEF6124"/>
    <w:rsid w:val="1EAD2225"/>
    <w:rsid w:val="1F1F1226"/>
    <w:rsid w:val="1FE364B7"/>
    <w:rsid w:val="26570D53"/>
    <w:rsid w:val="27D848B8"/>
    <w:rsid w:val="29BD1AEA"/>
    <w:rsid w:val="2CDB483B"/>
    <w:rsid w:val="2FC40521"/>
    <w:rsid w:val="3405688C"/>
    <w:rsid w:val="34183798"/>
    <w:rsid w:val="34E11E02"/>
    <w:rsid w:val="388764A3"/>
    <w:rsid w:val="39385431"/>
    <w:rsid w:val="395D152B"/>
    <w:rsid w:val="3BC82B6A"/>
    <w:rsid w:val="3D3B56F0"/>
    <w:rsid w:val="3E4D3BDD"/>
    <w:rsid w:val="3FCF3ECE"/>
    <w:rsid w:val="41DA7DB9"/>
    <w:rsid w:val="447637E8"/>
    <w:rsid w:val="46814786"/>
    <w:rsid w:val="49EF4858"/>
    <w:rsid w:val="4AE9742D"/>
    <w:rsid w:val="4BA67C06"/>
    <w:rsid w:val="4CA46ED7"/>
    <w:rsid w:val="4D013E21"/>
    <w:rsid w:val="4D8D7228"/>
    <w:rsid w:val="4DDD2C7F"/>
    <w:rsid w:val="4F1826FF"/>
    <w:rsid w:val="500E4FCB"/>
    <w:rsid w:val="506C2AB0"/>
    <w:rsid w:val="53344C63"/>
    <w:rsid w:val="538751CC"/>
    <w:rsid w:val="541F5763"/>
    <w:rsid w:val="54E30327"/>
    <w:rsid w:val="55295806"/>
    <w:rsid w:val="55D3446A"/>
    <w:rsid w:val="593F63D3"/>
    <w:rsid w:val="598D36CC"/>
    <w:rsid w:val="5B423ECD"/>
    <w:rsid w:val="5CDA4DA9"/>
    <w:rsid w:val="5D3513BC"/>
    <w:rsid w:val="5E280101"/>
    <w:rsid w:val="62820F98"/>
    <w:rsid w:val="62873CEC"/>
    <w:rsid w:val="64035B71"/>
    <w:rsid w:val="64DB31B9"/>
    <w:rsid w:val="681842B0"/>
    <w:rsid w:val="6AE87D9C"/>
    <w:rsid w:val="6D2154B9"/>
    <w:rsid w:val="6F8561D3"/>
    <w:rsid w:val="6F8D2902"/>
    <w:rsid w:val="70271B5B"/>
    <w:rsid w:val="70845F00"/>
    <w:rsid w:val="71AC0C24"/>
    <w:rsid w:val="73DE3EA6"/>
    <w:rsid w:val="76FC46BF"/>
    <w:rsid w:val="773C67F0"/>
    <w:rsid w:val="7D397CC1"/>
    <w:rsid w:val="7DFA5EB0"/>
    <w:rsid w:val="7E3E73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link w:val="11"/>
    <w:qFormat/>
    <w:uiPriority w:val="0"/>
    <w:pPr>
      <w:spacing w:after="120"/>
    </w:pPr>
  </w:style>
  <w:style w:type="paragraph" w:styleId="4">
    <w:name w:val="Date"/>
    <w:basedOn w:val="1"/>
    <w:next w:val="1"/>
    <w:link w:val="12"/>
    <w:qFormat/>
    <w:uiPriority w:val="0"/>
    <w:pPr>
      <w:ind w:left="100" w:leftChars="2500"/>
    </w:pPr>
  </w:style>
  <w:style w:type="paragraph" w:styleId="5">
    <w:name w:val="Balloon Text"/>
    <w:basedOn w:val="1"/>
    <w:link w:val="13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Body Text Char"/>
    <w:basedOn w:val="10"/>
    <w:link w:val="3"/>
    <w:qFormat/>
    <w:locked/>
    <w:uiPriority w:val="0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12">
    <w:name w:val="Date Char"/>
    <w:basedOn w:val="10"/>
    <w:link w:val="4"/>
    <w:qFormat/>
    <w:locked/>
    <w:uiPriority w:val="0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13">
    <w:name w:val="Balloon Text Char"/>
    <w:basedOn w:val="10"/>
    <w:link w:val="5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4">
    <w:name w:val="Footer Char"/>
    <w:basedOn w:val="10"/>
    <w:link w:val="6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Header Char"/>
    <w:basedOn w:val="10"/>
    <w:link w:val="7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16">
    <w:name w:val="表格内容"/>
    <w:basedOn w:val="3"/>
    <w:qFormat/>
    <w:uiPriority w:val="0"/>
    <w:pPr>
      <w:suppressLineNumbers/>
      <w:suppressAutoHyphens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7</Pages>
  <Words>2705</Words>
  <Characters>2914</Characters>
  <Lines>38</Lines>
  <Paragraphs>10</Paragraphs>
  <TotalTime>6</TotalTime>
  <ScaleCrop>false</ScaleCrop>
  <LinksUpToDate>false</LinksUpToDate>
  <CharactersWithSpaces>2937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2018-08-09T00:21:00Z</dcterms:created>
  <dc:creator>周继恩 10.105.113.143</dc:creator>
  <cp:lastModifiedBy>童静</cp:lastModifiedBy>
  <cp:lastPrinted>2019-05-05T07:55:00Z</cp:lastPrinted>
  <dcterms:modified xsi:type="dcterms:W3CDTF">2026-03-25T02:07:38Z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CA88FE87EC5C4F73A7E37DAFC2D5A671_13</vt:lpwstr>
  </property>
  <property fmtid="{D5CDD505-2E9C-101B-9397-08002B2CF9AE}" pid="4" name="KSOTemplateDocerSaveRecord">
    <vt:lpwstr>eyJoZGlkIjoiZjNjOTczNTJlYzM0ZDEzNmYxNjlkMTBlMjYyYTQwMjYiLCJ1c2VySWQiOiIxNjU4NjQxNTExIn0=</vt:lpwstr>
  </property>
</Properties>
</file>