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DFD89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0"/>
          <w:sz w:val="72"/>
          <w:szCs w:val="72"/>
        </w:rPr>
      </w:pPr>
    </w:p>
    <w:p w14:paraId="24EF1D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微软雅黑" w:hAnsi="微软雅黑" w:eastAsia="微软雅黑" w:cs="微软雅黑"/>
          <w:kern w:val="0"/>
          <w:sz w:val="60"/>
          <w:szCs w:val="60"/>
        </w:rPr>
      </w:pPr>
      <w:r>
        <w:rPr>
          <w:rFonts w:hint="eastAsia" w:ascii="微软雅黑" w:hAnsi="微软雅黑" w:eastAsia="微软雅黑" w:cs="微软雅黑"/>
          <w:kern w:val="0"/>
          <w:sz w:val="60"/>
          <w:szCs w:val="60"/>
          <w:lang w:eastAsia="zh-CN"/>
        </w:rPr>
        <w:t>岳阳县老干部活动中心2026年</w:t>
      </w:r>
      <w:r>
        <w:rPr>
          <w:rFonts w:hint="eastAsia" w:ascii="微软雅黑" w:hAnsi="微软雅黑" w:eastAsia="微软雅黑" w:cs="微软雅黑"/>
          <w:kern w:val="0"/>
          <w:sz w:val="60"/>
          <w:szCs w:val="60"/>
        </w:rPr>
        <w:t>度</w:t>
      </w:r>
      <w:r>
        <w:rPr>
          <w:rFonts w:hint="eastAsia" w:ascii="微软雅黑" w:hAnsi="微软雅黑" w:eastAsia="微软雅黑" w:cs="微软雅黑"/>
          <w:kern w:val="0"/>
          <w:sz w:val="60"/>
          <w:szCs w:val="60"/>
          <w:lang w:val="en-US" w:eastAsia="zh-CN"/>
        </w:rPr>
        <w:t>单位预算</w:t>
      </w:r>
    </w:p>
    <w:p w14:paraId="4789C911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ind w:firstLine="880" w:firstLineChars="200"/>
        <w:jc w:val="center"/>
        <w:textAlignment w:val="auto"/>
        <w:rPr>
          <w:rFonts w:hint="eastAsia" w:ascii="黑体" w:hAnsi="黑体" w:eastAsia="黑体" w:cs="黑体"/>
          <w:kern w:val="0"/>
          <w:sz w:val="44"/>
          <w:szCs w:val="44"/>
        </w:rPr>
      </w:pPr>
    </w:p>
    <w:p w14:paraId="5D1AC35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ind w:firstLine="880" w:firstLineChars="200"/>
        <w:jc w:val="center"/>
        <w:textAlignment w:val="auto"/>
        <w:rPr>
          <w:rFonts w:hint="eastAsia" w:ascii="黑体" w:hAnsi="黑体" w:eastAsia="黑体" w:cs="黑体"/>
          <w:kern w:val="0"/>
          <w:sz w:val="44"/>
          <w:szCs w:val="44"/>
        </w:rPr>
      </w:pPr>
      <w:r>
        <w:rPr>
          <w:rFonts w:hint="eastAsia" w:ascii="黑体" w:hAnsi="黑体" w:eastAsia="黑体" w:cs="黑体"/>
          <w:kern w:val="0"/>
          <w:sz w:val="44"/>
          <w:szCs w:val="44"/>
        </w:rPr>
        <w:t>目录</w:t>
      </w:r>
    </w:p>
    <w:p w14:paraId="129514D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ind w:firstLine="643" w:firstLineChars="200"/>
        <w:textAlignment w:val="auto"/>
        <w:rPr>
          <w:rFonts w:ascii="仿宋_GB2312" w:eastAsia="仿宋_GB2312"/>
          <w:b/>
          <w:bCs/>
          <w:kern w:val="0"/>
          <w:sz w:val="32"/>
          <w:szCs w:val="32"/>
        </w:rPr>
      </w:pPr>
    </w:p>
    <w:p w14:paraId="501C1AD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黑体" w:cs="黑体"/>
          <w:color w:val="auto"/>
          <w:kern w:val="0"/>
          <w:sz w:val="32"/>
          <w:szCs w:val="32"/>
        </w:rPr>
      </w:pPr>
      <w:r>
        <w:rPr>
          <w:rFonts w:hint="eastAsia" w:eastAsia="黑体" w:cs="黑体"/>
          <w:color w:val="auto"/>
          <w:kern w:val="0"/>
          <w:sz w:val="32"/>
          <w:szCs w:val="32"/>
        </w:rPr>
        <w:t>第一部分</w:t>
      </w:r>
      <w:r>
        <w:rPr>
          <w:rFonts w:hint="eastAsia" w:eastAsia="黑体" w:cs="黑体"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eastAsia="黑体" w:cs="黑体"/>
          <w:color w:val="auto"/>
          <w:kern w:val="0"/>
          <w:sz w:val="32"/>
          <w:szCs w:val="32"/>
          <w:lang w:eastAsia="zh-CN"/>
        </w:rPr>
        <w:t>2026年</w:t>
      </w:r>
      <w:r>
        <w:rPr>
          <w:rFonts w:hint="eastAsia" w:eastAsia="黑体" w:cs="黑体"/>
          <w:color w:val="auto"/>
          <w:kern w:val="0"/>
          <w:sz w:val="32"/>
          <w:szCs w:val="32"/>
          <w:lang w:val="en-US" w:eastAsia="zh-CN"/>
        </w:rPr>
        <w:t>单位</w:t>
      </w:r>
      <w:r>
        <w:rPr>
          <w:rFonts w:hint="eastAsia" w:eastAsia="黑体" w:cs="黑体"/>
          <w:color w:val="auto"/>
          <w:kern w:val="0"/>
          <w:sz w:val="32"/>
          <w:szCs w:val="32"/>
          <w:lang w:eastAsia="zh-CN"/>
        </w:rPr>
        <w:t>预算</w:t>
      </w:r>
      <w:r>
        <w:rPr>
          <w:rFonts w:hint="eastAsia" w:eastAsia="黑体" w:cs="黑体"/>
          <w:color w:val="auto"/>
          <w:kern w:val="0"/>
          <w:sz w:val="32"/>
          <w:szCs w:val="32"/>
        </w:rPr>
        <w:t>说明</w:t>
      </w:r>
    </w:p>
    <w:p w14:paraId="075C49A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黑体" w:cs="黑体"/>
          <w:kern w:val="0"/>
          <w:sz w:val="32"/>
          <w:szCs w:val="32"/>
        </w:rPr>
      </w:pPr>
      <w:r>
        <w:rPr>
          <w:rFonts w:hint="eastAsia" w:eastAsia="黑体" w:cs="黑体"/>
          <w:kern w:val="0"/>
          <w:sz w:val="32"/>
          <w:szCs w:val="32"/>
        </w:rPr>
        <w:t>第二部分</w:t>
      </w:r>
      <w:r>
        <w:rPr>
          <w:rFonts w:hint="eastAsia" w:eastAsia="黑体" w:cs="黑体"/>
          <w:kern w:val="0"/>
          <w:sz w:val="32"/>
          <w:szCs w:val="32"/>
          <w:lang w:val="en-US" w:eastAsia="zh-CN"/>
        </w:rPr>
        <w:t xml:space="preserve">  单位</w:t>
      </w:r>
      <w:r>
        <w:rPr>
          <w:rFonts w:hint="eastAsia" w:eastAsia="黑体" w:cs="黑体"/>
          <w:kern w:val="0"/>
          <w:sz w:val="32"/>
          <w:szCs w:val="32"/>
          <w:lang w:eastAsia="zh-CN"/>
        </w:rPr>
        <w:t>预算</w:t>
      </w:r>
      <w:r>
        <w:rPr>
          <w:rFonts w:hint="eastAsia" w:eastAsia="黑体" w:cs="黑体"/>
          <w:kern w:val="0"/>
          <w:sz w:val="32"/>
          <w:szCs w:val="32"/>
        </w:rPr>
        <w:t>公开表格</w:t>
      </w:r>
    </w:p>
    <w:p w14:paraId="4C2622A2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1、收支总表</w:t>
      </w:r>
    </w:p>
    <w:p w14:paraId="3E2003A5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2、收入总表</w:t>
      </w:r>
    </w:p>
    <w:p w14:paraId="4F63F79B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3、支出总表</w:t>
      </w:r>
    </w:p>
    <w:p w14:paraId="16F75327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4、支出预算分类汇总表（按政府预算经济分类）</w:t>
      </w:r>
    </w:p>
    <w:p w14:paraId="7149FE4A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5、支出预算分类汇总表（按部门预算经济分类）</w:t>
      </w:r>
    </w:p>
    <w:p w14:paraId="14C11B85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6、财政拨款收支总表</w:t>
      </w:r>
    </w:p>
    <w:p w14:paraId="146FBBF9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7、一般公共预算支出表</w:t>
      </w:r>
    </w:p>
    <w:p w14:paraId="5F9E53A2">
      <w:pPr>
        <w:widowControl/>
        <w:spacing w:line="600" w:lineRule="exact"/>
        <w:ind w:firstLine="640" w:firstLineChars="200"/>
        <w:jc w:val="left"/>
      </w:pP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eastAsia="仿宋_GB2312"/>
          <w:sz w:val="32"/>
          <w:szCs w:val="32"/>
        </w:rPr>
        <w:t>、</w:t>
      </w:r>
      <w:r>
        <w:rPr>
          <w:rFonts w:hint="eastAsia" w:eastAsia="仿宋_GB2312"/>
          <w:sz w:val="32"/>
          <w:szCs w:val="32"/>
        </w:rPr>
        <w:t>一般公共预算基本支出表</w:t>
      </w:r>
    </w:p>
    <w:p w14:paraId="60B9626F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eastAsia="仿宋_GB2312"/>
          <w:sz w:val="32"/>
          <w:szCs w:val="32"/>
        </w:rPr>
        <w:t>、一般公共预算基本支出表-人员经费（工资福利支出）（按政府预算经济分类）</w:t>
      </w:r>
    </w:p>
    <w:p w14:paraId="59FF09DC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10</w:t>
      </w:r>
      <w:r>
        <w:rPr>
          <w:rFonts w:eastAsia="仿宋_GB2312"/>
          <w:sz w:val="32"/>
          <w:szCs w:val="32"/>
        </w:rPr>
        <w:t>、一般公共预算基本支出表-人员经费（工资福利支出）（按部门预算经济分类）</w:t>
      </w:r>
    </w:p>
    <w:p w14:paraId="5CF7D87B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eastAsia="仿宋_GB2312"/>
          <w:sz w:val="32"/>
          <w:szCs w:val="32"/>
        </w:rPr>
        <w:t>、一般公共预算基本支出表-人员经费（对个人和家庭的补助）（按政府预算经济分类）</w:t>
      </w:r>
    </w:p>
    <w:p w14:paraId="7A1B2991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eastAsia="仿宋_GB2312"/>
          <w:sz w:val="32"/>
          <w:szCs w:val="32"/>
        </w:rPr>
        <w:t>、一般公共预算基本支出表-人员经费（对个人和家庭的补助）（按部门预算经济分类）</w:t>
      </w:r>
    </w:p>
    <w:p w14:paraId="350AD3E5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eastAsia="仿宋_GB2312"/>
          <w:sz w:val="32"/>
          <w:szCs w:val="32"/>
        </w:rPr>
        <w:t>、一般公共预算基本支出表-</w:t>
      </w:r>
      <w:r>
        <w:rPr>
          <w:rFonts w:hint="eastAsia" w:eastAsia="仿宋_GB2312"/>
          <w:sz w:val="32"/>
          <w:szCs w:val="32"/>
          <w:lang w:eastAsia="zh-CN"/>
        </w:rPr>
        <w:t>公用</w:t>
      </w:r>
      <w:r>
        <w:rPr>
          <w:rFonts w:eastAsia="仿宋_GB2312"/>
          <w:sz w:val="32"/>
          <w:szCs w:val="32"/>
        </w:rPr>
        <w:t>经费（商品和服务支出）（按政府预算经济分类）</w:t>
      </w:r>
    </w:p>
    <w:p w14:paraId="72A806BC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eastAsia="仿宋_GB2312"/>
          <w:sz w:val="32"/>
          <w:szCs w:val="32"/>
        </w:rPr>
        <w:t>、一般公共预算基本支出表-</w:t>
      </w:r>
      <w:r>
        <w:rPr>
          <w:rFonts w:hint="eastAsia" w:eastAsia="仿宋_GB2312"/>
          <w:sz w:val="32"/>
          <w:szCs w:val="32"/>
          <w:lang w:eastAsia="zh-CN"/>
        </w:rPr>
        <w:t>公用</w:t>
      </w:r>
      <w:r>
        <w:rPr>
          <w:rFonts w:eastAsia="仿宋_GB2312"/>
          <w:sz w:val="32"/>
          <w:szCs w:val="32"/>
        </w:rPr>
        <w:t>经费（商品和服务支出）（按部门预算经济分类）</w:t>
      </w:r>
    </w:p>
    <w:p w14:paraId="0602F7A5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、一般公共预算“三公”经费支出表</w:t>
      </w:r>
    </w:p>
    <w:p w14:paraId="51DE0AD2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、政府性基金预算支出表</w:t>
      </w:r>
    </w:p>
    <w:p w14:paraId="0B2572DE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  <w:lang w:val="en-US" w:eastAsia="zh-CN"/>
        </w:rPr>
        <w:t>7</w:t>
      </w:r>
      <w:r>
        <w:rPr>
          <w:rFonts w:eastAsia="仿宋_GB2312"/>
          <w:sz w:val="32"/>
          <w:szCs w:val="32"/>
        </w:rPr>
        <w:t>、政府性基金预算支出分类汇总表（按政府预算经济分类）</w:t>
      </w:r>
    </w:p>
    <w:p w14:paraId="3F023D1B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eastAsia="仿宋_GB2312"/>
          <w:sz w:val="32"/>
          <w:szCs w:val="32"/>
        </w:rPr>
        <w:t>、政府性基金预算支出分类汇总表（按部门预算经济分类）</w:t>
      </w:r>
    </w:p>
    <w:p w14:paraId="0F80D80B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eastAsia="仿宋_GB2312"/>
          <w:sz w:val="32"/>
          <w:szCs w:val="32"/>
        </w:rPr>
        <w:t>、国有资本经营预算支出表</w:t>
      </w:r>
    </w:p>
    <w:p w14:paraId="4FDB7AFC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20</w:t>
      </w:r>
      <w:r>
        <w:rPr>
          <w:rFonts w:eastAsia="仿宋_GB2312"/>
          <w:sz w:val="32"/>
          <w:szCs w:val="32"/>
        </w:rPr>
        <w:t>、财政专户管理资金预算支出表</w:t>
      </w:r>
    </w:p>
    <w:p w14:paraId="2864D030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eastAsia="仿宋_GB2312"/>
          <w:sz w:val="32"/>
          <w:szCs w:val="32"/>
        </w:rPr>
        <w:t>、专项资金预算汇总表</w:t>
      </w:r>
    </w:p>
    <w:p w14:paraId="691CD3C7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eastAsia="仿宋_GB2312"/>
          <w:sz w:val="32"/>
          <w:szCs w:val="32"/>
          <w:lang w:eastAsia="zh-CN"/>
        </w:rPr>
        <w:t>、</w:t>
      </w:r>
      <w:r>
        <w:rPr>
          <w:rFonts w:hint="eastAsia" w:eastAsia="仿宋_GB2312"/>
          <w:sz w:val="32"/>
          <w:szCs w:val="32"/>
          <w:lang w:val="en-US" w:eastAsia="zh-CN"/>
        </w:rPr>
        <w:t>项目支出</w:t>
      </w:r>
      <w:r>
        <w:rPr>
          <w:rFonts w:eastAsia="仿宋_GB2312"/>
          <w:sz w:val="32"/>
          <w:szCs w:val="32"/>
        </w:rPr>
        <w:t>绩效目标表</w:t>
      </w:r>
    </w:p>
    <w:p w14:paraId="0DB85332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eastAsia="仿宋_GB2312"/>
          <w:sz w:val="32"/>
          <w:szCs w:val="32"/>
        </w:rPr>
        <w:t>、部门整体支出绩效目标表</w:t>
      </w:r>
    </w:p>
    <w:p w14:paraId="1C645262">
      <w:pPr>
        <w:widowControl/>
        <w:spacing w:line="600" w:lineRule="exact"/>
        <w:ind w:firstLine="643" w:firstLineChars="200"/>
        <w:rPr>
          <w:rFonts w:hint="eastAsia" w:eastAsia="仿宋_GB2312" w:cs="仿宋_GB2312"/>
          <w:b/>
          <w:bCs w:val="0"/>
          <w:color w:val="auto"/>
          <w:kern w:val="0"/>
          <w:sz w:val="32"/>
          <w:szCs w:val="32"/>
        </w:rPr>
      </w:pPr>
      <w:r>
        <w:rPr>
          <w:rFonts w:eastAsia="仿宋_GB2312"/>
          <w:b/>
          <w:bCs w:val="0"/>
          <w:color w:val="auto"/>
          <w:kern w:val="0"/>
          <w:sz w:val="32"/>
          <w:szCs w:val="32"/>
        </w:rPr>
        <w:t>注：以上</w:t>
      </w:r>
      <w:r>
        <w:rPr>
          <w:rFonts w:hint="eastAsia" w:eastAsia="仿宋_GB2312"/>
          <w:b/>
          <w:bCs w:val="0"/>
          <w:color w:val="auto"/>
          <w:kern w:val="0"/>
          <w:sz w:val="32"/>
          <w:szCs w:val="32"/>
          <w:lang w:val="en-US" w:eastAsia="zh-CN"/>
        </w:rPr>
        <w:t>单位</w:t>
      </w:r>
      <w:r>
        <w:rPr>
          <w:rFonts w:hint="eastAsia" w:eastAsia="仿宋_GB2312"/>
          <w:b/>
          <w:bCs w:val="0"/>
          <w:color w:val="auto"/>
          <w:kern w:val="0"/>
          <w:sz w:val="32"/>
          <w:szCs w:val="32"/>
          <w:lang w:eastAsia="zh-CN"/>
        </w:rPr>
        <w:t>预算</w:t>
      </w:r>
      <w:r>
        <w:rPr>
          <w:rFonts w:hint="eastAsia" w:eastAsia="仿宋_GB2312"/>
          <w:b/>
          <w:bCs w:val="0"/>
          <w:color w:val="auto"/>
          <w:kern w:val="0"/>
          <w:sz w:val="32"/>
          <w:szCs w:val="32"/>
          <w:lang w:val="en-US" w:eastAsia="zh-CN"/>
        </w:rPr>
        <w:t>公开</w:t>
      </w:r>
      <w:r>
        <w:rPr>
          <w:rFonts w:eastAsia="仿宋_GB2312"/>
          <w:b/>
          <w:bCs w:val="0"/>
          <w:color w:val="auto"/>
          <w:kern w:val="0"/>
          <w:sz w:val="32"/>
          <w:szCs w:val="32"/>
        </w:rPr>
        <w:t>报表中，空表表示本</w:t>
      </w:r>
      <w:r>
        <w:rPr>
          <w:rFonts w:hint="eastAsia" w:eastAsia="仿宋_GB2312"/>
          <w:b/>
          <w:bCs w:val="0"/>
          <w:color w:val="auto"/>
          <w:kern w:val="0"/>
          <w:sz w:val="32"/>
          <w:szCs w:val="32"/>
          <w:lang w:val="en-US" w:eastAsia="zh-CN"/>
        </w:rPr>
        <w:t>单位</w:t>
      </w:r>
      <w:r>
        <w:rPr>
          <w:rFonts w:eastAsia="仿宋_GB2312"/>
          <w:b/>
          <w:bCs w:val="0"/>
          <w:color w:val="auto"/>
          <w:kern w:val="0"/>
          <w:sz w:val="32"/>
          <w:szCs w:val="32"/>
        </w:rPr>
        <w:t>无相关收支情况。</w:t>
      </w:r>
    </w:p>
    <w:p w14:paraId="0A481E9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eastAsia="黑体" w:cs="黑体"/>
          <w:kern w:val="0"/>
          <w:sz w:val="32"/>
          <w:szCs w:val="32"/>
        </w:rPr>
      </w:pPr>
      <w:r>
        <w:rPr>
          <w:rFonts w:hint="eastAsia" w:eastAsia="黑体" w:cs="黑体"/>
          <w:kern w:val="0"/>
          <w:sz w:val="32"/>
          <w:szCs w:val="32"/>
        </w:rPr>
        <w:br w:type="page"/>
      </w:r>
      <w:r>
        <w:rPr>
          <w:rFonts w:hint="eastAsia" w:ascii="黑体" w:hAnsi="黑体" w:eastAsia="黑体" w:cs="黑体"/>
          <w:kern w:val="0"/>
          <w:sz w:val="32"/>
          <w:szCs w:val="32"/>
        </w:rPr>
        <w:t>第一部分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2026年单位预算</w:t>
      </w:r>
      <w:r>
        <w:rPr>
          <w:rFonts w:hint="eastAsia" w:ascii="黑体" w:hAnsi="黑体" w:eastAsia="黑体" w:cs="黑体"/>
          <w:kern w:val="0"/>
          <w:sz w:val="32"/>
          <w:szCs w:val="32"/>
        </w:rPr>
        <w:t>说明</w:t>
      </w:r>
    </w:p>
    <w:p w14:paraId="251EFFD1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仿宋_GB2312"/>
          <w:kern w:val="0"/>
          <w:sz w:val="32"/>
          <w:szCs w:val="32"/>
        </w:rPr>
      </w:pPr>
    </w:p>
    <w:p w14:paraId="3DD49BB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一、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单位</w:t>
      </w:r>
      <w:r>
        <w:rPr>
          <w:rFonts w:hint="eastAsia" w:ascii="黑体" w:hAnsi="黑体" w:eastAsia="黑体" w:cs="黑体"/>
          <w:kern w:val="0"/>
          <w:sz w:val="32"/>
          <w:szCs w:val="32"/>
        </w:rPr>
        <w:t>基本概况</w:t>
      </w:r>
    </w:p>
    <w:p w14:paraId="377DEBA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仿宋_GB2312"/>
          <w:kern w:val="0"/>
          <w:sz w:val="32"/>
          <w:szCs w:val="32"/>
        </w:rPr>
      </w:pPr>
      <w:r>
        <w:rPr>
          <w:rFonts w:hint="eastAsia" w:eastAsia="仿宋_GB2312" w:cs="仿宋_GB2312"/>
          <w:kern w:val="0"/>
          <w:sz w:val="32"/>
          <w:szCs w:val="32"/>
        </w:rPr>
        <w:t>（一）职能职责</w:t>
      </w:r>
    </w:p>
    <w:p w14:paraId="57A34BF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仿宋_GB2312"/>
          <w:kern w:val="0"/>
          <w:sz w:val="32"/>
          <w:szCs w:val="32"/>
        </w:rPr>
      </w:pPr>
      <w:r>
        <w:rPr>
          <w:rFonts w:hint="eastAsia" w:eastAsia="仿宋_GB2312" w:cs="仿宋_GB2312"/>
          <w:kern w:val="0"/>
          <w:sz w:val="32"/>
          <w:szCs w:val="32"/>
        </w:rPr>
        <w:t>宣传贯彻党和国家有关老干部的政策、方针，按照省市老干部工作会议精神认真做好离退休老干部服务管理工作，指导督促和检查各老干支部工作。</w:t>
      </w:r>
    </w:p>
    <w:p w14:paraId="3A8E4AD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仿宋_GB2312"/>
          <w:kern w:val="0"/>
          <w:sz w:val="32"/>
          <w:szCs w:val="32"/>
        </w:rPr>
      </w:pPr>
      <w:r>
        <w:rPr>
          <w:rFonts w:hint="eastAsia" w:eastAsia="仿宋_GB2312" w:cs="仿宋_GB2312"/>
          <w:kern w:val="0"/>
          <w:sz w:val="32"/>
          <w:szCs w:val="32"/>
        </w:rPr>
        <w:t>（二）机构设置</w:t>
      </w:r>
    </w:p>
    <w:p w14:paraId="16FFFE70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仿宋_GB2312"/>
          <w:kern w:val="0"/>
          <w:sz w:val="32"/>
          <w:szCs w:val="32"/>
        </w:rPr>
      </w:pPr>
      <w:r>
        <w:rPr>
          <w:rFonts w:hint="eastAsia" w:eastAsia="仿宋_GB2312" w:cs="仿宋_GB2312"/>
          <w:kern w:val="0"/>
          <w:sz w:val="32"/>
          <w:szCs w:val="32"/>
        </w:rPr>
        <w:t>岳阳县老干部活动中心为县委组织部所属副科级公益一类事业单位，设置办公室、生活待遇股、组织宣教股，挂靠管理6个老年组织（县关心下一代工作委员会、县老年书画协会、县老年人体育协会、县老年科技工作者协会、县老年保健协会、县老年大学）。现有在职人员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eastAsia="仿宋_GB2312" w:cs="仿宋_GB2312"/>
          <w:kern w:val="0"/>
          <w:sz w:val="32"/>
          <w:szCs w:val="32"/>
        </w:rPr>
        <w:t>人，退休人员1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eastAsia="仿宋_GB2312" w:cs="仿宋_GB2312"/>
          <w:kern w:val="0"/>
          <w:sz w:val="32"/>
          <w:szCs w:val="32"/>
        </w:rPr>
        <w:t>人。没有所属独立核算的二级机构，因此本年度部门预算仅为本级部门预算。</w:t>
      </w:r>
      <w:bookmarkStart w:id="0" w:name="_GoBack"/>
      <w:bookmarkEnd w:id="0"/>
    </w:p>
    <w:p w14:paraId="3393046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单位</w:t>
      </w:r>
      <w:r>
        <w:rPr>
          <w:rFonts w:hint="eastAsia" w:ascii="黑体" w:hAnsi="黑体" w:eastAsia="黑体" w:cs="黑体"/>
          <w:kern w:val="0"/>
          <w:sz w:val="32"/>
          <w:szCs w:val="32"/>
        </w:rPr>
        <w:t>收支总体情况</w:t>
      </w:r>
    </w:p>
    <w:p w14:paraId="715606DA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（一）收入预算</w:t>
      </w:r>
    </w:p>
    <w:p w14:paraId="483333E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仿宋_GB2312"/>
          <w:kern w:val="0"/>
          <w:sz w:val="32"/>
          <w:szCs w:val="32"/>
        </w:rPr>
      </w:pPr>
      <w:r>
        <w:rPr>
          <w:rFonts w:hint="eastAsia" w:eastAsia="仿宋_GB2312" w:cs="仿宋_GB2312"/>
          <w:kern w:val="0"/>
          <w:sz w:val="32"/>
          <w:szCs w:val="32"/>
          <w:lang w:eastAsia="zh-CN"/>
        </w:rPr>
        <w:t>包括一般公共预算、政府性基金、国有资本经营预算等财政拨款收入，以及经营收入、事业收入等单位资金。2026年本单位收入预算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240.39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万元，其中，一般公共预算拨款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240.39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万元，政府性基金预算拨款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万元，国有资本经营预算拨款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万元，财政专户管理资金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万元，上级补助收入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万元，事业单位经营收入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万元，上年结转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万元。本单位202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年没有政府性基金预算拨款和纳入专户管理的非税收入拨款收入，也没有使用政府性基金预算拨款、国有资本经营预算收入和纳入专户管理的非税收入拨款安排的支出，所以公开的附件16-18（政府性基金预算）、19（国有资本经营预算）、20表（财政专户管理资金预算）均为空。收入较去年减少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40.46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万元，主要是因为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离休退休老干部人员数量缩减，各项优待慰问、活动补助及专项保障支出相应压减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。</w:t>
      </w:r>
    </w:p>
    <w:p w14:paraId="7CDA85C9">
      <w:pPr>
        <w:widowControl/>
        <w:spacing w:line="600" w:lineRule="exact"/>
        <w:ind w:firstLine="630" w:firstLineChars="196"/>
        <w:jc w:val="left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（二）支出预算</w:t>
      </w:r>
    </w:p>
    <w:p w14:paraId="49A4018D">
      <w:pPr>
        <w:widowControl/>
        <w:spacing w:line="600" w:lineRule="exact"/>
        <w:ind w:firstLine="627" w:firstLineChars="196"/>
        <w:jc w:val="left"/>
        <w:rPr>
          <w:rFonts w:hint="eastAsia" w:eastAsia="仿宋_GB2312" w:cs="仿宋_GB2312"/>
          <w:kern w:val="0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CN"/>
        </w:rPr>
        <w:t>2026年本单位</w:t>
      </w:r>
      <w:r>
        <w:rPr>
          <w:rFonts w:eastAsia="仿宋_GB2312"/>
          <w:sz w:val="32"/>
          <w:szCs w:val="32"/>
        </w:rPr>
        <w:t>支出预算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240.39</w:t>
      </w:r>
      <w:r>
        <w:rPr>
          <w:rFonts w:eastAsia="仿宋_GB2312"/>
          <w:sz w:val="32"/>
          <w:szCs w:val="32"/>
        </w:rPr>
        <w:t>万元，</w:t>
      </w:r>
      <w:r>
        <w:rPr>
          <w:rFonts w:hint="eastAsia" w:eastAsia="仿宋_GB2312"/>
          <w:sz w:val="32"/>
          <w:szCs w:val="32"/>
        </w:rPr>
        <w:t>其中，一般公共服务</w:t>
      </w:r>
      <w:r>
        <w:rPr>
          <w:rFonts w:hint="eastAsia" w:eastAsia="仿宋_GB2312"/>
          <w:sz w:val="32"/>
          <w:szCs w:val="32"/>
          <w:lang w:val="en-US" w:eastAsia="zh-CN"/>
        </w:rPr>
        <w:t>224.14</w:t>
      </w:r>
      <w:r>
        <w:rPr>
          <w:rFonts w:hint="eastAsia" w:eastAsia="仿宋_GB2312"/>
          <w:sz w:val="32"/>
          <w:szCs w:val="32"/>
        </w:rPr>
        <w:t>万元，社会保障和就业支出7.</w:t>
      </w:r>
      <w:r>
        <w:rPr>
          <w:rFonts w:hint="eastAsia" w:eastAsia="仿宋_GB2312"/>
          <w:sz w:val="32"/>
          <w:szCs w:val="32"/>
          <w:lang w:val="en-US" w:eastAsia="zh-CN"/>
        </w:rPr>
        <w:t>18</w:t>
      </w:r>
      <w:r>
        <w:rPr>
          <w:rFonts w:hint="eastAsia" w:eastAsia="仿宋_GB2312"/>
          <w:sz w:val="32"/>
          <w:szCs w:val="32"/>
        </w:rPr>
        <w:t>万元，卫生健康支出4.</w:t>
      </w:r>
      <w:r>
        <w:rPr>
          <w:rFonts w:hint="eastAsia" w:eastAsia="仿宋_GB2312"/>
          <w:sz w:val="32"/>
          <w:szCs w:val="32"/>
          <w:lang w:val="en-US" w:eastAsia="zh-CN"/>
        </w:rPr>
        <w:t>01</w:t>
      </w:r>
      <w:r>
        <w:rPr>
          <w:rFonts w:hint="eastAsia" w:eastAsia="仿宋_GB2312"/>
          <w:sz w:val="32"/>
          <w:szCs w:val="32"/>
        </w:rPr>
        <w:t>万元，住房保障5.</w:t>
      </w:r>
      <w:r>
        <w:rPr>
          <w:rFonts w:hint="eastAsia" w:eastAsia="仿宋_GB2312"/>
          <w:sz w:val="32"/>
          <w:szCs w:val="32"/>
          <w:lang w:val="en-US" w:eastAsia="zh-CN"/>
        </w:rPr>
        <w:t>07</w:t>
      </w:r>
      <w:r>
        <w:rPr>
          <w:rFonts w:hint="eastAsia" w:eastAsia="仿宋_GB2312"/>
          <w:sz w:val="32"/>
          <w:szCs w:val="32"/>
        </w:rPr>
        <w:t>万元。支出较去年减少</w:t>
      </w:r>
      <w:r>
        <w:rPr>
          <w:rFonts w:hint="eastAsia" w:eastAsia="仿宋_GB2312"/>
          <w:sz w:val="32"/>
          <w:szCs w:val="32"/>
          <w:lang w:val="en-US" w:eastAsia="zh-CN"/>
        </w:rPr>
        <w:t>40.46</w:t>
      </w:r>
      <w:r>
        <w:rPr>
          <w:rFonts w:hint="eastAsia" w:eastAsia="仿宋_GB2312"/>
          <w:sz w:val="32"/>
          <w:szCs w:val="32"/>
        </w:rPr>
        <w:t>万元，其中基本支出减少5.</w:t>
      </w:r>
      <w:r>
        <w:rPr>
          <w:rFonts w:hint="eastAsia" w:eastAsia="仿宋_GB2312"/>
          <w:sz w:val="32"/>
          <w:szCs w:val="32"/>
          <w:lang w:val="en-US" w:eastAsia="zh-CN"/>
        </w:rPr>
        <w:t>55</w:t>
      </w:r>
      <w:r>
        <w:rPr>
          <w:rFonts w:hint="eastAsia" w:eastAsia="仿宋_GB2312"/>
          <w:sz w:val="32"/>
          <w:szCs w:val="32"/>
        </w:rPr>
        <w:t>万元，项目支出减少</w:t>
      </w:r>
      <w:r>
        <w:rPr>
          <w:rFonts w:hint="eastAsia" w:eastAsia="仿宋_GB2312"/>
          <w:sz w:val="32"/>
          <w:szCs w:val="32"/>
          <w:lang w:val="en-US" w:eastAsia="zh-CN"/>
        </w:rPr>
        <w:t>34.91</w:t>
      </w:r>
      <w:r>
        <w:rPr>
          <w:rFonts w:hint="eastAsia" w:eastAsia="仿宋_GB2312"/>
          <w:sz w:val="32"/>
          <w:szCs w:val="32"/>
        </w:rPr>
        <w:t>万元。其中基本支出较上年减少主要是因为人员经费减少，项目支出减少主要是因为离休退休老干部人员数量缩减，各项优待慰问、活动补助及专项保障支出相应压减。</w:t>
      </w:r>
    </w:p>
    <w:p w14:paraId="1E86AB1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kern w:val="0"/>
          <w:sz w:val="32"/>
          <w:szCs w:val="32"/>
        </w:rPr>
        <w:t>一般公共预算拨款支出预算</w:t>
      </w:r>
    </w:p>
    <w:p w14:paraId="48BE7B7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eastAsia="仿宋_GB2312" w:cs="仿宋_GB2312"/>
          <w:kern w:val="0"/>
          <w:sz w:val="32"/>
          <w:szCs w:val="32"/>
          <w:lang w:eastAsia="zh-CN"/>
        </w:rPr>
        <w:t>2026年</w:t>
      </w:r>
      <w:r>
        <w:rPr>
          <w:rFonts w:hint="eastAsia" w:eastAsia="仿宋_GB2312" w:cs="仿宋_GB2312"/>
          <w:kern w:val="0"/>
          <w:sz w:val="32"/>
          <w:szCs w:val="32"/>
        </w:rPr>
        <w:t>一般公共预算拨款支出预算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240.39</w:t>
      </w:r>
      <w:r>
        <w:rPr>
          <w:rFonts w:hint="eastAsia" w:eastAsia="仿宋_GB2312" w:cs="仿宋_GB2312"/>
          <w:kern w:val="0"/>
          <w:sz w:val="32"/>
          <w:szCs w:val="32"/>
        </w:rPr>
        <w:t>万元，其中，一般公共服务支出2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24.14</w:t>
      </w:r>
      <w:r>
        <w:rPr>
          <w:rFonts w:hint="eastAsia" w:eastAsia="仿宋_GB2312" w:cs="仿宋_GB2312"/>
          <w:kern w:val="0"/>
          <w:sz w:val="32"/>
          <w:szCs w:val="32"/>
        </w:rPr>
        <w:t>万元，占93.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24</w:t>
      </w:r>
      <w:r>
        <w:rPr>
          <w:rFonts w:hint="eastAsia" w:eastAsia="仿宋_GB2312" w:cs="仿宋_GB2312"/>
          <w:kern w:val="0"/>
          <w:sz w:val="32"/>
          <w:szCs w:val="32"/>
        </w:rPr>
        <w:t>%；社会保障和就业支出7.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18</w:t>
      </w:r>
      <w:r>
        <w:rPr>
          <w:rFonts w:hint="eastAsia" w:eastAsia="仿宋_GB2312" w:cs="仿宋_GB2312"/>
          <w:kern w:val="0"/>
          <w:sz w:val="32"/>
          <w:szCs w:val="32"/>
        </w:rPr>
        <w:t>万元，占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2.98</w:t>
      </w:r>
      <w:r>
        <w:rPr>
          <w:rFonts w:hint="eastAsia" w:eastAsia="仿宋_GB2312" w:cs="仿宋_GB2312"/>
          <w:kern w:val="0"/>
          <w:sz w:val="32"/>
          <w:szCs w:val="32"/>
        </w:rPr>
        <w:t>%；卫生健康支出4.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01</w:t>
      </w:r>
      <w:r>
        <w:rPr>
          <w:rFonts w:hint="eastAsia" w:eastAsia="仿宋_GB2312" w:cs="仿宋_GB2312"/>
          <w:kern w:val="0"/>
          <w:sz w:val="32"/>
          <w:szCs w:val="32"/>
        </w:rPr>
        <w:t>万元，占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1.67</w:t>
      </w:r>
      <w:r>
        <w:rPr>
          <w:rFonts w:hint="eastAsia" w:eastAsia="仿宋_GB2312" w:cs="仿宋_GB2312"/>
          <w:kern w:val="0"/>
          <w:sz w:val="32"/>
          <w:szCs w:val="32"/>
        </w:rPr>
        <w:t>%；住房保障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5.07</w:t>
      </w:r>
      <w:r>
        <w:rPr>
          <w:rFonts w:hint="eastAsia" w:eastAsia="仿宋_GB2312" w:cs="仿宋_GB2312"/>
          <w:kern w:val="0"/>
          <w:sz w:val="32"/>
          <w:szCs w:val="32"/>
        </w:rPr>
        <w:t>万元，占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2.11</w:t>
      </w:r>
      <w:r>
        <w:rPr>
          <w:rFonts w:hint="eastAsia" w:eastAsia="仿宋_GB2312" w:cs="仿宋_GB2312"/>
          <w:kern w:val="0"/>
          <w:sz w:val="32"/>
          <w:szCs w:val="32"/>
        </w:rPr>
        <w:t>%。具体安排情况如下：</w:t>
      </w:r>
    </w:p>
    <w:p w14:paraId="3172666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eastAsia="仿宋_GB2312" w:cs="仿宋_GB2312"/>
          <w:kern w:val="0"/>
          <w:sz w:val="32"/>
          <w:szCs w:val="32"/>
        </w:rPr>
        <w:t>（一）基本支出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：2026年基本支出年初预算数为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80.39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万元，是指为保障单位机构正常运转、完成日常工作任务而发生的各项支出，包括用于基本工资、津贴补贴等人员经费以及办公费、印刷费、水电费、差旅费等日常公用经费。</w:t>
      </w:r>
    </w:p>
    <w:p w14:paraId="22CBED26">
      <w:pPr>
        <w:widowControl/>
        <w:spacing w:line="600" w:lineRule="exact"/>
        <w:ind w:firstLine="66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 w:cs="仿宋_GB2312"/>
          <w:kern w:val="0"/>
          <w:sz w:val="32"/>
          <w:szCs w:val="32"/>
        </w:rPr>
        <w:t>（二）项目支出：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2026年</w:t>
      </w:r>
      <w:r>
        <w:rPr>
          <w:rFonts w:hint="eastAsia" w:eastAsia="仿宋_GB2312" w:cs="仿宋_GB2312"/>
          <w:kern w:val="0"/>
          <w:sz w:val="32"/>
          <w:szCs w:val="32"/>
        </w:rPr>
        <w:t>项目支出年初预算数为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160.00</w:t>
      </w:r>
      <w:r>
        <w:rPr>
          <w:rFonts w:hint="eastAsia" w:eastAsia="仿宋_GB2312" w:cs="仿宋_GB2312"/>
          <w:kern w:val="0"/>
          <w:sz w:val="32"/>
          <w:szCs w:val="32"/>
        </w:rPr>
        <w:t>万元，是指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eastAsia="仿宋_GB2312" w:cs="仿宋_GB2312"/>
          <w:kern w:val="0"/>
          <w:sz w:val="32"/>
          <w:szCs w:val="32"/>
        </w:rPr>
        <w:t>为完成特定行政工作任务或事业发展目标而发生的支出，包括有关业务工作经费</w:t>
      </w:r>
      <w:r>
        <w:rPr>
          <w:rFonts w:hint="eastAsia" w:eastAsia="仿宋_GB2312"/>
          <w:sz w:val="32"/>
          <w:szCs w:val="32"/>
          <w:lang w:eastAsia="zh-CN"/>
        </w:rPr>
        <w:t>、</w:t>
      </w:r>
      <w:r>
        <w:rPr>
          <w:rFonts w:hint="eastAsia" w:eastAsia="仿宋_GB2312"/>
          <w:sz w:val="32"/>
          <w:szCs w:val="32"/>
        </w:rPr>
        <w:t>运行维护经费</w:t>
      </w:r>
      <w:r>
        <w:rPr>
          <w:rFonts w:hint="eastAsia" w:eastAsia="仿宋_GB2312"/>
          <w:sz w:val="32"/>
          <w:szCs w:val="32"/>
          <w:lang w:val="en-US" w:eastAsia="zh-CN"/>
        </w:rPr>
        <w:t>等</w:t>
      </w:r>
      <w:r>
        <w:rPr>
          <w:rFonts w:hint="eastAsia" w:eastAsia="仿宋_GB2312"/>
          <w:sz w:val="32"/>
          <w:szCs w:val="32"/>
        </w:rPr>
        <w:t>。其中：业务工作经费支出1</w:t>
      </w:r>
      <w:r>
        <w:rPr>
          <w:rFonts w:hint="eastAsia" w:eastAsia="仿宋_GB2312"/>
          <w:sz w:val="32"/>
          <w:szCs w:val="32"/>
          <w:lang w:val="en-US" w:eastAsia="zh-CN"/>
        </w:rPr>
        <w:t>60.00</w:t>
      </w:r>
      <w:r>
        <w:rPr>
          <w:rFonts w:hint="eastAsia" w:eastAsia="仿宋_GB2312"/>
          <w:sz w:val="32"/>
          <w:szCs w:val="32"/>
        </w:rPr>
        <w:t>万元，主要用于处级老干部特需经费、建国初期参加革命工作退休人员生活补助费</w:t>
      </w:r>
      <w:r>
        <w:rPr>
          <w:rFonts w:hint="eastAsia" w:eastAsia="仿宋_GB2312"/>
          <w:sz w:val="32"/>
          <w:szCs w:val="32"/>
          <w:lang w:eastAsia="zh-CN"/>
        </w:rPr>
        <w:t>、五老组织活动经费</w:t>
      </w:r>
      <w:r>
        <w:rPr>
          <w:rFonts w:hint="eastAsia" w:eastAsia="仿宋_GB2312"/>
          <w:sz w:val="32"/>
          <w:szCs w:val="32"/>
        </w:rPr>
        <w:t>等方面；运行维护经费0万元。</w:t>
      </w:r>
    </w:p>
    <w:p w14:paraId="697B02E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、政府性基金预算支出</w:t>
      </w:r>
    </w:p>
    <w:p w14:paraId="65EE58A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eastAsia="仿宋_GB2312" w:cs="仿宋_GB2312"/>
          <w:color w:val="auto"/>
          <w:kern w:val="0"/>
          <w:sz w:val="32"/>
          <w:szCs w:val="32"/>
          <w:lang w:eastAsia="zh-CN"/>
        </w:rPr>
        <w:t>202</w:t>
      </w:r>
      <w:r>
        <w:rPr>
          <w:rFonts w:hint="eastAsia" w:eastAsia="仿宋_GB2312" w:cs="仿宋_GB2312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eastAsia" w:eastAsia="仿宋_GB2312" w:cs="仿宋_GB2312"/>
          <w:color w:val="auto"/>
          <w:kern w:val="0"/>
          <w:sz w:val="32"/>
          <w:szCs w:val="32"/>
          <w:lang w:eastAsia="zh-CN"/>
        </w:rPr>
        <w:t>年政府性基金预算拨款支出预算0万元，202</w:t>
      </w:r>
      <w:r>
        <w:rPr>
          <w:rFonts w:hint="eastAsia" w:eastAsia="仿宋_GB2312" w:cs="仿宋_GB2312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eastAsia" w:eastAsia="仿宋_GB2312" w:cs="仿宋_GB2312"/>
          <w:color w:val="auto"/>
          <w:kern w:val="0"/>
          <w:sz w:val="32"/>
          <w:szCs w:val="32"/>
          <w:lang w:eastAsia="zh-CN"/>
        </w:rPr>
        <w:t>年度本单位无政府性基金安排的支出，所以公开的附件16-18（政府性基金预算）为空。</w:t>
      </w:r>
    </w:p>
    <w:p w14:paraId="4E78AC9A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kern w:val="0"/>
          <w:sz w:val="32"/>
          <w:szCs w:val="32"/>
        </w:rPr>
        <w:t>、其他重要事项的情况说明</w:t>
      </w:r>
    </w:p>
    <w:p w14:paraId="2DCCAF0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（一）机关运行经费</w:t>
      </w:r>
    </w:p>
    <w:p w14:paraId="77BC914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eastAsia="仿宋_GB2312"/>
          <w:kern w:val="0"/>
          <w:sz w:val="32"/>
          <w:szCs w:val="32"/>
          <w:lang w:val="en-US" w:eastAsia="zh-CN"/>
        </w:rPr>
      </w:pPr>
      <w:r>
        <w:rPr>
          <w:rFonts w:hint="eastAsia" w:eastAsia="仿宋_GB2312" w:cs="仿宋_GB2312"/>
          <w:kern w:val="0"/>
          <w:sz w:val="32"/>
          <w:szCs w:val="32"/>
          <w:lang w:eastAsia="zh-CN"/>
        </w:rPr>
        <w:t>本单位2026年</w:t>
      </w:r>
      <w:r>
        <w:rPr>
          <w:rFonts w:hint="eastAsia" w:eastAsia="仿宋_GB2312" w:cs="仿宋_GB2312"/>
          <w:kern w:val="0"/>
          <w:sz w:val="32"/>
          <w:szCs w:val="32"/>
        </w:rPr>
        <w:t>机关运行经费当年一般公共预算拨款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13.02</w:t>
      </w:r>
      <w:r>
        <w:rPr>
          <w:rFonts w:hint="eastAsia" w:eastAsia="仿宋_GB2312" w:cs="仿宋_GB2312"/>
          <w:kern w:val="0"/>
          <w:sz w:val="32"/>
          <w:szCs w:val="32"/>
        </w:rPr>
        <w:t>万元，比</w:t>
      </w:r>
      <w:r>
        <w:rPr>
          <w:rFonts w:hint="eastAsia" w:eastAsia="仿宋_GB2312"/>
          <w:kern w:val="0"/>
          <w:sz w:val="32"/>
          <w:szCs w:val="32"/>
          <w:lang w:eastAsia="zh-CN"/>
        </w:rPr>
        <w:t>上一年</w:t>
      </w:r>
      <w:r>
        <w:rPr>
          <w:rFonts w:hint="eastAsia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>减少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2.16</w:t>
      </w:r>
      <w:r>
        <w:rPr>
          <w:rFonts w:hint="eastAsia" w:eastAsia="仿宋_GB2312" w:cs="仿宋_GB2312"/>
          <w:kern w:val="0"/>
          <w:sz w:val="32"/>
          <w:szCs w:val="32"/>
        </w:rPr>
        <w:t>万元，</w:t>
      </w:r>
      <w:r>
        <w:rPr>
          <w:rFonts w:hint="eastAsia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>降低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14.23</w:t>
      </w:r>
      <w:r>
        <w:rPr>
          <w:rFonts w:eastAsia="仿宋_GB2312"/>
          <w:kern w:val="0"/>
          <w:sz w:val="32"/>
          <w:szCs w:val="32"/>
        </w:rPr>
        <w:t>%</w:t>
      </w:r>
      <w:r>
        <w:rPr>
          <w:rFonts w:hint="eastAsia" w:eastAsia="仿宋_GB2312" w:cs="仿宋_GB2312"/>
          <w:kern w:val="0"/>
          <w:sz w:val="32"/>
          <w:szCs w:val="32"/>
        </w:rPr>
        <w:t>。主要原因是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单位人员编制及在岗职工数量有所减少，人员经费同步减少，日常公用经费支出较上年有所下降。</w:t>
      </w:r>
    </w:p>
    <w:p w14:paraId="641153C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（二）“三公”经费预算</w:t>
      </w:r>
    </w:p>
    <w:p w14:paraId="53C4745F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仿宋_GB2312"/>
          <w:kern w:val="0"/>
          <w:sz w:val="32"/>
          <w:szCs w:val="32"/>
        </w:rPr>
      </w:pPr>
      <w:r>
        <w:rPr>
          <w:rFonts w:hint="eastAsia" w:eastAsia="仿宋_GB2312" w:cs="仿宋_GB2312"/>
          <w:kern w:val="0"/>
          <w:sz w:val="32"/>
          <w:szCs w:val="32"/>
          <w:lang w:eastAsia="zh-CN"/>
        </w:rPr>
        <w:t>本单位2026年</w:t>
      </w:r>
      <w:r>
        <w:rPr>
          <w:rFonts w:hint="eastAsia" w:eastAsia="仿宋_GB2312" w:cs="仿宋_GB2312"/>
          <w:kern w:val="0"/>
          <w:sz w:val="32"/>
          <w:szCs w:val="32"/>
        </w:rPr>
        <w:t>“三公”经费预算数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3.00</w:t>
      </w:r>
      <w:r>
        <w:rPr>
          <w:rFonts w:hint="eastAsia" w:eastAsia="仿宋_GB2312" w:cs="仿宋_GB2312"/>
          <w:kern w:val="0"/>
          <w:sz w:val="32"/>
          <w:szCs w:val="32"/>
        </w:rPr>
        <w:t>万元，其中，公务接待费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3.00</w:t>
      </w:r>
      <w:r>
        <w:rPr>
          <w:rFonts w:hint="eastAsia" w:eastAsia="仿宋_GB2312" w:cs="仿宋_GB2312"/>
          <w:kern w:val="0"/>
          <w:sz w:val="32"/>
          <w:szCs w:val="32"/>
        </w:rPr>
        <w:t>万元，因公出国（境）费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</w:rPr>
        <w:t>万元，公务用车购置及运行费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</w:rPr>
        <w:t>万元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eastAsia="仿宋_GB2312" w:cs="仿宋_GB2312"/>
          <w:kern w:val="0"/>
          <w:sz w:val="32"/>
          <w:szCs w:val="32"/>
        </w:rPr>
        <w:t>其中公务用车购置费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</w:rPr>
        <w:t>万元，公务用车运行费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</w:rPr>
        <w:t>万元。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与</w:t>
      </w:r>
      <w:r>
        <w:rPr>
          <w:rFonts w:hint="eastAsia" w:eastAsia="仿宋_GB2312"/>
          <w:kern w:val="0"/>
          <w:sz w:val="32"/>
          <w:szCs w:val="32"/>
          <w:lang w:eastAsia="zh-CN"/>
        </w:rPr>
        <w:t>上一年</w:t>
      </w:r>
      <w:r>
        <w:rPr>
          <w:rFonts w:hint="eastAsia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>持平</w:t>
      </w:r>
      <w:r>
        <w:rPr>
          <w:rFonts w:hint="eastAsia" w:eastAsia="仿宋_GB2312"/>
          <w:color w:val="auto"/>
          <w:kern w:val="0"/>
          <w:sz w:val="32"/>
          <w:szCs w:val="32"/>
          <w:u w:val="none"/>
          <w:lang w:eastAsia="zh-CN"/>
        </w:rPr>
        <w:t>。</w:t>
      </w:r>
    </w:p>
    <w:p w14:paraId="0F1F139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（三）一般性支出情况</w:t>
      </w:r>
    </w:p>
    <w:p w14:paraId="7E36BB0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eastAsia="仿宋_GB2312" w:cs="仿宋_GB2312"/>
          <w:color w:val="auto"/>
          <w:kern w:val="0"/>
          <w:sz w:val="32"/>
          <w:szCs w:val="32"/>
          <w:lang w:eastAsia="zh-CN"/>
        </w:rPr>
        <w:t>本单位202</w:t>
      </w:r>
      <w:r>
        <w:rPr>
          <w:rFonts w:hint="eastAsia" w:eastAsia="仿宋_GB2312" w:cs="仿宋_GB2312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eastAsia" w:eastAsia="仿宋_GB2312" w:cs="仿宋_GB2312"/>
          <w:color w:val="auto"/>
          <w:kern w:val="0"/>
          <w:sz w:val="32"/>
          <w:szCs w:val="32"/>
          <w:lang w:eastAsia="zh-CN"/>
        </w:rPr>
        <w:t>年会议费预算0万元，拟召开0次会议，人数0人，内容为无；培训费预算0万元，拟开展0次培训，人数0人，内容无；计划举办节庆、晚会、论坛、赛事活动0万元，内容无。202</w:t>
      </w:r>
      <w:r>
        <w:rPr>
          <w:rFonts w:hint="eastAsia" w:eastAsia="仿宋_GB2312" w:cs="仿宋_GB2312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eastAsia" w:eastAsia="仿宋_GB2312" w:cs="仿宋_GB2312"/>
          <w:color w:val="auto"/>
          <w:kern w:val="0"/>
          <w:sz w:val="32"/>
          <w:szCs w:val="32"/>
          <w:lang w:eastAsia="zh-CN"/>
        </w:rPr>
        <w:t>年度本单位未计划安排会议、培训，未计划举办节庆、晚会、论坛、赛事活动。</w:t>
      </w:r>
    </w:p>
    <w:p w14:paraId="5A741AEA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eastAsia="zh-CN"/>
        </w:rPr>
        <w:t>（四）政府采购情况</w:t>
      </w:r>
    </w:p>
    <w:p w14:paraId="5214B15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仿宋_GB2312"/>
          <w:color w:val="3216DC"/>
          <w:kern w:val="0"/>
          <w:sz w:val="32"/>
          <w:szCs w:val="32"/>
          <w:lang w:eastAsia="zh-CN"/>
        </w:rPr>
      </w:pPr>
      <w:r>
        <w:rPr>
          <w:rFonts w:hint="eastAsia" w:eastAsia="仿宋_GB2312" w:cs="仿宋_GB2312"/>
          <w:color w:val="auto"/>
          <w:kern w:val="0"/>
          <w:sz w:val="32"/>
          <w:szCs w:val="32"/>
          <w:lang w:eastAsia="zh-CN"/>
        </w:rPr>
        <w:t>本单位2026年</w:t>
      </w:r>
      <w:r>
        <w:rPr>
          <w:rFonts w:hint="eastAsia" w:eastAsia="仿宋_GB2312" w:cs="仿宋_GB2312"/>
          <w:color w:val="auto"/>
          <w:kern w:val="0"/>
          <w:sz w:val="32"/>
          <w:szCs w:val="32"/>
        </w:rPr>
        <w:t>政府采购预算总额</w:t>
      </w:r>
      <w:r>
        <w:rPr>
          <w:rFonts w:hint="eastAsia" w:eastAsia="仿宋_GB2312"/>
          <w:color w:val="auto"/>
          <w:kern w:val="0"/>
          <w:sz w:val="32"/>
          <w:szCs w:val="32"/>
          <w:lang w:val="en-US" w:eastAsia="zh-CN"/>
        </w:rPr>
        <w:t>1.00</w:t>
      </w:r>
      <w:r>
        <w:rPr>
          <w:rFonts w:hint="eastAsia" w:eastAsia="仿宋_GB2312" w:cs="仿宋_GB2312"/>
          <w:color w:val="auto"/>
          <w:kern w:val="0"/>
          <w:sz w:val="32"/>
          <w:szCs w:val="32"/>
        </w:rPr>
        <w:t>万元，其中工程类</w:t>
      </w:r>
      <w:r>
        <w:rPr>
          <w:rFonts w:hint="eastAsia" w:eastAsia="仿宋_GB2312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color w:val="auto"/>
          <w:kern w:val="0"/>
          <w:sz w:val="32"/>
          <w:szCs w:val="32"/>
        </w:rPr>
        <w:t>万元，货物类</w:t>
      </w:r>
      <w:r>
        <w:rPr>
          <w:rFonts w:hint="eastAsia" w:eastAsia="仿宋_GB2312"/>
          <w:color w:val="auto"/>
          <w:kern w:val="0"/>
          <w:sz w:val="32"/>
          <w:szCs w:val="32"/>
          <w:lang w:val="en-US" w:eastAsia="zh-CN"/>
        </w:rPr>
        <w:t>1.00</w:t>
      </w:r>
      <w:r>
        <w:rPr>
          <w:rFonts w:hint="eastAsia" w:eastAsia="仿宋_GB2312" w:cs="仿宋_GB2312"/>
          <w:color w:val="auto"/>
          <w:kern w:val="0"/>
          <w:sz w:val="32"/>
          <w:szCs w:val="32"/>
        </w:rPr>
        <w:t>万元，服务类</w:t>
      </w:r>
      <w:r>
        <w:rPr>
          <w:rFonts w:hint="eastAsia" w:eastAsia="仿宋_GB2312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color w:val="auto"/>
          <w:kern w:val="0"/>
          <w:sz w:val="32"/>
          <w:szCs w:val="32"/>
        </w:rPr>
        <w:t>万元。</w:t>
      </w:r>
    </w:p>
    <w:p w14:paraId="02327D4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（五）国有资产占有使用及新增资产配置情况</w:t>
      </w:r>
    </w:p>
    <w:p w14:paraId="508EDF20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仿宋_GB2312"/>
          <w:color w:val="auto"/>
          <w:kern w:val="0"/>
          <w:sz w:val="32"/>
          <w:szCs w:val="32"/>
        </w:rPr>
      </w:pPr>
      <w:r>
        <w:rPr>
          <w:rFonts w:hint="eastAsia" w:eastAsia="仿宋_GB2312" w:cs="仿宋_GB2312"/>
          <w:color w:val="auto"/>
          <w:kern w:val="0"/>
          <w:sz w:val="32"/>
          <w:szCs w:val="32"/>
        </w:rPr>
        <w:t>截至上一年12月底，本单位共有车辆0辆，其中领导干部用车0辆，一般公务用车0辆，其他用车0辆。单位价值50万元以上通用设备0台，单位价值100万元以上专用设备0台。</w:t>
      </w:r>
    </w:p>
    <w:p w14:paraId="1731D1E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仿宋_GB2312"/>
          <w:color w:val="auto"/>
          <w:kern w:val="0"/>
          <w:sz w:val="32"/>
          <w:szCs w:val="32"/>
        </w:rPr>
      </w:pPr>
      <w:r>
        <w:rPr>
          <w:rFonts w:hint="eastAsia" w:eastAsia="仿宋_GB2312" w:cs="仿宋_GB2312"/>
          <w:color w:val="auto"/>
          <w:kern w:val="0"/>
          <w:sz w:val="32"/>
          <w:szCs w:val="32"/>
        </w:rPr>
        <w:t>202</w:t>
      </w:r>
      <w:r>
        <w:rPr>
          <w:rFonts w:hint="eastAsia" w:eastAsia="仿宋_GB2312" w:cs="仿宋_GB2312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eastAsia" w:eastAsia="仿宋_GB2312" w:cs="仿宋_GB2312"/>
          <w:color w:val="auto"/>
          <w:kern w:val="0"/>
          <w:sz w:val="32"/>
          <w:szCs w:val="32"/>
        </w:rPr>
        <w:t>年拟报废处置公务用车0辆，拟新增配置车辆0辆，其中领导干部用车0辆，一般公务用车0辆，其他用车0辆，本单位无公务车辆。</w:t>
      </w:r>
    </w:p>
    <w:p w14:paraId="0A681E6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仿宋_GB2312"/>
          <w:color w:val="auto"/>
          <w:kern w:val="0"/>
          <w:sz w:val="32"/>
          <w:szCs w:val="32"/>
        </w:rPr>
      </w:pPr>
      <w:r>
        <w:rPr>
          <w:rFonts w:hint="eastAsia" w:eastAsia="仿宋_GB2312" w:cs="仿宋_GB2312"/>
          <w:color w:val="auto"/>
          <w:kern w:val="0"/>
          <w:sz w:val="32"/>
          <w:szCs w:val="32"/>
        </w:rPr>
        <w:t>202</w:t>
      </w:r>
      <w:r>
        <w:rPr>
          <w:rFonts w:hint="eastAsia" w:eastAsia="仿宋_GB2312" w:cs="仿宋_GB2312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eastAsia" w:eastAsia="仿宋_GB2312" w:cs="仿宋_GB2312"/>
          <w:color w:val="auto"/>
          <w:kern w:val="0"/>
          <w:sz w:val="32"/>
          <w:szCs w:val="32"/>
        </w:rPr>
        <w:t>年拟新增配备单位价值50万元以上通用设备0台，单位价值100万元以上专用设备0台。202</w:t>
      </w:r>
      <w:r>
        <w:rPr>
          <w:rFonts w:hint="eastAsia" w:eastAsia="仿宋_GB2312" w:cs="仿宋_GB2312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eastAsia" w:eastAsia="仿宋_GB2312" w:cs="仿宋_GB2312"/>
          <w:color w:val="auto"/>
          <w:kern w:val="0"/>
          <w:sz w:val="32"/>
          <w:szCs w:val="32"/>
        </w:rPr>
        <w:t>年度本单位未计划处置或新增车辆、设备等。</w:t>
      </w:r>
    </w:p>
    <w:p w14:paraId="68C54990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（六）预算绩效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目标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说明</w:t>
      </w:r>
    </w:p>
    <w:p w14:paraId="6A5E9C8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eastAsia="仿宋_GB2312"/>
          <w:bCs/>
          <w:kern w:val="0"/>
          <w:sz w:val="32"/>
          <w:szCs w:val="32"/>
          <w:lang w:eastAsia="zh-CN"/>
        </w:rPr>
        <w:t>本单位</w:t>
      </w:r>
      <w:r>
        <w:rPr>
          <w:rFonts w:eastAsia="仿宋_GB2312"/>
          <w:bCs/>
          <w:kern w:val="0"/>
          <w:sz w:val="32"/>
          <w:szCs w:val="32"/>
        </w:rPr>
        <w:t>所有支出实行绩效目标管理。纳入</w:t>
      </w:r>
      <w:r>
        <w:rPr>
          <w:rFonts w:hint="eastAsia" w:eastAsia="仿宋_GB2312"/>
          <w:bCs/>
          <w:kern w:val="0"/>
          <w:sz w:val="32"/>
          <w:szCs w:val="32"/>
          <w:lang w:eastAsia="zh-CN"/>
        </w:rPr>
        <w:t>2026年单位</w:t>
      </w:r>
      <w:r>
        <w:rPr>
          <w:rFonts w:eastAsia="仿宋_GB2312"/>
          <w:bCs/>
          <w:kern w:val="0"/>
          <w:sz w:val="32"/>
          <w:szCs w:val="32"/>
        </w:rPr>
        <w:t>整体支出绩效目标的金额为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240.39</w:t>
      </w:r>
      <w:r>
        <w:rPr>
          <w:rFonts w:eastAsia="仿宋_GB2312"/>
          <w:bCs/>
          <w:kern w:val="0"/>
          <w:sz w:val="32"/>
          <w:szCs w:val="32"/>
        </w:rPr>
        <w:t>万元，其中，基本支出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80.39</w:t>
      </w:r>
      <w:r>
        <w:rPr>
          <w:rFonts w:eastAsia="仿宋_GB2312"/>
          <w:bCs/>
          <w:kern w:val="0"/>
          <w:sz w:val="32"/>
          <w:szCs w:val="32"/>
        </w:rPr>
        <w:t>万元，项目支出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160.00</w:t>
      </w:r>
      <w:r>
        <w:rPr>
          <w:rFonts w:eastAsia="仿宋_GB2312"/>
          <w:bCs/>
          <w:kern w:val="0"/>
          <w:sz w:val="32"/>
          <w:szCs w:val="32"/>
        </w:rPr>
        <w:t>万元，</w:t>
      </w:r>
      <w:r>
        <w:rPr>
          <w:rFonts w:hint="eastAsia" w:eastAsia="仿宋_GB2312" w:cs="仿宋_GB2312"/>
          <w:color w:val="auto"/>
          <w:kern w:val="0"/>
          <w:sz w:val="32"/>
          <w:szCs w:val="32"/>
          <w:lang w:eastAsia="zh-CN"/>
        </w:rPr>
        <w:t>详见文尾附表中单位预算公开表格的</w:t>
      </w:r>
      <w:r>
        <w:rPr>
          <w:rFonts w:hint="eastAsia" w:eastAsia="仿宋_GB2312" w:cs="仿宋_GB2312"/>
          <w:color w:val="auto"/>
          <w:kern w:val="0"/>
          <w:sz w:val="32"/>
          <w:szCs w:val="32"/>
          <w:lang w:val="en-US" w:eastAsia="zh-CN"/>
        </w:rPr>
        <w:t>表22-23</w:t>
      </w:r>
      <w:r>
        <w:rPr>
          <w:rFonts w:hint="eastAsia" w:eastAsia="仿宋_GB2312" w:cs="仿宋_GB2312"/>
          <w:color w:val="auto"/>
          <w:kern w:val="0"/>
          <w:sz w:val="32"/>
          <w:szCs w:val="32"/>
          <w:lang w:eastAsia="zh-CN"/>
        </w:rPr>
        <w:t>。</w:t>
      </w:r>
    </w:p>
    <w:p w14:paraId="42D07D0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kern w:val="0"/>
          <w:sz w:val="32"/>
          <w:szCs w:val="32"/>
        </w:rPr>
        <w:t>、名词解释</w:t>
      </w:r>
    </w:p>
    <w:p w14:paraId="12CE72A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/>
          <w:kern w:val="0"/>
          <w:sz w:val="32"/>
          <w:szCs w:val="32"/>
          <w:lang w:eastAsia="zh-CN"/>
        </w:rPr>
      </w:pPr>
      <w:r>
        <w:rPr>
          <w:rFonts w:hint="eastAsia" w:eastAsia="仿宋_GB2312"/>
          <w:kern w:val="0"/>
          <w:sz w:val="32"/>
          <w:szCs w:val="32"/>
        </w:rPr>
        <w:t>1、机关运行经费：是指各</w:t>
      </w:r>
      <w:r>
        <w:rPr>
          <w:rFonts w:hint="eastAsia" w:eastAsia="仿宋_GB2312"/>
          <w:kern w:val="0"/>
          <w:sz w:val="32"/>
          <w:szCs w:val="32"/>
          <w:lang w:eastAsia="zh-CN"/>
        </w:rPr>
        <w:t>单位</w:t>
      </w:r>
      <w:r>
        <w:rPr>
          <w:rFonts w:hint="eastAsia" w:eastAsia="仿宋_GB2312"/>
          <w:kern w:val="0"/>
          <w:sz w:val="32"/>
          <w:szCs w:val="32"/>
        </w:rPr>
        <w:t>的公用经费，包括办公及印刷费、邮电费、差旅费、会议费、福利费、日常维修费、专用资料及一般设备购置费、办公用房水电费、办公用房取暖费、办公用房物业管理费、公务用车运行维护费以及其他费用。</w:t>
      </w:r>
    </w:p>
    <w:p w14:paraId="6C1F7B3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eastAsia="仿宋_GB2312"/>
          <w:kern w:val="0"/>
          <w:sz w:val="32"/>
          <w:szCs w:val="32"/>
          <w:lang w:val="en-US" w:eastAsia="zh-CN"/>
        </w:rPr>
      </w:pPr>
      <w:r>
        <w:rPr>
          <w:rFonts w:hint="eastAsia" w:eastAsia="仿宋_GB2312"/>
          <w:kern w:val="0"/>
          <w:sz w:val="32"/>
          <w:szCs w:val="32"/>
        </w:rPr>
        <w:t>2、“三公”经费：纳入财政预算管理的“三公“经费，是指用一般公共预算拨款安排的公务接待费、公务用车购置及运行维护费和因公出国（境）费。其中，公务接待费反映</w:t>
      </w:r>
      <w:r>
        <w:rPr>
          <w:rFonts w:hint="eastAsia" w:eastAsia="仿宋_GB2312"/>
          <w:kern w:val="0"/>
          <w:sz w:val="32"/>
          <w:szCs w:val="32"/>
          <w:lang w:eastAsia="zh-CN"/>
        </w:rPr>
        <w:t>单位</w:t>
      </w:r>
      <w:r>
        <w:rPr>
          <w:rFonts w:hint="eastAsia" w:eastAsia="仿宋_GB2312"/>
          <w:kern w:val="0"/>
          <w:sz w:val="32"/>
          <w:szCs w:val="32"/>
        </w:rPr>
        <w:t>按规定开支的各类公务接待支出；公务用车购置及运行费反映</w:t>
      </w:r>
      <w:r>
        <w:rPr>
          <w:rFonts w:hint="eastAsia" w:eastAsia="仿宋_GB2312"/>
          <w:kern w:val="0"/>
          <w:sz w:val="32"/>
          <w:szCs w:val="32"/>
          <w:lang w:eastAsia="zh-CN"/>
        </w:rPr>
        <w:t>单位</w:t>
      </w:r>
      <w:r>
        <w:rPr>
          <w:rFonts w:hint="eastAsia" w:eastAsia="仿宋_GB2312"/>
          <w:kern w:val="0"/>
          <w:sz w:val="32"/>
          <w:szCs w:val="32"/>
        </w:rPr>
        <w:t>公务用车车辆购置支出（含车辆购置税），以及燃料费、维修费、保险费等支出；因公出国（境）费反映</w:t>
      </w:r>
      <w:r>
        <w:rPr>
          <w:rFonts w:hint="eastAsia" w:eastAsia="仿宋_GB2312"/>
          <w:kern w:val="0"/>
          <w:sz w:val="32"/>
          <w:szCs w:val="32"/>
          <w:lang w:eastAsia="zh-CN"/>
        </w:rPr>
        <w:t>单位</w:t>
      </w:r>
      <w:r>
        <w:rPr>
          <w:rFonts w:hint="eastAsia" w:eastAsia="仿宋_GB2312"/>
          <w:kern w:val="0"/>
          <w:sz w:val="32"/>
          <w:szCs w:val="32"/>
        </w:rPr>
        <w:t>公务出国（境）的国际旅费、国外城市间交通费、食宿费等支出。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 xml:space="preserve">               </w:t>
      </w:r>
    </w:p>
    <w:p w14:paraId="4A4170F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eastAsia="黑体" w:cs="黑体"/>
          <w:kern w:val="0"/>
          <w:sz w:val="32"/>
          <w:szCs w:val="32"/>
        </w:rPr>
        <w:br w:type="page"/>
      </w:r>
      <w:r>
        <w:rPr>
          <w:rFonts w:hint="eastAsia" w:eastAsia="黑体" w:cs="黑体"/>
          <w:kern w:val="0"/>
          <w:sz w:val="32"/>
          <w:szCs w:val="32"/>
        </w:rPr>
        <w:t>第二部分</w:t>
      </w:r>
      <w:r>
        <w:rPr>
          <w:rFonts w:hint="eastAsia" w:eastAsia="黑体" w:cs="黑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eastAsia="黑体" w:cs="黑体"/>
          <w:kern w:val="0"/>
          <w:sz w:val="32"/>
          <w:szCs w:val="32"/>
          <w:lang w:eastAsia="zh-CN"/>
        </w:rPr>
        <w:t>单位预算</w:t>
      </w:r>
      <w:r>
        <w:rPr>
          <w:rFonts w:hint="eastAsia" w:eastAsia="黑体" w:cs="黑体"/>
          <w:kern w:val="0"/>
          <w:sz w:val="32"/>
          <w:szCs w:val="32"/>
          <w:lang w:val="en-US" w:eastAsia="zh-CN"/>
        </w:rPr>
        <w:t>公开</w:t>
      </w:r>
      <w:r>
        <w:rPr>
          <w:rFonts w:hint="eastAsia" w:eastAsia="黑体" w:cs="黑体"/>
          <w:kern w:val="0"/>
          <w:sz w:val="32"/>
          <w:szCs w:val="32"/>
        </w:rPr>
        <w:t>表</w:t>
      </w:r>
      <w:r>
        <w:rPr>
          <w:rFonts w:hint="eastAsia" w:eastAsia="黑体" w:cs="黑体"/>
          <w:kern w:val="0"/>
          <w:sz w:val="32"/>
          <w:szCs w:val="32"/>
          <w:lang w:val="en-US" w:eastAsia="zh-CN"/>
        </w:rPr>
        <w:t>格</w:t>
      </w:r>
    </w:p>
    <w:p w14:paraId="46EB83C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11520" w:firstLineChars="3600"/>
        <w:textAlignment w:val="auto"/>
        <w:rPr>
          <w:rFonts w:hint="default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eastAsia="黑体" w:cs="黑体"/>
          <w:kern w:val="0"/>
          <w:sz w:val="32"/>
          <w:szCs w:val="32"/>
          <w:lang w:eastAsia="zh-CN"/>
        </w:rPr>
        <w:t>附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4917658-52BA-4DA6-8223-30992EF0418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2CB7CF47-FB2B-4FCB-BBA8-F3AE76E8587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58904010-82CC-41E1-8B5E-9DED245D7DD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F475B87-7569-4594-BAA1-045D8B3D7DC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F03952A5-DAFA-46D9-B04C-ED689F78A2D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8D5606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ED2DB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D181E1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B636B5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49BB8A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0970E7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1YTA5Yzk4NmQ3NzkyYzIyNzdmNGNjNTM3N2I0NGIifQ=="/>
  </w:docVars>
  <w:rsids>
    <w:rsidRoot w:val="00CA5057"/>
    <w:rsid w:val="00001697"/>
    <w:rsid w:val="000034D6"/>
    <w:rsid w:val="0006270B"/>
    <w:rsid w:val="00065DA2"/>
    <w:rsid w:val="00117900"/>
    <w:rsid w:val="001336FC"/>
    <w:rsid w:val="00193395"/>
    <w:rsid w:val="001A0136"/>
    <w:rsid w:val="001A3382"/>
    <w:rsid w:val="001A3861"/>
    <w:rsid w:val="001A6377"/>
    <w:rsid w:val="001C6E63"/>
    <w:rsid w:val="001D154A"/>
    <w:rsid w:val="001F365A"/>
    <w:rsid w:val="00203B0A"/>
    <w:rsid w:val="0025517E"/>
    <w:rsid w:val="00270E85"/>
    <w:rsid w:val="002B0968"/>
    <w:rsid w:val="002C117B"/>
    <w:rsid w:val="002F5747"/>
    <w:rsid w:val="002F57F8"/>
    <w:rsid w:val="00344D3D"/>
    <w:rsid w:val="003457B4"/>
    <w:rsid w:val="00355284"/>
    <w:rsid w:val="003C0AE2"/>
    <w:rsid w:val="003C0E16"/>
    <w:rsid w:val="003C62F5"/>
    <w:rsid w:val="003E6642"/>
    <w:rsid w:val="00452611"/>
    <w:rsid w:val="00464A20"/>
    <w:rsid w:val="00466617"/>
    <w:rsid w:val="004711E9"/>
    <w:rsid w:val="00490880"/>
    <w:rsid w:val="0049696B"/>
    <w:rsid w:val="004A0D4C"/>
    <w:rsid w:val="004A798F"/>
    <w:rsid w:val="004B4F1A"/>
    <w:rsid w:val="004B766D"/>
    <w:rsid w:val="004D0879"/>
    <w:rsid w:val="004E302C"/>
    <w:rsid w:val="0054440F"/>
    <w:rsid w:val="005E6320"/>
    <w:rsid w:val="006137D9"/>
    <w:rsid w:val="00617392"/>
    <w:rsid w:val="00637664"/>
    <w:rsid w:val="00687143"/>
    <w:rsid w:val="00695750"/>
    <w:rsid w:val="006C1259"/>
    <w:rsid w:val="006E013D"/>
    <w:rsid w:val="006E335E"/>
    <w:rsid w:val="006F2FD2"/>
    <w:rsid w:val="00714685"/>
    <w:rsid w:val="00754296"/>
    <w:rsid w:val="00755471"/>
    <w:rsid w:val="007B0161"/>
    <w:rsid w:val="007C48A3"/>
    <w:rsid w:val="00812DE3"/>
    <w:rsid w:val="00832EBB"/>
    <w:rsid w:val="008459F5"/>
    <w:rsid w:val="008511BD"/>
    <w:rsid w:val="00854FCA"/>
    <w:rsid w:val="0085589C"/>
    <w:rsid w:val="008827C7"/>
    <w:rsid w:val="00893563"/>
    <w:rsid w:val="008974A0"/>
    <w:rsid w:val="008C1057"/>
    <w:rsid w:val="008E61DB"/>
    <w:rsid w:val="008E6571"/>
    <w:rsid w:val="009143CB"/>
    <w:rsid w:val="0093410B"/>
    <w:rsid w:val="00990520"/>
    <w:rsid w:val="00995AF1"/>
    <w:rsid w:val="009D1CA3"/>
    <w:rsid w:val="009D450C"/>
    <w:rsid w:val="009E5041"/>
    <w:rsid w:val="009E7921"/>
    <w:rsid w:val="00A0350C"/>
    <w:rsid w:val="00A03C0E"/>
    <w:rsid w:val="00A867C6"/>
    <w:rsid w:val="00AA481C"/>
    <w:rsid w:val="00AB576D"/>
    <w:rsid w:val="00AB6861"/>
    <w:rsid w:val="00AC160E"/>
    <w:rsid w:val="00B0403C"/>
    <w:rsid w:val="00B21CBD"/>
    <w:rsid w:val="00B366B4"/>
    <w:rsid w:val="00B82665"/>
    <w:rsid w:val="00BC04D7"/>
    <w:rsid w:val="00BE4229"/>
    <w:rsid w:val="00BF5A08"/>
    <w:rsid w:val="00C36022"/>
    <w:rsid w:val="00C5316A"/>
    <w:rsid w:val="00CA5057"/>
    <w:rsid w:val="00CB1E6F"/>
    <w:rsid w:val="00CB5C8F"/>
    <w:rsid w:val="00CF2BA3"/>
    <w:rsid w:val="00D1730A"/>
    <w:rsid w:val="00D279D7"/>
    <w:rsid w:val="00D60DAB"/>
    <w:rsid w:val="00D75CFA"/>
    <w:rsid w:val="00D84D40"/>
    <w:rsid w:val="00D96317"/>
    <w:rsid w:val="00DB63BF"/>
    <w:rsid w:val="00DD2BA7"/>
    <w:rsid w:val="00DD573A"/>
    <w:rsid w:val="00E01BD5"/>
    <w:rsid w:val="00E179D0"/>
    <w:rsid w:val="00E24DC7"/>
    <w:rsid w:val="00E419D9"/>
    <w:rsid w:val="00E5547E"/>
    <w:rsid w:val="00E75085"/>
    <w:rsid w:val="00EA5C43"/>
    <w:rsid w:val="00EC052E"/>
    <w:rsid w:val="00F05F5B"/>
    <w:rsid w:val="00F06D7F"/>
    <w:rsid w:val="00F078E9"/>
    <w:rsid w:val="00F24836"/>
    <w:rsid w:val="00F36C19"/>
    <w:rsid w:val="00F74B02"/>
    <w:rsid w:val="00FB0434"/>
    <w:rsid w:val="00FB1B41"/>
    <w:rsid w:val="00FB3CC9"/>
    <w:rsid w:val="00FE2E8C"/>
    <w:rsid w:val="01492937"/>
    <w:rsid w:val="02DF562C"/>
    <w:rsid w:val="032D48E5"/>
    <w:rsid w:val="039837D0"/>
    <w:rsid w:val="04497920"/>
    <w:rsid w:val="069419C6"/>
    <w:rsid w:val="08281851"/>
    <w:rsid w:val="0AF15A72"/>
    <w:rsid w:val="0C0C6008"/>
    <w:rsid w:val="0C4F7AFC"/>
    <w:rsid w:val="0D5B6622"/>
    <w:rsid w:val="0E064421"/>
    <w:rsid w:val="0ED234CD"/>
    <w:rsid w:val="0F654CC7"/>
    <w:rsid w:val="0F9E0A26"/>
    <w:rsid w:val="14903A2F"/>
    <w:rsid w:val="15D9563A"/>
    <w:rsid w:val="19420C90"/>
    <w:rsid w:val="19D5374E"/>
    <w:rsid w:val="1AC31CB7"/>
    <w:rsid w:val="1BEF6124"/>
    <w:rsid w:val="1EAD2225"/>
    <w:rsid w:val="1F1F1226"/>
    <w:rsid w:val="26570D53"/>
    <w:rsid w:val="27D848B8"/>
    <w:rsid w:val="2B2E4A9F"/>
    <w:rsid w:val="2CDB483B"/>
    <w:rsid w:val="2FC40521"/>
    <w:rsid w:val="3405688C"/>
    <w:rsid w:val="34E11E02"/>
    <w:rsid w:val="388764A3"/>
    <w:rsid w:val="3BC82B6A"/>
    <w:rsid w:val="3D302BB8"/>
    <w:rsid w:val="3E4D3BDD"/>
    <w:rsid w:val="417C2FA3"/>
    <w:rsid w:val="41DA7DB9"/>
    <w:rsid w:val="447637E8"/>
    <w:rsid w:val="49EF4858"/>
    <w:rsid w:val="4AE9742D"/>
    <w:rsid w:val="4BA67C06"/>
    <w:rsid w:val="4CA46ED7"/>
    <w:rsid w:val="4D013E21"/>
    <w:rsid w:val="4D8D7228"/>
    <w:rsid w:val="4DDD2C7F"/>
    <w:rsid w:val="4F1826FF"/>
    <w:rsid w:val="506C2AB0"/>
    <w:rsid w:val="53344C63"/>
    <w:rsid w:val="55295806"/>
    <w:rsid w:val="55D3446A"/>
    <w:rsid w:val="593F63D3"/>
    <w:rsid w:val="5B423ECD"/>
    <w:rsid w:val="5B642A6F"/>
    <w:rsid w:val="5CDA4DA9"/>
    <w:rsid w:val="5D5E0DDF"/>
    <w:rsid w:val="62820F98"/>
    <w:rsid w:val="62873CEC"/>
    <w:rsid w:val="64035B71"/>
    <w:rsid w:val="64DB31B9"/>
    <w:rsid w:val="681842B0"/>
    <w:rsid w:val="6AE87D9C"/>
    <w:rsid w:val="6F8561D3"/>
    <w:rsid w:val="70271B5B"/>
    <w:rsid w:val="70523BA3"/>
    <w:rsid w:val="716E48A9"/>
    <w:rsid w:val="71AC0C24"/>
    <w:rsid w:val="773C67F0"/>
    <w:rsid w:val="7DFA5EB0"/>
    <w:rsid w:val="7E3E73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autoRedefine/>
    <w:qFormat/>
    <w:uiPriority w:val="99"/>
    <w:pPr>
      <w:spacing w:before="120" w:after="200" w:line="276" w:lineRule="auto"/>
    </w:pPr>
    <w:rPr>
      <w:rFonts w:ascii="Arial" w:hAnsi="Arial"/>
      <w:sz w:val="24"/>
    </w:rPr>
  </w:style>
  <w:style w:type="paragraph" w:styleId="3">
    <w:name w:val="Body Text"/>
    <w:basedOn w:val="1"/>
    <w:link w:val="11"/>
    <w:autoRedefine/>
    <w:qFormat/>
    <w:uiPriority w:val="0"/>
    <w:pPr>
      <w:spacing w:after="120"/>
    </w:pPr>
  </w:style>
  <w:style w:type="paragraph" w:styleId="4">
    <w:name w:val="Date"/>
    <w:basedOn w:val="1"/>
    <w:next w:val="1"/>
    <w:link w:val="12"/>
    <w:autoRedefine/>
    <w:qFormat/>
    <w:uiPriority w:val="0"/>
    <w:pPr>
      <w:ind w:left="100" w:leftChars="2500"/>
    </w:pPr>
  </w:style>
  <w:style w:type="paragraph" w:styleId="5">
    <w:name w:val="Balloon Text"/>
    <w:basedOn w:val="1"/>
    <w:link w:val="13"/>
    <w:autoRedefine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1">
    <w:name w:val="Body Text Char"/>
    <w:basedOn w:val="10"/>
    <w:link w:val="3"/>
    <w:autoRedefine/>
    <w:qFormat/>
    <w:locked/>
    <w:uiPriority w:val="0"/>
    <w:rPr>
      <w:rFonts w:eastAsia="宋体"/>
      <w:kern w:val="2"/>
      <w:sz w:val="21"/>
      <w:szCs w:val="21"/>
      <w:lang w:val="en-US" w:eastAsia="zh-CN" w:bidi="ar-SA"/>
    </w:rPr>
  </w:style>
  <w:style w:type="character" w:customStyle="1" w:styleId="12">
    <w:name w:val="Date Char"/>
    <w:basedOn w:val="10"/>
    <w:link w:val="4"/>
    <w:autoRedefine/>
    <w:qFormat/>
    <w:locked/>
    <w:uiPriority w:val="0"/>
    <w:rPr>
      <w:rFonts w:eastAsia="宋体"/>
      <w:kern w:val="2"/>
      <w:sz w:val="21"/>
      <w:szCs w:val="21"/>
      <w:lang w:val="en-US" w:eastAsia="zh-CN" w:bidi="ar-SA"/>
    </w:rPr>
  </w:style>
  <w:style w:type="character" w:customStyle="1" w:styleId="13">
    <w:name w:val="Balloon Text Char"/>
    <w:basedOn w:val="10"/>
    <w:link w:val="5"/>
    <w:autoRedefine/>
    <w:qFormat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4">
    <w:name w:val="Footer Char"/>
    <w:basedOn w:val="10"/>
    <w:link w:val="6"/>
    <w:autoRedefine/>
    <w:qFormat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Header Char"/>
    <w:basedOn w:val="10"/>
    <w:link w:val="7"/>
    <w:autoRedefine/>
    <w:qFormat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16">
    <w:name w:val="表格内容"/>
    <w:basedOn w:val="3"/>
    <w:autoRedefine/>
    <w:qFormat/>
    <w:uiPriority w:val="0"/>
    <w:pPr>
      <w:suppressLineNumbers/>
      <w:suppressAutoHyphens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8</Pages>
  <Words>2690</Words>
  <Characters>2905</Characters>
  <Lines>38</Lines>
  <Paragraphs>10</Paragraphs>
  <TotalTime>48</TotalTime>
  <ScaleCrop>false</ScaleCrop>
  <LinksUpToDate>false</LinksUpToDate>
  <CharactersWithSpaces>2928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2018-08-09T00:21:00Z</dcterms:created>
  <dc:creator>周继恩 10.105.113.143</dc:creator>
  <cp:lastModifiedBy>不忘初心</cp:lastModifiedBy>
  <cp:lastPrinted>2019-05-05T07:55:00Z</cp:lastPrinted>
  <dcterms:modified xsi:type="dcterms:W3CDTF">2026-04-13T10:45:28Z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5E8BD144427B4992B6AB84D4B376F7F3</vt:lpwstr>
  </property>
  <property fmtid="{D5CDD505-2E9C-101B-9397-08002B2CF9AE}" pid="4" name="KSOTemplateDocerSaveRecord">
    <vt:lpwstr>eyJoZGlkIjoiY2NmMmU0MzI3NzQ1OTc2ZTNiMjJiZDMzNDY1NjQ2MDUiLCJ1c2VySWQiOiIzNjczMjQwODQifQ==</vt:lpwstr>
  </property>
</Properties>
</file>