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BC8EC">
      <w:pPr>
        <w:kinsoku w:val="0"/>
        <w:autoSpaceDE w:val="0"/>
        <w:autoSpaceDN w:val="0"/>
        <w:adjustRightInd w:val="0"/>
        <w:snapToGrid w:val="0"/>
        <w:spacing w:line="267" w:lineRule="auto"/>
        <w:jc w:val="left"/>
        <w:textAlignment w:val="baseline"/>
        <w:rPr>
          <w:rFonts w:ascii="Arial" w:hAnsi="Arial" w:eastAsia="Arial" w:cs="Arial"/>
          <w:snapToGrid w:val="0"/>
          <w:color w:val="000000"/>
          <w:kern w:val="0"/>
          <w:sz w:val="21"/>
          <w:szCs w:val="21"/>
          <w:lang w:val="en-US" w:eastAsia="en-US" w:bidi="ar-SA"/>
        </w:rPr>
      </w:pPr>
    </w:p>
    <w:p w14:paraId="3648389D">
      <w:pPr>
        <w:widowControl/>
        <w:kinsoku w:val="0"/>
        <w:autoSpaceDE w:val="0"/>
        <w:autoSpaceDN w:val="0"/>
        <w:adjustRightInd w:val="0"/>
        <w:snapToGrid w:val="0"/>
        <w:spacing w:before="136" w:line="238" w:lineRule="auto"/>
        <w:ind w:left="3378" w:right="707" w:hanging="1690"/>
        <w:jc w:val="both"/>
        <w:textAlignment w:val="baseline"/>
        <w:outlineLvl w:val="0"/>
        <w:rPr>
          <w:rFonts w:ascii="宋体" w:hAnsi="宋体" w:eastAsia="宋体" w:cs="宋体"/>
          <w:snapToGrid w:val="0"/>
          <w:color w:val="000000"/>
          <w:kern w:val="0"/>
          <w:sz w:val="42"/>
          <w:szCs w:val="42"/>
          <w:lang w:eastAsia="en-US"/>
        </w:rPr>
      </w:pPr>
      <w:r>
        <w:rPr>
          <w:rFonts w:ascii="宋体" w:hAnsi="宋体" w:eastAsia="宋体" w:cs="宋体"/>
          <w:b/>
          <w:bCs/>
          <w:snapToGrid w:val="0"/>
          <w:color w:val="000000"/>
          <w:spacing w:val="-4"/>
          <w:kern w:val="0"/>
          <w:sz w:val="42"/>
          <w:szCs w:val="42"/>
          <w:lang w:eastAsia="en-US"/>
        </w:rPr>
        <w:t>202</w:t>
      </w:r>
      <w:r>
        <w:rPr>
          <w:rFonts w:hint="eastAsia" w:ascii="宋体" w:hAnsi="宋体" w:eastAsia="宋体" w:cs="宋体"/>
          <w:b/>
          <w:bCs/>
          <w:snapToGrid w:val="0"/>
          <w:color w:val="000000"/>
          <w:spacing w:val="-4"/>
          <w:kern w:val="0"/>
          <w:sz w:val="42"/>
          <w:szCs w:val="42"/>
          <w:lang w:val="en-US" w:eastAsia="zh-CN"/>
        </w:rPr>
        <w:t>5</w:t>
      </w:r>
      <w:r>
        <w:rPr>
          <w:rFonts w:ascii="宋体" w:hAnsi="宋体" w:eastAsia="宋体" w:cs="宋体"/>
          <w:b/>
          <w:bCs/>
          <w:snapToGrid w:val="0"/>
          <w:color w:val="000000"/>
          <w:spacing w:val="-4"/>
          <w:kern w:val="0"/>
          <w:sz w:val="42"/>
          <w:szCs w:val="42"/>
          <w:lang w:eastAsia="en-US"/>
        </w:rPr>
        <w:t>年度岳阳县</w:t>
      </w:r>
      <w:r>
        <w:rPr>
          <w:rFonts w:hint="eastAsia" w:ascii="宋体" w:hAnsi="宋体" w:eastAsia="宋体" w:cs="宋体"/>
          <w:b/>
          <w:bCs/>
          <w:snapToGrid w:val="0"/>
          <w:color w:val="000000"/>
          <w:spacing w:val="-4"/>
          <w:kern w:val="0"/>
          <w:sz w:val="42"/>
          <w:szCs w:val="42"/>
          <w:lang w:val="en-US" w:eastAsia="zh-CN"/>
        </w:rPr>
        <w:t>科学技术局</w:t>
      </w:r>
      <w:r>
        <w:rPr>
          <w:rFonts w:ascii="宋体" w:hAnsi="宋体" w:eastAsia="宋体" w:cs="宋体"/>
          <w:b/>
          <w:bCs/>
          <w:snapToGrid w:val="0"/>
          <w:color w:val="000000"/>
          <w:spacing w:val="-4"/>
          <w:kern w:val="0"/>
          <w:sz w:val="42"/>
          <w:szCs w:val="42"/>
          <w:lang w:eastAsia="en-US"/>
        </w:rPr>
        <w:t>整体支出绩效自评报告</w:t>
      </w:r>
    </w:p>
    <w:p w14:paraId="4121569F">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7E9FA4C3">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3D4B24BC">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62A3A0C6">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7889AA0E">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450690C1">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2262BFC6">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7EFBD167">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64880CEC">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36F7A321">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686E6AAF">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559802CF">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23E50B87">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323D125C">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20508F98">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5131E70E">
      <w:pPr>
        <w:kinsoku w:val="0"/>
        <w:autoSpaceDE w:val="0"/>
        <w:autoSpaceDN w:val="0"/>
        <w:adjustRightInd w:val="0"/>
        <w:snapToGrid w:val="0"/>
        <w:spacing w:line="245" w:lineRule="auto"/>
        <w:jc w:val="both"/>
        <w:textAlignment w:val="baseline"/>
        <w:rPr>
          <w:rFonts w:ascii="Arial" w:hAnsi="Arial" w:eastAsia="Arial" w:cs="Arial"/>
          <w:snapToGrid w:val="0"/>
          <w:color w:val="000000"/>
          <w:kern w:val="0"/>
          <w:sz w:val="21"/>
          <w:szCs w:val="21"/>
          <w:lang w:val="en-US" w:eastAsia="en-US" w:bidi="ar-SA"/>
        </w:rPr>
      </w:pPr>
    </w:p>
    <w:p w14:paraId="49FC725E">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6E735F6B">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7EA3F986">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22621A8B">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14CAB7CE">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20AC8DFA">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04FE5502">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56A2A905">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565810C2">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1849822D">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48AE2027">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4A82500C">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3A738B62">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7C3352C2">
      <w:pPr>
        <w:kinsoku w:val="0"/>
        <w:autoSpaceDE w:val="0"/>
        <w:autoSpaceDN w:val="0"/>
        <w:adjustRightInd w:val="0"/>
        <w:snapToGrid w:val="0"/>
        <w:spacing w:line="246" w:lineRule="auto"/>
        <w:jc w:val="both"/>
        <w:textAlignment w:val="baseline"/>
        <w:rPr>
          <w:rFonts w:ascii="Arial" w:hAnsi="Arial" w:eastAsia="Arial" w:cs="Arial"/>
          <w:snapToGrid w:val="0"/>
          <w:color w:val="000000"/>
          <w:kern w:val="0"/>
          <w:sz w:val="21"/>
          <w:szCs w:val="21"/>
          <w:lang w:val="en-US" w:eastAsia="en-US" w:bidi="ar-SA"/>
        </w:rPr>
      </w:pPr>
    </w:p>
    <w:p w14:paraId="59B79525">
      <w:pPr>
        <w:widowControl/>
        <w:kinsoku w:val="0"/>
        <w:autoSpaceDE w:val="0"/>
        <w:autoSpaceDN w:val="0"/>
        <w:adjustRightInd w:val="0"/>
        <w:snapToGrid w:val="0"/>
        <w:spacing w:before="100" w:line="224" w:lineRule="auto"/>
        <w:ind w:left="2976"/>
        <w:jc w:val="both"/>
        <w:textAlignment w:val="baseline"/>
        <w:rPr>
          <w:rFonts w:ascii="楷体" w:hAnsi="楷体" w:eastAsia="楷体" w:cs="楷体"/>
          <w:snapToGrid w:val="0"/>
          <w:color w:val="000000"/>
          <w:kern w:val="0"/>
          <w:sz w:val="31"/>
          <w:szCs w:val="31"/>
          <w:lang w:eastAsia="en-US"/>
        </w:rPr>
      </w:pPr>
      <w:r>
        <w:rPr>
          <w:rFonts w:ascii="楷体" w:hAnsi="楷体" w:eastAsia="楷体" w:cs="楷体"/>
          <w:b/>
          <w:bCs/>
          <w:snapToGrid w:val="0"/>
          <w:color w:val="000000"/>
          <w:spacing w:val="-29"/>
          <w:kern w:val="0"/>
          <w:sz w:val="31"/>
          <w:szCs w:val="31"/>
          <w:lang w:eastAsia="en-US"/>
        </w:rPr>
        <w:t>部门(单位)名称：(盖章)</w:t>
      </w:r>
    </w:p>
    <w:p w14:paraId="6D665E85">
      <w:pPr>
        <w:widowControl/>
        <w:kinsoku w:val="0"/>
        <w:autoSpaceDE w:val="0"/>
        <w:autoSpaceDN w:val="0"/>
        <w:adjustRightInd w:val="0"/>
        <w:snapToGrid w:val="0"/>
        <w:spacing w:before="264" w:line="225" w:lineRule="auto"/>
        <w:ind w:left="3656"/>
        <w:jc w:val="both"/>
        <w:textAlignment w:val="baseline"/>
        <w:rPr>
          <w:rFonts w:ascii="楷体" w:hAnsi="楷体" w:eastAsia="楷体" w:cs="楷体"/>
          <w:snapToGrid w:val="0"/>
          <w:color w:val="000000"/>
          <w:kern w:val="0"/>
          <w:sz w:val="31"/>
          <w:szCs w:val="31"/>
          <w:lang w:eastAsia="en-US"/>
        </w:rPr>
      </w:pPr>
      <w:r>
        <w:rPr>
          <w:rFonts w:ascii="楷体" w:hAnsi="楷体" w:eastAsia="楷体" w:cs="楷体"/>
          <w:b/>
          <w:bCs/>
          <w:snapToGrid w:val="0"/>
          <w:color w:val="000000"/>
          <w:spacing w:val="-29"/>
          <w:kern w:val="0"/>
          <w:sz w:val="31"/>
          <w:szCs w:val="31"/>
          <w:lang w:eastAsia="en-US"/>
        </w:rPr>
        <w:t>202</w:t>
      </w:r>
      <w:r>
        <w:rPr>
          <w:rFonts w:hint="eastAsia" w:ascii="楷体" w:hAnsi="楷体" w:eastAsia="楷体" w:cs="楷体"/>
          <w:b/>
          <w:bCs/>
          <w:snapToGrid w:val="0"/>
          <w:color w:val="000000"/>
          <w:spacing w:val="-29"/>
          <w:kern w:val="0"/>
          <w:sz w:val="31"/>
          <w:szCs w:val="31"/>
          <w:lang w:val="en-US" w:eastAsia="zh-CN"/>
        </w:rPr>
        <w:t>5</w:t>
      </w:r>
      <w:r>
        <w:rPr>
          <w:rFonts w:ascii="楷体" w:hAnsi="楷体" w:eastAsia="楷体" w:cs="楷体"/>
          <w:b/>
          <w:bCs/>
          <w:snapToGrid w:val="0"/>
          <w:color w:val="000000"/>
          <w:spacing w:val="-29"/>
          <w:kern w:val="0"/>
          <w:sz w:val="31"/>
          <w:szCs w:val="31"/>
          <w:lang w:eastAsia="en-US"/>
        </w:rPr>
        <w:t>年6月</w:t>
      </w:r>
      <w:r>
        <w:rPr>
          <w:rFonts w:hint="eastAsia" w:ascii="楷体" w:hAnsi="楷体" w:eastAsia="楷体" w:cs="楷体"/>
          <w:b/>
          <w:bCs/>
          <w:snapToGrid w:val="0"/>
          <w:color w:val="000000"/>
          <w:spacing w:val="-29"/>
          <w:kern w:val="0"/>
          <w:sz w:val="31"/>
          <w:szCs w:val="31"/>
          <w:lang w:val="en-US" w:eastAsia="zh-CN"/>
        </w:rPr>
        <w:t>08</w:t>
      </w:r>
      <w:r>
        <w:rPr>
          <w:rFonts w:ascii="楷体" w:hAnsi="楷体" w:eastAsia="楷体" w:cs="楷体"/>
          <w:b/>
          <w:bCs/>
          <w:snapToGrid w:val="0"/>
          <w:color w:val="000000"/>
          <w:spacing w:val="-29"/>
          <w:kern w:val="0"/>
          <w:sz w:val="31"/>
          <w:szCs w:val="31"/>
          <w:lang w:eastAsia="en-US"/>
        </w:rPr>
        <w:t>日</w:t>
      </w:r>
    </w:p>
    <w:p w14:paraId="59C0D631">
      <w:pPr>
        <w:spacing w:line="225" w:lineRule="auto"/>
        <w:jc w:val="both"/>
        <w:rPr>
          <w:rFonts w:ascii="楷体" w:hAnsi="楷体" w:eastAsia="楷体" w:cs="楷体"/>
          <w:sz w:val="31"/>
          <w:szCs w:val="31"/>
        </w:rPr>
        <w:sectPr>
          <w:pgSz w:w="11850" w:h="15820"/>
          <w:pgMar w:top="1344" w:right="1777" w:bottom="0" w:left="1777" w:header="0" w:footer="0" w:gutter="0"/>
          <w:cols w:space="720" w:num="1"/>
        </w:sectPr>
      </w:pPr>
    </w:p>
    <w:p w14:paraId="4F89D4F7">
      <w:pPr>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val="en-US" w:eastAsia="en-US" w:bidi="ar-SA"/>
        </w:rPr>
      </w:pPr>
    </w:p>
    <w:p w14:paraId="039F773A">
      <w:pPr>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val="en-US" w:eastAsia="en-US" w:bidi="ar-SA"/>
        </w:rPr>
      </w:pPr>
    </w:p>
    <w:p w14:paraId="11143750">
      <w:pPr>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val="en-US" w:eastAsia="en-US" w:bidi="ar-SA"/>
        </w:rPr>
      </w:pPr>
    </w:p>
    <w:p w14:paraId="06E41D79">
      <w:pPr>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val="en-US" w:eastAsia="en-US" w:bidi="ar-SA"/>
        </w:rPr>
      </w:pPr>
    </w:p>
    <w:p w14:paraId="18BDB74F">
      <w:pPr>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val="en-US" w:eastAsia="en-US" w:bidi="ar-SA"/>
        </w:rPr>
      </w:pPr>
    </w:p>
    <w:p w14:paraId="5EE5E21C">
      <w:pPr>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val="en-US" w:eastAsia="en-US" w:bidi="ar-SA"/>
        </w:rPr>
      </w:pPr>
    </w:p>
    <w:p w14:paraId="22836E10">
      <w:pPr>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val="en-US" w:eastAsia="en-US" w:bidi="ar-SA"/>
        </w:rPr>
      </w:pPr>
    </w:p>
    <w:p w14:paraId="6313C078">
      <w:pPr>
        <w:widowControl/>
        <w:kinsoku w:val="0"/>
        <w:autoSpaceDE w:val="0"/>
        <w:autoSpaceDN w:val="0"/>
        <w:adjustRightInd w:val="0"/>
        <w:snapToGrid w:val="0"/>
        <w:spacing w:before="97" w:line="222" w:lineRule="auto"/>
        <w:ind w:left="79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4"/>
          <w:kern w:val="0"/>
          <w:sz w:val="30"/>
          <w:szCs w:val="30"/>
          <w:lang w:eastAsia="en-US"/>
        </w:rPr>
        <w:t>一、部门(单位)基本情况</w:t>
      </w:r>
    </w:p>
    <w:p w14:paraId="1F0B864C">
      <w:pPr>
        <w:widowControl/>
        <w:kinsoku w:val="0"/>
        <w:autoSpaceDE w:val="0"/>
        <w:autoSpaceDN w:val="0"/>
        <w:adjustRightInd w:val="0"/>
        <w:snapToGrid w:val="0"/>
        <w:spacing w:before="125" w:line="222" w:lineRule="auto"/>
        <w:ind w:left="872"/>
        <w:jc w:val="left"/>
        <w:textAlignment w:val="baseline"/>
        <w:rPr>
          <w:rFonts w:ascii="仿宋" w:hAnsi="仿宋" w:eastAsia="仿宋" w:cs="仿宋"/>
          <w:snapToGrid w:val="0"/>
          <w:color w:val="000000"/>
          <w:kern w:val="0"/>
          <w:sz w:val="32"/>
          <w:szCs w:val="32"/>
          <w:lang w:eastAsia="en-US"/>
        </w:rPr>
      </w:pPr>
      <w:r>
        <w:rPr>
          <w:rFonts w:ascii="仿宋" w:hAnsi="仿宋" w:eastAsia="仿宋" w:cs="仿宋"/>
          <w:snapToGrid w:val="0"/>
          <w:color w:val="000000"/>
          <w:spacing w:val="6"/>
          <w:kern w:val="0"/>
          <w:sz w:val="32"/>
          <w:szCs w:val="32"/>
          <w:lang w:eastAsia="en-US"/>
        </w:rPr>
        <w:t>(一)职能职责</w:t>
      </w:r>
    </w:p>
    <w:p w14:paraId="2EBC18EE">
      <w:pPr>
        <w:widowControl w:val="0"/>
        <w:kinsoku/>
        <w:autoSpaceDE/>
        <w:autoSpaceDN/>
        <w:adjustRightInd/>
        <w:snapToGrid/>
        <w:spacing w:line="480" w:lineRule="exact"/>
        <w:ind w:firstLine="560" w:firstLineChars="200"/>
        <w:jc w:val="both"/>
        <w:textAlignment w:val="auto"/>
        <w:rPr>
          <w:rFonts w:hint="eastAsia" w:ascii="仿宋_GB2312" w:hAnsi="Times New Roman" w:eastAsia="仿宋_GB2312" w:cs="Times New Roman"/>
          <w:snapToGrid/>
          <w:color w:val="000000"/>
          <w:kern w:val="2"/>
          <w:sz w:val="28"/>
          <w:szCs w:val="28"/>
          <w:lang w:eastAsia="zh-CN"/>
        </w:rPr>
      </w:pPr>
      <w:r>
        <w:rPr>
          <w:rFonts w:hint="eastAsia" w:ascii="仿宋_GB2312" w:hAnsi="Times New Roman" w:eastAsia="仿宋_GB2312" w:cs="Times New Roman"/>
          <w:snapToGrid/>
          <w:color w:val="000000"/>
          <w:kern w:val="2"/>
          <w:sz w:val="28"/>
          <w:szCs w:val="28"/>
          <w:lang w:eastAsia="zh-CN"/>
        </w:rPr>
        <w:t>（一）基本情况</w:t>
      </w:r>
    </w:p>
    <w:p w14:paraId="1926CD31">
      <w:pPr>
        <w:widowControl w:val="0"/>
        <w:kinsoku/>
        <w:autoSpaceDE/>
        <w:autoSpaceDN/>
        <w:adjustRightInd/>
        <w:snapToGrid/>
        <w:spacing w:line="480" w:lineRule="exact"/>
        <w:ind w:firstLine="560" w:firstLineChars="200"/>
        <w:jc w:val="both"/>
        <w:textAlignment w:val="auto"/>
        <w:rPr>
          <w:rFonts w:hint="eastAsia" w:ascii="仿宋_GB2312" w:hAnsi="Times New Roman" w:eastAsia="仿宋_GB2312" w:cs="Times New Roman"/>
          <w:snapToGrid/>
          <w:color w:val="000000"/>
          <w:kern w:val="2"/>
          <w:sz w:val="28"/>
          <w:szCs w:val="28"/>
          <w:lang w:eastAsia="zh-CN"/>
        </w:rPr>
      </w:pPr>
      <w:r>
        <w:rPr>
          <w:rFonts w:hint="eastAsia" w:ascii="仿宋_GB2312" w:hAnsi="Times New Roman" w:eastAsia="仿宋_GB2312" w:cs="Times New Roman"/>
          <w:snapToGrid/>
          <w:color w:val="000000"/>
          <w:kern w:val="2"/>
          <w:sz w:val="28"/>
          <w:szCs w:val="28"/>
          <w:lang w:eastAsia="zh-CN"/>
        </w:rPr>
        <w:t>岳阳县</w:t>
      </w:r>
      <w:bookmarkStart w:id="0" w:name="ref_[1]_8281897"/>
      <w:bookmarkEnd w:id="0"/>
      <w:r>
        <w:rPr>
          <w:rFonts w:hint="eastAsia" w:ascii="仿宋_GB2312" w:hAnsi="Times New Roman" w:eastAsia="仿宋_GB2312" w:cs="Times New Roman"/>
          <w:snapToGrid/>
          <w:color w:val="000000"/>
          <w:kern w:val="2"/>
          <w:sz w:val="28"/>
          <w:szCs w:val="28"/>
          <w:lang w:val="en-US" w:eastAsia="zh-CN"/>
        </w:rPr>
        <w:t>科学技术局</w:t>
      </w:r>
      <w:r>
        <w:rPr>
          <w:rFonts w:hint="eastAsia" w:ascii="仿宋_GB2312" w:hAnsi="Times New Roman" w:eastAsia="仿宋_GB2312" w:cs="Times New Roman"/>
          <w:snapToGrid/>
          <w:color w:val="000000"/>
          <w:kern w:val="2"/>
          <w:sz w:val="28"/>
          <w:szCs w:val="28"/>
          <w:lang w:eastAsia="zh-CN"/>
        </w:rPr>
        <w:t>，是岳阳县人民政府组成工作部门，为全额财政拨款行政事业单位。</w:t>
      </w:r>
    </w:p>
    <w:p w14:paraId="442BB4AA">
      <w:pPr>
        <w:widowControl w:val="0"/>
        <w:kinsoku/>
        <w:autoSpaceDE/>
        <w:autoSpaceDN/>
        <w:adjustRightInd/>
        <w:snapToGrid/>
        <w:spacing w:line="480" w:lineRule="exact"/>
        <w:ind w:firstLine="560" w:firstLineChars="200"/>
        <w:jc w:val="both"/>
        <w:textAlignment w:val="auto"/>
        <w:rPr>
          <w:rFonts w:hint="default" w:ascii="仿宋" w:hAnsi="仿宋" w:eastAsia="仿宋" w:cs="仿宋"/>
          <w:sz w:val="30"/>
          <w:szCs w:val="30"/>
          <w:lang w:val="en-US"/>
        </w:rPr>
        <w:sectPr>
          <w:footerReference r:id="rId3" w:type="default"/>
          <w:pgSz w:w="11850" w:h="15820"/>
          <w:pgMar w:top="1344" w:right="1713" w:bottom="1887" w:left="1777" w:header="0" w:footer="1678" w:gutter="0"/>
          <w:cols w:space="720" w:num="1"/>
        </w:sectPr>
      </w:pPr>
      <w:r>
        <w:rPr>
          <w:rFonts w:hint="eastAsia" w:ascii="仿宋_GB2312" w:hAnsi="Times New Roman" w:eastAsia="仿宋_GB2312" w:cs="Times New Roman"/>
          <w:snapToGrid/>
          <w:color w:val="000000"/>
          <w:kern w:val="2"/>
          <w:sz w:val="28"/>
          <w:szCs w:val="28"/>
          <w:lang w:eastAsia="zh-CN"/>
        </w:rPr>
        <w:t>主要工作职能：主管全县科学技术工作，负责制订全县科学技术发展总体规划，编制并组织实施全县科技发展中长期规划和年度计划；实施科技兴县战略，合理配置科技资源；组织实施国家和省、市、县制订的科技计划项目；主管全县科技成果的鉴定、登记、奖励；负责全县技术市场和科技咨询服务工作；负责全县科学技术知识普及工</w:t>
      </w:r>
      <w:r>
        <w:rPr>
          <w:rFonts w:hint="eastAsia" w:ascii="仿宋_GB2312" w:hAnsi="Times New Roman" w:eastAsia="仿宋_GB2312" w:cs="Times New Roman"/>
          <w:snapToGrid/>
          <w:color w:val="000000"/>
          <w:kern w:val="2"/>
          <w:sz w:val="28"/>
          <w:szCs w:val="28"/>
          <w:lang w:val="en-US" w:eastAsia="zh-CN"/>
        </w:rPr>
        <w:t>作。</w:t>
      </w:r>
    </w:p>
    <w:p w14:paraId="1069D348">
      <w:pPr>
        <w:widowControl/>
        <w:kinsoku w:val="0"/>
        <w:autoSpaceDE w:val="0"/>
        <w:autoSpaceDN w:val="0"/>
        <w:adjustRightInd w:val="0"/>
        <w:snapToGrid w:val="0"/>
        <w:spacing w:before="113" w:line="222" w:lineRule="auto"/>
        <w:jc w:val="left"/>
        <w:textAlignment w:val="baseline"/>
        <w:rPr>
          <w:rFonts w:ascii="仿宋" w:hAnsi="仿宋" w:eastAsia="仿宋" w:cs="仿宋"/>
          <w:snapToGrid w:val="0"/>
          <w:color w:val="000000"/>
          <w:kern w:val="0"/>
          <w:sz w:val="35"/>
          <w:szCs w:val="35"/>
          <w:lang w:eastAsia="en-US"/>
        </w:rPr>
      </w:pPr>
      <w:r>
        <w:rPr>
          <w:rFonts w:ascii="仿宋" w:hAnsi="仿宋" w:eastAsia="仿宋" w:cs="仿宋"/>
          <w:snapToGrid w:val="0"/>
          <w:color w:val="000000"/>
          <w:spacing w:val="-16"/>
          <w:kern w:val="0"/>
          <w:sz w:val="35"/>
          <w:szCs w:val="35"/>
          <w:lang w:eastAsia="en-US"/>
        </w:rPr>
        <w:t>(二)机构设置</w:t>
      </w:r>
    </w:p>
    <w:p w14:paraId="17BE8D41">
      <w:pPr>
        <w:widowControl w:val="0"/>
        <w:kinsoku/>
        <w:autoSpaceDE/>
        <w:autoSpaceDN/>
        <w:adjustRightInd/>
        <w:snapToGrid/>
        <w:spacing w:line="480" w:lineRule="exact"/>
        <w:ind w:firstLine="560" w:firstLineChars="200"/>
        <w:jc w:val="both"/>
        <w:textAlignment w:val="auto"/>
        <w:rPr>
          <w:rFonts w:hint="eastAsia" w:ascii="仿宋_GB2312" w:hAnsi="Times New Roman" w:eastAsia="仿宋_GB2312" w:cs="Times New Roman"/>
          <w:snapToGrid/>
          <w:color w:val="000000"/>
          <w:kern w:val="2"/>
          <w:sz w:val="28"/>
          <w:szCs w:val="28"/>
          <w:lang w:eastAsia="zh-CN"/>
        </w:rPr>
      </w:pPr>
      <w:r>
        <w:rPr>
          <w:rFonts w:hint="eastAsia" w:ascii="仿宋_GB2312" w:hAnsi="Times New Roman" w:eastAsia="仿宋_GB2312" w:cs="Times New Roman"/>
          <w:snapToGrid/>
          <w:color w:val="000000"/>
          <w:kern w:val="2"/>
          <w:sz w:val="28"/>
          <w:szCs w:val="28"/>
          <w:lang w:eastAsia="zh-CN"/>
        </w:rPr>
        <w:t>岳阳县科技局内设职能股室有办公室、发展计划股、高新技术发展与产业化股、农村科技发展股。二级机构有岳阳县生产力促进中心科技情报服务所、岳阳县科技服务中心（自收自支）。</w:t>
      </w:r>
    </w:p>
    <w:p w14:paraId="71135AE6">
      <w:pPr>
        <w:widowControl w:val="0"/>
        <w:numPr>
          <w:ilvl w:val="0"/>
          <w:numId w:val="1"/>
        </w:numPr>
        <w:kinsoku/>
        <w:autoSpaceDE/>
        <w:autoSpaceDN/>
        <w:adjustRightInd/>
        <w:snapToGrid/>
        <w:spacing w:line="480" w:lineRule="exact"/>
        <w:ind w:left="960" w:hanging="360"/>
        <w:jc w:val="both"/>
        <w:textAlignment w:val="auto"/>
        <w:rPr>
          <w:rFonts w:hint="eastAsia" w:ascii="仿宋_GB2312" w:hAnsi="Times New Roman" w:eastAsia="仿宋_GB2312" w:cs="Times New Roman"/>
          <w:snapToGrid/>
          <w:color w:val="000000"/>
          <w:kern w:val="2"/>
          <w:sz w:val="28"/>
          <w:szCs w:val="28"/>
          <w:lang w:eastAsia="zh-CN"/>
        </w:rPr>
      </w:pPr>
      <w:r>
        <w:rPr>
          <w:rFonts w:hint="eastAsia" w:ascii="仿宋_GB2312" w:hAnsi="Times New Roman" w:eastAsia="仿宋_GB2312" w:cs="Times New Roman"/>
          <w:snapToGrid/>
          <w:color w:val="000000"/>
          <w:kern w:val="2"/>
          <w:sz w:val="28"/>
          <w:szCs w:val="28"/>
          <w:lang w:eastAsia="zh-CN"/>
        </w:rPr>
        <w:t>岳阳县科技局属财政全额拨款的行政一级预算单位。</w:t>
      </w:r>
    </w:p>
    <w:p w14:paraId="43FE3623">
      <w:pPr>
        <w:widowControl w:val="0"/>
        <w:numPr>
          <w:ilvl w:val="0"/>
          <w:numId w:val="1"/>
        </w:numPr>
        <w:kinsoku/>
        <w:autoSpaceDE/>
        <w:autoSpaceDN/>
        <w:adjustRightInd/>
        <w:snapToGrid/>
        <w:spacing w:line="480" w:lineRule="exact"/>
        <w:ind w:left="960" w:hanging="360"/>
        <w:jc w:val="both"/>
        <w:textAlignment w:val="auto"/>
        <w:rPr>
          <w:rFonts w:hint="eastAsia" w:ascii="仿宋_GB2312" w:hAnsi="Times New Roman" w:eastAsia="仿宋_GB2312" w:cs="Times New Roman"/>
          <w:snapToGrid/>
          <w:color w:val="000000"/>
          <w:kern w:val="2"/>
          <w:sz w:val="28"/>
          <w:szCs w:val="28"/>
          <w:lang w:eastAsia="zh-CN"/>
        </w:rPr>
      </w:pPr>
      <w:r>
        <w:rPr>
          <w:rFonts w:hint="eastAsia" w:ascii="仿宋_GB2312" w:hAnsi="Times New Roman" w:eastAsia="仿宋_GB2312" w:cs="Times New Roman"/>
          <w:snapToGrid/>
          <w:color w:val="000000"/>
          <w:kern w:val="2"/>
          <w:sz w:val="28"/>
          <w:szCs w:val="28"/>
          <w:lang w:eastAsia="zh-CN"/>
        </w:rPr>
        <w:t>人员基本情况：实有人数</w:t>
      </w:r>
      <w:r>
        <w:rPr>
          <w:rFonts w:hint="eastAsia" w:ascii="仿宋_GB2312" w:hAnsi="Times New Roman" w:eastAsia="仿宋_GB2312" w:cs="Times New Roman"/>
          <w:snapToGrid/>
          <w:color w:val="000000"/>
          <w:kern w:val="2"/>
          <w:sz w:val="28"/>
          <w:szCs w:val="28"/>
          <w:lang w:val="en-US" w:eastAsia="zh-CN"/>
        </w:rPr>
        <w:t>19</w:t>
      </w:r>
      <w:r>
        <w:rPr>
          <w:rFonts w:hint="eastAsia" w:ascii="仿宋_GB2312" w:hAnsi="Times New Roman" w:eastAsia="仿宋_GB2312" w:cs="Times New Roman"/>
          <w:snapToGrid/>
          <w:color w:val="000000"/>
          <w:kern w:val="2"/>
          <w:sz w:val="28"/>
          <w:szCs w:val="28"/>
          <w:lang w:eastAsia="zh-CN"/>
        </w:rPr>
        <w:t>人，有编在职人员</w:t>
      </w:r>
      <w:r>
        <w:rPr>
          <w:rFonts w:hint="eastAsia" w:ascii="仿宋_GB2312" w:hAnsi="Times New Roman" w:eastAsia="仿宋_GB2312" w:cs="Times New Roman"/>
          <w:snapToGrid/>
          <w:color w:val="000000"/>
          <w:kern w:val="2"/>
          <w:sz w:val="28"/>
          <w:szCs w:val="28"/>
          <w:lang w:val="en-US" w:eastAsia="zh-CN"/>
        </w:rPr>
        <w:t>19</w:t>
      </w:r>
      <w:r>
        <w:rPr>
          <w:rFonts w:hint="eastAsia" w:ascii="仿宋_GB2312" w:hAnsi="Times New Roman" w:eastAsia="仿宋_GB2312" w:cs="Times New Roman"/>
          <w:snapToGrid/>
          <w:color w:val="000000"/>
          <w:kern w:val="2"/>
          <w:sz w:val="28"/>
          <w:szCs w:val="28"/>
          <w:lang w:eastAsia="zh-CN"/>
        </w:rPr>
        <w:t>人。</w:t>
      </w:r>
    </w:p>
    <w:p w14:paraId="48ED92C6">
      <w:pPr>
        <w:widowControl/>
        <w:kinsoku w:val="0"/>
        <w:autoSpaceDE w:val="0"/>
        <w:autoSpaceDN w:val="0"/>
        <w:adjustRightInd w:val="0"/>
        <w:snapToGrid w:val="0"/>
        <w:spacing w:before="1" w:line="220" w:lineRule="auto"/>
        <w:ind w:left="706"/>
        <w:jc w:val="left"/>
        <w:textAlignment w:val="baseline"/>
        <w:outlineLvl w:val="2"/>
        <w:rPr>
          <w:rFonts w:ascii="黑体" w:hAnsi="黑体" w:eastAsia="黑体" w:cs="黑体"/>
          <w:snapToGrid w:val="0"/>
          <w:color w:val="000000"/>
          <w:kern w:val="0"/>
          <w:sz w:val="30"/>
          <w:szCs w:val="30"/>
          <w:lang w:eastAsia="en-US"/>
        </w:rPr>
      </w:pPr>
      <w:r>
        <w:rPr>
          <w:rFonts w:ascii="黑体" w:hAnsi="黑体" w:eastAsia="黑体" w:cs="黑体"/>
          <w:b/>
          <w:bCs/>
          <w:snapToGrid w:val="0"/>
          <w:color w:val="000000"/>
          <w:spacing w:val="-8"/>
          <w:kern w:val="0"/>
          <w:sz w:val="30"/>
          <w:szCs w:val="30"/>
          <w:lang w:eastAsia="en-US"/>
        </w:rPr>
        <w:t>二、一般公共预算支出情况</w:t>
      </w:r>
    </w:p>
    <w:p w14:paraId="3025543E">
      <w:pPr>
        <w:widowControl/>
        <w:kinsoku w:val="0"/>
        <w:autoSpaceDE w:val="0"/>
        <w:autoSpaceDN w:val="0"/>
        <w:adjustRightInd w:val="0"/>
        <w:snapToGrid w:val="0"/>
        <w:spacing w:before="166" w:line="226" w:lineRule="auto"/>
        <w:ind w:left="802"/>
        <w:jc w:val="left"/>
        <w:textAlignment w:val="baseline"/>
        <w:rPr>
          <w:rFonts w:ascii="仿宋" w:hAnsi="仿宋" w:eastAsia="仿宋" w:cs="仿宋"/>
          <w:snapToGrid w:val="0"/>
          <w:color w:val="000000"/>
          <w:kern w:val="0"/>
          <w:sz w:val="35"/>
          <w:szCs w:val="35"/>
          <w:lang w:eastAsia="en-US"/>
        </w:rPr>
      </w:pPr>
      <w:r>
        <w:rPr>
          <w:rFonts w:ascii="楷体" w:hAnsi="楷体" w:eastAsia="楷体" w:cs="楷体"/>
          <w:snapToGrid w:val="0"/>
          <w:color w:val="000000"/>
          <w:spacing w:val="-32"/>
          <w:kern w:val="0"/>
          <w:sz w:val="35"/>
          <w:szCs w:val="35"/>
          <w:lang w:eastAsia="en-US"/>
        </w:rPr>
        <w:t>(</w:t>
      </w:r>
      <w:r>
        <w:rPr>
          <w:rFonts w:ascii="楷体" w:hAnsi="楷体" w:eastAsia="楷体" w:cs="楷体"/>
          <w:snapToGrid w:val="0"/>
          <w:color w:val="000000"/>
          <w:spacing w:val="-87"/>
          <w:kern w:val="0"/>
          <w:sz w:val="35"/>
          <w:szCs w:val="35"/>
          <w:lang w:eastAsia="en-US"/>
        </w:rPr>
        <w:t xml:space="preserve"> </w:t>
      </w:r>
      <w:r>
        <w:rPr>
          <w:rFonts w:ascii="楷体" w:hAnsi="楷体" w:eastAsia="楷体" w:cs="楷体"/>
          <w:snapToGrid w:val="0"/>
          <w:color w:val="000000"/>
          <w:spacing w:val="-32"/>
          <w:kern w:val="0"/>
          <w:sz w:val="35"/>
          <w:szCs w:val="35"/>
          <w:lang w:eastAsia="en-US"/>
        </w:rPr>
        <w:t>一)</w:t>
      </w:r>
      <w:r>
        <w:rPr>
          <w:rFonts w:ascii="仿宋" w:hAnsi="仿宋" w:eastAsia="仿宋" w:cs="仿宋"/>
          <w:snapToGrid w:val="0"/>
          <w:color w:val="000000"/>
          <w:spacing w:val="-32"/>
          <w:kern w:val="0"/>
          <w:sz w:val="35"/>
          <w:szCs w:val="35"/>
          <w:lang w:eastAsia="en-US"/>
        </w:rPr>
        <w:t>基本支出情况</w:t>
      </w:r>
    </w:p>
    <w:p w14:paraId="098CB2F5">
      <w:pPr>
        <w:widowControl/>
        <w:kinsoku w:val="0"/>
        <w:autoSpaceDE w:val="0"/>
        <w:autoSpaceDN w:val="0"/>
        <w:adjustRightInd w:val="0"/>
        <w:snapToGrid w:val="0"/>
        <w:spacing w:before="147" w:line="306" w:lineRule="auto"/>
        <w:ind w:left="82" w:right="85" w:firstLine="610"/>
        <w:jc w:val="left"/>
        <w:textAlignment w:val="baseline"/>
        <w:rPr>
          <w:rFonts w:ascii="仿宋" w:hAnsi="仿宋" w:eastAsia="仿宋" w:cs="仿宋"/>
          <w:snapToGrid w:val="0"/>
          <w:color w:val="000000"/>
          <w:kern w:val="0"/>
          <w:sz w:val="32"/>
          <w:szCs w:val="32"/>
          <w:lang w:eastAsia="en-US"/>
        </w:rPr>
      </w:pPr>
      <w:r>
        <w:rPr>
          <w:rFonts w:ascii="仿宋" w:hAnsi="仿宋" w:eastAsia="仿宋" w:cs="仿宋"/>
          <w:snapToGrid w:val="0"/>
          <w:color w:val="000000"/>
          <w:spacing w:val="-8"/>
          <w:kern w:val="0"/>
          <w:sz w:val="32"/>
          <w:szCs w:val="32"/>
          <w:lang w:eastAsia="en-US"/>
        </w:rPr>
        <w:t>202</w:t>
      </w:r>
      <w:r>
        <w:rPr>
          <w:rFonts w:hint="eastAsia" w:ascii="仿宋" w:hAnsi="仿宋" w:eastAsia="仿宋" w:cs="仿宋"/>
          <w:snapToGrid w:val="0"/>
          <w:color w:val="000000"/>
          <w:spacing w:val="-8"/>
          <w:kern w:val="0"/>
          <w:sz w:val="32"/>
          <w:szCs w:val="32"/>
          <w:lang w:val="en-US" w:eastAsia="zh-CN"/>
        </w:rPr>
        <w:t>5</w:t>
      </w:r>
      <w:r>
        <w:rPr>
          <w:rFonts w:ascii="仿宋" w:hAnsi="仿宋" w:eastAsia="仿宋" w:cs="仿宋"/>
          <w:snapToGrid w:val="0"/>
          <w:color w:val="000000"/>
          <w:spacing w:val="-8"/>
          <w:kern w:val="0"/>
          <w:sz w:val="32"/>
          <w:szCs w:val="32"/>
          <w:lang w:eastAsia="en-US"/>
        </w:rPr>
        <w:t>年基本支出</w:t>
      </w:r>
      <w:r>
        <w:rPr>
          <w:rFonts w:hint="eastAsia" w:ascii="仿宋" w:hAnsi="仿宋" w:eastAsia="仿宋" w:cs="仿宋"/>
          <w:snapToGrid w:val="0"/>
          <w:color w:val="000000"/>
          <w:spacing w:val="-8"/>
          <w:kern w:val="0"/>
          <w:sz w:val="32"/>
          <w:szCs w:val="32"/>
          <w:lang w:val="en-US" w:eastAsia="zh-CN"/>
        </w:rPr>
        <w:t>313.94</w:t>
      </w:r>
      <w:r>
        <w:rPr>
          <w:rFonts w:ascii="仿宋" w:hAnsi="仿宋" w:eastAsia="仿宋" w:cs="仿宋"/>
          <w:snapToGrid w:val="0"/>
          <w:color w:val="000000"/>
          <w:spacing w:val="-8"/>
          <w:kern w:val="0"/>
          <w:sz w:val="32"/>
          <w:szCs w:val="32"/>
          <w:lang w:eastAsia="en-US"/>
        </w:rPr>
        <w:t>万元，其中</w:t>
      </w:r>
      <w:r>
        <w:rPr>
          <w:rFonts w:ascii="仿宋" w:hAnsi="仿宋" w:eastAsia="仿宋" w:cs="仿宋"/>
          <w:snapToGrid w:val="0"/>
          <w:color w:val="000000"/>
          <w:spacing w:val="-9"/>
          <w:kern w:val="0"/>
          <w:sz w:val="32"/>
          <w:szCs w:val="32"/>
          <w:lang w:eastAsia="en-US"/>
        </w:rPr>
        <w:t>人员经费</w:t>
      </w:r>
      <w:r>
        <w:rPr>
          <w:rFonts w:hint="eastAsia" w:ascii="仿宋" w:hAnsi="仿宋" w:eastAsia="仿宋" w:cs="仿宋"/>
          <w:snapToGrid w:val="0"/>
          <w:color w:val="000000"/>
          <w:spacing w:val="-9"/>
          <w:kern w:val="0"/>
          <w:sz w:val="32"/>
          <w:szCs w:val="32"/>
          <w:lang w:val="en-US" w:eastAsia="zh-CN"/>
        </w:rPr>
        <w:t>278.41</w:t>
      </w:r>
      <w:r>
        <w:rPr>
          <w:rFonts w:ascii="仿宋" w:hAnsi="仿宋" w:eastAsia="仿宋" w:cs="仿宋"/>
          <w:snapToGrid w:val="0"/>
          <w:color w:val="000000"/>
          <w:spacing w:val="-9"/>
          <w:kern w:val="0"/>
          <w:sz w:val="32"/>
          <w:szCs w:val="32"/>
          <w:lang w:eastAsia="en-US"/>
        </w:rPr>
        <w:t>万元，</w:t>
      </w:r>
      <w:r>
        <w:rPr>
          <w:rFonts w:ascii="仿宋" w:hAnsi="仿宋" w:eastAsia="仿宋" w:cs="仿宋"/>
          <w:snapToGrid w:val="0"/>
          <w:color w:val="000000"/>
          <w:kern w:val="0"/>
          <w:sz w:val="32"/>
          <w:szCs w:val="32"/>
          <w:lang w:eastAsia="en-US"/>
        </w:rPr>
        <w:t xml:space="preserve"> </w:t>
      </w:r>
      <w:r>
        <w:rPr>
          <w:rFonts w:ascii="仿宋" w:hAnsi="仿宋" w:eastAsia="仿宋" w:cs="仿宋"/>
          <w:snapToGrid w:val="0"/>
          <w:color w:val="000000"/>
          <w:spacing w:val="-12"/>
          <w:kern w:val="0"/>
          <w:sz w:val="32"/>
          <w:szCs w:val="32"/>
          <w:lang w:eastAsia="en-US"/>
        </w:rPr>
        <w:t>主要包括：基本工资、津贴补贴、奖金、机关</w:t>
      </w:r>
      <w:r>
        <w:rPr>
          <w:rFonts w:ascii="仿宋" w:hAnsi="仿宋" w:eastAsia="仿宋" w:cs="仿宋"/>
          <w:snapToGrid w:val="0"/>
          <w:color w:val="000000"/>
          <w:spacing w:val="-13"/>
          <w:kern w:val="0"/>
          <w:sz w:val="32"/>
          <w:szCs w:val="32"/>
          <w:lang w:eastAsia="en-US"/>
        </w:rPr>
        <w:t>事业单位基本养</w:t>
      </w:r>
      <w:r>
        <w:rPr>
          <w:rFonts w:ascii="仿宋" w:hAnsi="仿宋" w:eastAsia="仿宋" w:cs="仿宋"/>
          <w:snapToGrid w:val="0"/>
          <w:color w:val="000000"/>
          <w:kern w:val="0"/>
          <w:sz w:val="32"/>
          <w:szCs w:val="32"/>
          <w:lang w:eastAsia="en-US"/>
        </w:rPr>
        <w:t xml:space="preserve"> </w:t>
      </w:r>
      <w:r>
        <w:rPr>
          <w:rFonts w:ascii="仿宋" w:hAnsi="仿宋" w:eastAsia="仿宋" w:cs="仿宋"/>
          <w:snapToGrid w:val="0"/>
          <w:color w:val="000000"/>
          <w:spacing w:val="-12"/>
          <w:kern w:val="0"/>
          <w:sz w:val="32"/>
          <w:szCs w:val="32"/>
          <w:lang w:eastAsia="en-US"/>
        </w:rPr>
        <w:t>老保险缴费、职工基本医疗保险缴费、公务员医疗补助缴费、</w:t>
      </w:r>
      <w:r>
        <w:rPr>
          <w:rFonts w:ascii="仿宋" w:hAnsi="仿宋" w:eastAsia="仿宋" w:cs="仿宋"/>
          <w:snapToGrid w:val="0"/>
          <w:color w:val="000000"/>
          <w:spacing w:val="17"/>
          <w:kern w:val="0"/>
          <w:sz w:val="32"/>
          <w:szCs w:val="32"/>
          <w:lang w:eastAsia="en-US"/>
        </w:rPr>
        <w:t xml:space="preserve"> </w:t>
      </w:r>
      <w:r>
        <w:rPr>
          <w:rFonts w:ascii="仿宋" w:hAnsi="仿宋" w:eastAsia="仿宋" w:cs="仿宋"/>
          <w:snapToGrid w:val="0"/>
          <w:color w:val="000000"/>
          <w:spacing w:val="-12"/>
          <w:kern w:val="0"/>
          <w:sz w:val="32"/>
          <w:szCs w:val="32"/>
          <w:lang w:eastAsia="en-US"/>
        </w:rPr>
        <w:t>其他社会保障缴费、住房公积金、医疗费、其他职工福利支出</w:t>
      </w:r>
      <w:r>
        <w:rPr>
          <w:rFonts w:ascii="仿宋" w:hAnsi="仿宋" w:eastAsia="仿宋" w:cs="仿宋"/>
          <w:snapToGrid w:val="0"/>
          <w:color w:val="000000"/>
          <w:spacing w:val="17"/>
          <w:kern w:val="0"/>
          <w:sz w:val="32"/>
          <w:szCs w:val="32"/>
          <w:lang w:eastAsia="en-US"/>
        </w:rPr>
        <w:t xml:space="preserve"> </w:t>
      </w:r>
      <w:r>
        <w:rPr>
          <w:rFonts w:ascii="仿宋" w:hAnsi="仿宋" w:eastAsia="仿宋" w:cs="仿宋"/>
          <w:snapToGrid w:val="0"/>
          <w:color w:val="000000"/>
          <w:spacing w:val="-10"/>
          <w:kern w:val="0"/>
          <w:sz w:val="32"/>
          <w:szCs w:val="32"/>
          <w:lang w:eastAsia="en-US"/>
        </w:rPr>
        <w:t>等；日常公用经费</w:t>
      </w:r>
      <w:r>
        <w:rPr>
          <w:rFonts w:hint="eastAsia" w:ascii="仿宋" w:hAnsi="仿宋" w:eastAsia="仿宋" w:cs="仿宋"/>
          <w:snapToGrid w:val="0"/>
          <w:color w:val="000000"/>
          <w:spacing w:val="-10"/>
          <w:kern w:val="0"/>
          <w:sz w:val="32"/>
          <w:szCs w:val="32"/>
          <w:lang w:val="en-US" w:eastAsia="zh-CN"/>
        </w:rPr>
        <w:t>35.52</w:t>
      </w:r>
      <w:r>
        <w:rPr>
          <w:rFonts w:ascii="仿宋" w:hAnsi="仿宋" w:eastAsia="仿宋" w:cs="仿宋"/>
          <w:snapToGrid w:val="0"/>
          <w:color w:val="000000"/>
          <w:spacing w:val="-10"/>
          <w:kern w:val="0"/>
          <w:sz w:val="32"/>
          <w:szCs w:val="32"/>
          <w:lang w:eastAsia="en-US"/>
        </w:rPr>
        <w:t>万元，主要包括：办</w:t>
      </w:r>
      <w:r>
        <w:rPr>
          <w:rFonts w:ascii="仿宋" w:hAnsi="仿宋" w:eastAsia="仿宋" w:cs="仿宋"/>
          <w:snapToGrid w:val="0"/>
          <w:color w:val="000000"/>
          <w:spacing w:val="-11"/>
          <w:kern w:val="0"/>
          <w:sz w:val="32"/>
          <w:szCs w:val="32"/>
          <w:lang w:eastAsia="en-US"/>
        </w:rPr>
        <w:t>公费、印刷费、</w:t>
      </w:r>
      <w:r>
        <w:rPr>
          <w:rFonts w:ascii="仿宋" w:hAnsi="仿宋" w:eastAsia="仿宋" w:cs="仿宋"/>
          <w:snapToGrid w:val="0"/>
          <w:color w:val="000000"/>
          <w:kern w:val="0"/>
          <w:sz w:val="32"/>
          <w:szCs w:val="32"/>
          <w:lang w:eastAsia="en-US"/>
        </w:rPr>
        <w:t xml:space="preserve"> </w:t>
      </w:r>
      <w:r>
        <w:rPr>
          <w:rFonts w:ascii="仿宋" w:hAnsi="仿宋" w:eastAsia="仿宋" w:cs="仿宋"/>
          <w:snapToGrid w:val="0"/>
          <w:color w:val="000000"/>
          <w:spacing w:val="-12"/>
          <w:kern w:val="0"/>
          <w:sz w:val="32"/>
          <w:szCs w:val="32"/>
          <w:lang w:eastAsia="en-US"/>
        </w:rPr>
        <w:t>咨询费、手续费、水费、电费、邮电费、物业管理费、差旅费</w:t>
      </w:r>
      <w:r>
        <w:rPr>
          <w:rFonts w:ascii="仿宋" w:hAnsi="仿宋" w:eastAsia="仿宋" w:cs="仿宋"/>
          <w:snapToGrid w:val="0"/>
          <w:color w:val="000000"/>
          <w:spacing w:val="11"/>
          <w:kern w:val="0"/>
          <w:sz w:val="32"/>
          <w:szCs w:val="32"/>
          <w:lang w:eastAsia="en-US"/>
        </w:rPr>
        <w:t xml:space="preserve"> </w:t>
      </w:r>
      <w:r>
        <w:rPr>
          <w:rFonts w:ascii="仿宋" w:hAnsi="仿宋" w:eastAsia="仿宋" w:cs="仿宋"/>
          <w:snapToGrid w:val="0"/>
          <w:color w:val="000000"/>
          <w:kern w:val="0"/>
          <w:sz w:val="32"/>
          <w:szCs w:val="32"/>
          <w:lang w:eastAsia="en-US"/>
        </w:rPr>
        <w:t>、维修(护)费、会议费、培训费、专用材料费、劳务费</w:t>
      </w:r>
      <w:r>
        <w:rPr>
          <w:rFonts w:ascii="仿宋" w:hAnsi="仿宋" w:eastAsia="仿宋" w:cs="仿宋"/>
          <w:snapToGrid w:val="0"/>
          <w:color w:val="000000"/>
          <w:spacing w:val="-1"/>
          <w:kern w:val="0"/>
          <w:sz w:val="32"/>
          <w:szCs w:val="32"/>
          <w:lang w:eastAsia="en-US"/>
        </w:rPr>
        <w:t>等，</w:t>
      </w:r>
      <w:r>
        <w:rPr>
          <w:rFonts w:ascii="仿宋" w:hAnsi="仿宋" w:eastAsia="仿宋" w:cs="仿宋"/>
          <w:snapToGrid w:val="0"/>
          <w:color w:val="000000"/>
          <w:kern w:val="0"/>
          <w:sz w:val="32"/>
          <w:szCs w:val="32"/>
          <w:lang w:eastAsia="en-US"/>
        </w:rPr>
        <w:t xml:space="preserve"> </w:t>
      </w:r>
      <w:r>
        <w:rPr>
          <w:rFonts w:ascii="仿宋" w:hAnsi="仿宋" w:eastAsia="仿宋" w:cs="仿宋"/>
          <w:snapToGrid w:val="0"/>
          <w:color w:val="000000"/>
          <w:spacing w:val="-6"/>
          <w:kern w:val="0"/>
          <w:sz w:val="32"/>
          <w:szCs w:val="32"/>
          <w:lang w:eastAsia="en-US"/>
        </w:rPr>
        <w:t>其中三公经费支出0.</w:t>
      </w:r>
      <w:r>
        <w:rPr>
          <w:rFonts w:hint="eastAsia" w:ascii="仿宋" w:hAnsi="仿宋" w:eastAsia="仿宋" w:cs="仿宋"/>
          <w:snapToGrid w:val="0"/>
          <w:color w:val="000000"/>
          <w:spacing w:val="-6"/>
          <w:kern w:val="0"/>
          <w:sz w:val="32"/>
          <w:szCs w:val="32"/>
          <w:lang w:val="en-US" w:eastAsia="zh-CN"/>
        </w:rPr>
        <w:t>2</w:t>
      </w:r>
      <w:r>
        <w:rPr>
          <w:rFonts w:ascii="仿宋" w:hAnsi="仿宋" w:eastAsia="仿宋" w:cs="仿宋"/>
          <w:snapToGrid w:val="0"/>
          <w:color w:val="000000"/>
          <w:spacing w:val="-6"/>
          <w:kern w:val="0"/>
          <w:sz w:val="32"/>
          <w:szCs w:val="32"/>
          <w:lang w:eastAsia="en-US"/>
        </w:rPr>
        <w:t>万元：因公出国(境)费用0元，公务接</w:t>
      </w:r>
      <w:r>
        <w:rPr>
          <w:rFonts w:ascii="仿宋" w:hAnsi="仿宋" w:eastAsia="仿宋" w:cs="仿宋"/>
          <w:snapToGrid w:val="0"/>
          <w:color w:val="000000"/>
          <w:spacing w:val="8"/>
          <w:kern w:val="0"/>
          <w:sz w:val="32"/>
          <w:szCs w:val="32"/>
          <w:lang w:eastAsia="en-US"/>
        </w:rPr>
        <w:t xml:space="preserve"> </w:t>
      </w:r>
      <w:r>
        <w:rPr>
          <w:rFonts w:ascii="仿宋" w:hAnsi="仿宋" w:eastAsia="仿宋" w:cs="仿宋"/>
          <w:snapToGrid w:val="0"/>
          <w:color w:val="000000"/>
          <w:spacing w:val="-16"/>
          <w:kern w:val="0"/>
          <w:sz w:val="32"/>
          <w:szCs w:val="32"/>
          <w:lang w:eastAsia="en-US"/>
        </w:rPr>
        <w:t>待费0.</w:t>
      </w:r>
      <w:r>
        <w:rPr>
          <w:rFonts w:hint="eastAsia" w:ascii="仿宋" w:hAnsi="仿宋" w:eastAsia="仿宋" w:cs="仿宋"/>
          <w:snapToGrid w:val="0"/>
          <w:color w:val="000000"/>
          <w:spacing w:val="-16"/>
          <w:kern w:val="0"/>
          <w:sz w:val="32"/>
          <w:szCs w:val="32"/>
          <w:lang w:val="en-US" w:eastAsia="zh-CN"/>
        </w:rPr>
        <w:t>2</w:t>
      </w:r>
      <w:r>
        <w:rPr>
          <w:rFonts w:ascii="仿宋" w:hAnsi="仿宋" w:eastAsia="仿宋" w:cs="仿宋"/>
          <w:snapToGrid w:val="0"/>
          <w:color w:val="000000"/>
          <w:spacing w:val="-16"/>
          <w:kern w:val="0"/>
          <w:sz w:val="32"/>
          <w:szCs w:val="32"/>
          <w:lang w:eastAsia="en-US"/>
        </w:rPr>
        <w:t>万元，公务用车运行维护费0元。</w:t>
      </w:r>
      <w:r>
        <w:rPr>
          <w:rFonts w:ascii="仿宋" w:hAnsi="仿宋" w:eastAsia="仿宋" w:cs="仿宋"/>
          <w:snapToGrid w:val="0"/>
          <w:color w:val="000000"/>
          <w:spacing w:val="-17"/>
          <w:kern w:val="0"/>
          <w:sz w:val="32"/>
          <w:szCs w:val="32"/>
          <w:lang w:eastAsia="en-US"/>
        </w:rPr>
        <w:t>年初我局制定经费预</w:t>
      </w:r>
      <w:r>
        <w:rPr>
          <w:rFonts w:ascii="仿宋" w:hAnsi="仿宋" w:eastAsia="仿宋" w:cs="仿宋"/>
          <w:snapToGrid w:val="0"/>
          <w:color w:val="000000"/>
          <w:kern w:val="0"/>
          <w:sz w:val="32"/>
          <w:szCs w:val="32"/>
          <w:lang w:eastAsia="en-US"/>
        </w:rPr>
        <w:t xml:space="preserve"> </w:t>
      </w:r>
      <w:r>
        <w:rPr>
          <w:rFonts w:ascii="仿宋" w:hAnsi="仿宋" w:eastAsia="仿宋" w:cs="仿宋"/>
          <w:snapToGrid w:val="0"/>
          <w:color w:val="000000"/>
          <w:spacing w:val="-24"/>
          <w:kern w:val="0"/>
          <w:sz w:val="32"/>
          <w:szCs w:val="32"/>
          <w:lang w:eastAsia="en-US"/>
        </w:rPr>
        <w:t>算时，明确了“三公经费”控制标准。</w:t>
      </w:r>
    </w:p>
    <w:p w14:paraId="0D679784">
      <w:pPr>
        <w:widowControl/>
        <w:kinsoku w:val="0"/>
        <w:autoSpaceDE w:val="0"/>
        <w:autoSpaceDN w:val="0"/>
        <w:adjustRightInd w:val="0"/>
        <w:snapToGrid w:val="0"/>
        <w:spacing w:before="147" w:line="306" w:lineRule="auto"/>
        <w:ind w:left="82" w:right="85" w:firstLine="610"/>
        <w:jc w:val="left"/>
        <w:textAlignment w:val="baseline"/>
        <w:rPr>
          <w:rFonts w:ascii="仿宋" w:hAnsi="仿宋" w:eastAsia="仿宋" w:cs="仿宋"/>
          <w:snapToGrid w:val="0"/>
          <w:color w:val="000000"/>
          <w:spacing w:val="-11"/>
          <w:kern w:val="0"/>
          <w:sz w:val="32"/>
          <w:szCs w:val="32"/>
          <w:lang w:eastAsia="en-US"/>
        </w:rPr>
      </w:pPr>
      <w:r>
        <w:rPr>
          <w:rFonts w:ascii="仿宋" w:hAnsi="仿宋" w:eastAsia="仿宋" w:cs="仿宋"/>
          <w:snapToGrid w:val="0"/>
          <w:color w:val="000000"/>
          <w:spacing w:val="-4"/>
          <w:kern w:val="0"/>
          <w:sz w:val="32"/>
          <w:szCs w:val="32"/>
          <w:lang w:eastAsia="en-US"/>
        </w:rPr>
        <w:t>(二)项目支出情况</w:t>
      </w:r>
    </w:p>
    <w:p w14:paraId="08F40FC3">
      <w:pPr>
        <w:widowControl/>
        <w:kinsoku w:val="0"/>
        <w:autoSpaceDE w:val="0"/>
        <w:autoSpaceDN w:val="0"/>
        <w:adjustRightInd w:val="0"/>
        <w:snapToGrid w:val="0"/>
        <w:spacing w:before="147" w:line="306" w:lineRule="auto"/>
        <w:ind w:left="82" w:right="85" w:firstLine="610"/>
        <w:jc w:val="left"/>
        <w:textAlignment w:val="baseline"/>
        <w:rPr>
          <w:rFonts w:hint="eastAsia" w:ascii="仿宋" w:hAnsi="仿宋" w:eastAsia="仿宋" w:cs="仿宋"/>
          <w:snapToGrid w:val="0"/>
          <w:color w:val="000000"/>
          <w:spacing w:val="-11"/>
          <w:kern w:val="0"/>
          <w:sz w:val="32"/>
          <w:szCs w:val="32"/>
          <w:lang w:eastAsia="zh-CN"/>
        </w:rPr>
      </w:pPr>
      <w:r>
        <w:rPr>
          <w:rFonts w:hint="eastAsia" w:ascii="仿宋" w:hAnsi="仿宋" w:eastAsia="仿宋" w:cs="仿宋"/>
          <w:snapToGrid w:val="0"/>
          <w:color w:val="000000"/>
          <w:spacing w:val="-11"/>
          <w:kern w:val="0"/>
          <w:sz w:val="32"/>
          <w:szCs w:val="32"/>
          <w:lang w:eastAsia="zh-CN"/>
        </w:rPr>
        <w:t>2025</w:t>
      </w:r>
      <w:r>
        <w:rPr>
          <w:rFonts w:ascii="仿宋" w:hAnsi="仿宋" w:eastAsia="仿宋" w:cs="仿宋"/>
          <w:snapToGrid w:val="0"/>
          <w:color w:val="000000"/>
          <w:spacing w:val="-11"/>
          <w:kern w:val="0"/>
          <w:sz w:val="32"/>
          <w:szCs w:val="32"/>
          <w:lang w:eastAsia="en-US"/>
        </w:rPr>
        <w:t>年</w:t>
      </w:r>
      <w:r>
        <w:rPr>
          <w:rFonts w:hint="eastAsia" w:ascii="仿宋" w:hAnsi="仿宋" w:eastAsia="仿宋" w:cs="仿宋"/>
          <w:snapToGrid w:val="0"/>
          <w:color w:val="000000"/>
          <w:spacing w:val="-11"/>
          <w:kern w:val="0"/>
          <w:sz w:val="32"/>
          <w:szCs w:val="32"/>
          <w:lang w:eastAsia="zh-CN"/>
        </w:rPr>
        <w:t>科学技术局</w:t>
      </w:r>
      <w:r>
        <w:rPr>
          <w:rFonts w:ascii="仿宋" w:hAnsi="仿宋" w:eastAsia="仿宋" w:cs="仿宋"/>
          <w:snapToGrid w:val="0"/>
          <w:color w:val="000000"/>
          <w:spacing w:val="-11"/>
          <w:kern w:val="0"/>
          <w:sz w:val="32"/>
          <w:szCs w:val="32"/>
          <w:lang w:eastAsia="en-US"/>
        </w:rPr>
        <w:t>项目支出为</w:t>
      </w:r>
      <w:r>
        <w:rPr>
          <w:rFonts w:hint="eastAsia" w:ascii="仿宋" w:hAnsi="仿宋" w:eastAsia="仿宋" w:cs="仿宋"/>
          <w:snapToGrid w:val="0"/>
          <w:color w:val="000000"/>
          <w:spacing w:val="-11"/>
          <w:kern w:val="0"/>
          <w:sz w:val="32"/>
          <w:szCs w:val="32"/>
          <w:lang w:val="en-US" w:eastAsia="zh-CN"/>
        </w:rPr>
        <w:t>547.84</w:t>
      </w:r>
      <w:r>
        <w:rPr>
          <w:rFonts w:ascii="仿宋" w:hAnsi="仿宋" w:eastAsia="仿宋" w:cs="仿宋"/>
          <w:snapToGrid w:val="0"/>
          <w:color w:val="000000"/>
          <w:spacing w:val="-11"/>
          <w:kern w:val="0"/>
          <w:sz w:val="32"/>
          <w:szCs w:val="32"/>
          <w:lang w:eastAsia="en-US"/>
        </w:rPr>
        <w:t>万元。主要用于</w:t>
      </w:r>
      <w:r>
        <w:rPr>
          <w:rFonts w:hint="eastAsia" w:ascii="仿宋" w:hAnsi="仿宋" w:eastAsia="仿宋" w:cs="仿宋"/>
          <w:snapToGrid w:val="0"/>
          <w:color w:val="000000"/>
          <w:spacing w:val="-11"/>
          <w:kern w:val="0"/>
          <w:sz w:val="32"/>
          <w:szCs w:val="32"/>
          <w:lang w:eastAsia="zh-CN"/>
        </w:rPr>
        <w:t>企业扶助款及争取高新技术企业、小康考核等过程中产生的会议费、培训费、资料费等工作经费。我局成立了财务管理工作领导小组，制定了一系列的财务管理制度，全部资金由局财务股统一管理。我局在资金使用上一直按照国家财经法规和本局财务管理制度规定以及有关专项资金管理办法的规定收支，资金拨付有完整的审批程序和手续，按照财经制度的有关要求，做到专款专用，专人保管，政府纪检组对专项资金的使用进行全程监督，保证资金使用的合规性。资金使用无截留、挤占、挪用、虚列支出等情况。相关发票由经手人填写，分管领导审核后，报分管财务领导签字同意，再由局长审核，到财务股结算。</w:t>
      </w:r>
    </w:p>
    <w:p w14:paraId="752119A8">
      <w:pPr>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val="en-US" w:eastAsia="en-US" w:bidi="ar-SA"/>
        </w:rPr>
      </w:pPr>
    </w:p>
    <w:p w14:paraId="6DC58C64">
      <w:pPr>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val="en-US" w:eastAsia="en-US" w:bidi="ar-SA"/>
        </w:rPr>
      </w:pPr>
    </w:p>
    <w:p w14:paraId="6EB54D26">
      <w:pPr>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val="en-US" w:eastAsia="en-US" w:bidi="ar-SA"/>
        </w:rPr>
      </w:pPr>
    </w:p>
    <w:p w14:paraId="50595FB5">
      <w:pPr>
        <w:widowControl/>
        <w:kinsoku w:val="0"/>
        <w:autoSpaceDE w:val="0"/>
        <w:autoSpaceDN w:val="0"/>
        <w:adjustRightInd w:val="0"/>
        <w:snapToGrid w:val="0"/>
        <w:spacing w:before="97" w:line="222" w:lineRule="auto"/>
        <w:ind w:left="70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1"/>
          <w:kern w:val="0"/>
          <w:sz w:val="30"/>
          <w:szCs w:val="30"/>
          <w:lang w:eastAsia="en-US"/>
        </w:rPr>
        <w:t>三、政府性基金预算支出情况</w:t>
      </w:r>
    </w:p>
    <w:p w14:paraId="39D3626C">
      <w:pPr>
        <w:widowControl/>
        <w:kinsoku w:val="0"/>
        <w:autoSpaceDE w:val="0"/>
        <w:autoSpaceDN w:val="0"/>
        <w:adjustRightInd w:val="0"/>
        <w:snapToGrid w:val="0"/>
        <w:spacing w:before="165" w:line="220" w:lineRule="auto"/>
        <w:ind w:left="1572"/>
        <w:jc w:val="left"/>
        <w:textAlignment w:val="baseline"/>
        <w:rPr>
          <w:rFonts w:ascii="仿宋" w:hAnsi="仿宋" w:eastAsia="仿宋" w:cs="仿宋"/>
          <w:snapToGrid w:val="0"/>
          <w:color w:val="000000"/>
          <w:kern w:val="0"/>
          <w:sz w:val="30"/>
          <w:szCs w:val="30"/>
          <w:lang w:eastAsia="en-US"/>
        </w:rPr>
      </w:pPr>
      <w:r>
        <w:rPr>
          <w:rFonts w:hint="eastAsia" w:ascii="仿宋" w:hAnsi="仿宋" w:eastAsia="仿宋" w:cs="仿宋"/>
          <w:snapToGrid w:val="0"/>
          <w:color w:val="000000"/>
          <w:spacing w:val="-1"/>
          <w:kern w:val="0"/>
          <w:sz w:val="30"/>
          <w:szCs w:val="30"/>
          <w:lang w:eastAsia="zh-CN"/>
        </w:rPr>
        <w:t>2025</w:t>
      </w:r>
      <w:r>
        <w:rPr>
          <w:rFonts w:ascii="仿宋" w:hAnsi="仿宋" w:eastAsia="仿宋" w:cs="仿宋"/>
          <w:snapToGrid w:val="0"/>
          <w:color w:val="000000"/>
          <w:spacing w:val="-1"/>
          <w:kern w:val="0"/>
          <w:sz w:val="30"/>
          <w:szCs w:val="30"/>
          <w:lang w:eastAsia="en-US"/>
        </w:rPr>
        <w:t>年度政府性基金预算支出</w:t>
      </w:r>
      <w:r>
        <w:rPr>
          <w:rFonts w:hint="eastAsia" w:ascii="仿宋" w:hAnsi="仿宋" w:eastAsia="仿宋" w:cs="仿宋"/>
          <w:snapToGrid w:val="0"/>
          <w:color w:val="000000"/>
          <w:spacing w:val="-1"/>
          <w:kern w:val="0"/>
          <w:sz w:val="30"/>
          <w:szCs w:val="30"/>
          <w:lang w:val="en-US" w:eastAsia="zh-CN"/>
        </w:rPr>
        <w:t>14.2</w:t>
      </w:r>
      <w:r>
        <w:rPr>
          <w:rFonts w:ascii="仿宋" w:hAnsi="仿宋" w:eastAsia="仿宋" w:cs="仿宋"/>
          <w:snapToGrid w:val="0"/>
          <w:color w:val="000000"/>
          <w:spacing w:val="-1"/>
          <w:kern w:val="0"/>
          <w:sz w:val="30"/>
          <w:szCs w:val="30"/>
          <w:lang w:eastAsia="en-US"/>
        </w:rPr>
        <w:t>万元。</w:t>
      </w:r>
    </w:p>
    <w:p w14:paraId="5FF94471">
      <w:pPr>
        <w:widowControl/>
        <w:kinsoku w:val="0"/>
        <w:autoSpaceDE w:val="0"/>
        <w:autoSpaceDN w:val="0"/>
        <w:adjustRightInd w:val="0"/>
        <w:snapToGrid w:val="0"/>
        <w:spacing w:before="186" w:line="222" w:lineRule="auto"/>
        <w:ind w:left="70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3"/>
          <w:kern w:val="0"/>
          <w:sz w:val="30"/>
          <w:szCs w:val="30"/>
          <w:lang w:eastAsia="en-US"/>
        </w:rPr>
        <w:t>四、国有资本经营预算支出情况</w:t>
      </w:r>
    </w:p>
    <w:p w14:paraId="7B937F21">
      <w:pPr>
        <w:widowControl/>
        <w:kinsoku w:val="0"/>
        <w:autoSpaceDE w:val="0"/>
        <w:autoSpaceDN w:val="0"/>
        <w:adjustRightInd w:val="0"/>
        <w:snapToGrid w:val="0"/>
        <w:spacing w:before="146" w:line="222" w:lineRule="auto"/>
        <w:ind w:left="1442"/>
        <w:jc w:val="left"/>
        <w:textAlignment w:val="baseline"/>
        <w:rPr>
          <w:rFonts w:ascii="仿宋" w:hAnsi="仿宋" w:eastAsia="仿宋" w:cs="仿宋"/>
          <w:snapToGrid w:val="0"/>
          <w:color w:val="000000"/>
          <w:kern w:val="0"/>
          <w:sz w:val="30"/>
          <w:szCs w:val="30"/>
          <w:lang w:eastAsia="en-US"/>
        </w:rPr>
      </w:pPr>
      <w:r>
        <w:rPr>
          <w:rFonts w:hint="eastAsia" w:ascii="仿宋" w:hAnsi="仿宋" w:eastAsia="仿宋" w:cs="仿宋"/>
          <w:snapToGrid w:val="0"/>
          <w:color w:val="000000"/>
          <w:spacing w:val="-3"/>
          <w:kern w:val="0"/>
          <w:sz w:val="30"/>
          <w:szCs w:val="30"/>
          <w:lang w:eastAsia="zh-CN"/>
        </w:rPr>
        <w:t>2025</w:t>
      </w:r>
      <w:r>
        <w:rPr>
          <w:rFonts w:ascii="仿宋" w:hAnsi="仿宋" w:eastAsia="仿宋" w:cs="仿宋"/>
          <w:snapToGrid w:val="0"/>
          <w:color w:val="000000"/>
          <w:spacing w:val="-3"/>
          <w:kern w:val="0"/>
          <w:sz w:val="30"/>
          <w:szCs w:val="30"/>
          <w:lang w:eastAsia="en-US"/>
        </w:rPr>
        <w:t>年度国有资本经营预算支出0万元。</w:t>
      </w:r>
    </w:p>
    <w:p w14:paraId="7D76500F">
      <w:pPr>
        <w:widowControl/>
        <w:kinsoku w:val="0"/>
        <w:autoSpaceDE w:val="0"/>
        <w:autoSpaceDN w:val="0"/>
        <w:adjustRightInd w:val="0"/>
        <w:snapToGrid w:val="0"/>
        <w:spacing w:before="171" w:line="222" w:lineRule="auto"/>
        <w:ind w:left="70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3"/>
          <w:kern w:val="0"/>
          <w:sz w:val="30"/>
          <w:szCs w:val="30"/>
          <w:lang w:eastAsia="en-US"/>
        </w:rPr>
        <w:t>五、社会保险基金预算支出情况</w:t>
      </w:r>
    </w:p>
    <w:p w14:paraId="6912234B">
      <w:pPr>
        <w:widowControl/>
        <w:kinsoku w:val="0"/>
        <w:autoSpaceDE w:val="0"/>
        <w:autoSpaceDN w:val="0"/>
        <w:adjustRightInd w:val="0"/>
        <w:snapToGrid w:val="0"/>
        <w:spacing w:before="147" w:line="221" w:lineRule="auto"/>
        <w:ind w:left="1462"/>
        <w:jc w:val="left"/>
        <w:textAlignment w:val="baseline"/>
        <w:rPr>
          <w:rFonts w:ascii="仿宋" w:hAnsi="仿宋" w:eastAsia="仿宋" w:cs="仿宋"/>
          <w:snapToGrid w:val="0"/>
          <w:color w:val="000000"/>
          <w:kern w:val="0"/>
          <w:sz w:val="30"/>
          <w:szCs w:val="30"/>
          <w:lang w:eastAsia="en-US"/>
        </w:rPr>
      </w:pPr>
      <w:r>
        <w:rPr>
          <w:rFonts w:hint="eastAsia" w:ascii="仿宋" w:hAnsi="仿宋" w:eastAsia="仿宋" w:cs="仿宋"/>
          <w:snapToGrid w:val="0"/>
          <w:color w:val="000000"/>
          <w:spacing w:val="-3"/>
          <w:kern w:val="0"/>
          <w:sz w:val="30"/>
          <w:szCs w:val="30"/>
          <w:lang w:eastAsia="zh-CN"/>
        </w:rPr>
        <w:t>2025</w:t>
      </w:r>
      <w:r>
        <w:rPr>
          <w:rFonts w:ascii="仿宋" w:hAnsi="仿宋" w:eastAsia="仿宋" w:cs="仿宋"/>
          <w:snapToGrid w:val="0"/>
          <w:color w:val="000000"/>
          <w:spacing w:val="-3"/>
          <w:kern w:val="0"/>
          <w:sz w:val="30"/>
          <w:szCs w:val="30"/>
          <w:lang w:eastAsia="en-US"/>
        </w:rPr>
        <w:t>年度社会保险基金预算支出0万元。</w:t>
      </w:r>
    </w:p>
    <w:p w14:paraId="6F942CAD">
      <w:pPr>
        <w:widowControl/>
        <w:kinsoku w:val="0"/>
        <w:autoSpaceDE w:val="0"/>
        <w:autoSpaceDN w:val="0"/>
        <w:adjustRightInd w:val="0"/>
        <w:snapToGrid w:val="0"/>
        <w:spacing w:before="173" w:line="221" w:lineRule="auto"/>
        <w:ind w:left="70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4"/>
          <w:kern w:val="0"/>
          <w:sz w:val="30"/>
          <w:szCs w:val="30"/>
          <w:lang w:eastAsia="en-US"/>
        </w:rPr>
        <w:t>六、部门整体支出绩效情况</w:t>
      </w:r>
    </w:p>
    <w:p w14:paraId="6D409792">
      <w:pPr>
        <w:widowControl/>
        <w:kinsoku w:val="0"/>
        <w:autoSpaceDE w:val="0"/>
        <w:autoSpaceDN w:val="0"/>
        <w:adjustRightInd w:val="0"/>
        <w:snapToGrid w:val="0"/>
        <w:spacing w:before="158" w:line="305" w:lineRule="auto"/>
        <w:ind w:left="152" w:right="116" w:firstLine="549"/>
        <w:jc w:val="both"/>
        <w:textAlignment w:val="baseline"/>
        <w:rPr>
          <w:rFonts w:ascii="仿宋" w:hAnsi="仿宋" w:eastAsia="仿宋" w:cs="仿宋"/>
          <w:snapToGrid w:val="0"/>
          <w:color w:val="000000"/>
          <w:kern w:val="0"/>
          <w:sz w:val="31"/>
          <w:szCs w:val="31"/>
          <w:lang w:eastAsia="en-US"/>
        </w:rPr>
      </w:pPr>
      <w:r>
        <w:rPr>
          <w:rFonts w:ascii="仿宋" w:hAnsi="仿宋" w:eastAsia="仿宋" w:cs="仿宋"/>
          <w:snapToGrid w:val="0"/>
          <w:color w:val="000000"/>
          <w:spacing w:val="-3"/>
          <w:kern w:val="0"/>
          <w:sz w:val="31"/>
          <w:szCs w:val="31"/>
          <w:lang w:eastAsia="en-US"/>
        </w:rPr>
        <w:t>岳阳县</w:t>
      </w:r>
      <w:r>
        <w:rPr>
          <w:rFonts w:hint="eastAsia" w:ascii="仿宋" w:hAnsi="仿宋" w:eastAsia="仿宋" w:cs="仿宋"/>
          <w:snapToGrid w:val="0"/>
          <w:color w:val="000000"/>
          <w:spacing w:val="-3"/>
          <w:kern w:val="0"/>
          <w:sz w:val="31"/>
          <w:szCs w:val="31"/>
          <w:lang w:val="en-US" w:eastAsia="zh-CN"/>
        </w:rPr>
        <w:t>科技局</w:t>
      </w:r>
      <w:r>
        <w:rPr>
          <w:rFonts w:ascii="仿宋" w:hAnsi="仿宋" w:eastAsia="仿宋" w:cs="仿宋"/>
          <w:snapToGrid w:val="0"/>
          <w:color w:val="000000"/>
          <w:spacing w:val="-3"/>
          <w:kern w:val="0"/>
          <w:sz w:val="31"/>
          <w:szCs w:val="31"/>
          <w:lang w:eastAsia="en-US"/>
        </w:rPr>
        <w:t>在县领导的支持和县财政局的具体指</w:t>
      </w:r>
      <w:r>
        <w:rPr>
          <w:rFonts w:ascii="仿宋" w:hAnsi="仿宋" w:eastAsia="仿宋" w:cs="仿宋"/>
          <w:snapToGrid w:val="0"/>
          <w:color w:val="000000"/>
          <w:spacing w:val="-4"/>
          <w:kern w:val="0"/>
          <w:sz w:val="31"/>
          <w:szCs w:val="31"/>
          <w:lang w:eastAsia="en-US"/>
        </w:rPr>
        <w:t>导下，</w:t>
      </w:r>
      <w:r>
        <w:rPr>
          <w:rFonts w:ascii="仿宋" w:hAnsi="仿宋" w:eastAsia="仿宋" w:cs="仿宋"/>
          <w:snapToGrid w:val="0"/>
          <w:color w:val="000000"/>
          <w:kern w:val="0"/>
          <w:sz w:val="31"/>
          <w:szCs w:val="31"/>
          <w:lang w:eastAsia="en-US"/>
        </w:rPr>
        <w:t xml:space="preserve"> </w:t>
      </w:r>
      <w:r>
        <w:rPr>
          <w:rFonts w:ascii="仿宋" w:hAnsi="仿宋" w:eastAsia="仿宋" w:cs="仿宋"/>
          <w:snapToGrid w:val="0"/>
          <w:color w:val="000000"/>
          <w:spacing w:val="-6"/>
          <w:kern w:val="0"/>
          <w:sz w:val="31"/>
          <w:szCs w:val="31"/>
          <w:lang w:eastAsia="en-US"/>
        </w:rPr>
        <w:t>积极推进预算绩效管理工作，不断提高绩效管理工作的质量和</w:t>
      </w:r>
      <w:r>
        <w:rPr>
          <w:rFonts w:ascii="仿宋" w:hAnsi="仿宋" w:eastAsia="仿宋" w:cs="仿宋"/>
          <w:snapToGrid w:val="0"/>
          <w:color w:val="000000"/>
          <w:spacing w:val="14"/>
          <w:kern w:val="0"/>
          <w:sz w:val="31"/>
          <w:szCs w:val="31"/>
          <w:lang w:eastAsia="en-US"/>
        </w:rPr>
        <w:t xml:space="preserve"> </w:t>
      </w:r>
      <w:r>
        <w:rPr>
          <w:rFonts w:ascii="仿宋" w:hAnsi="仿宋" w:eastAsia="仿宋" w:cs="仿宋"/>
          <w:snapToGrid w:val="0"/>
          <w:color w:val="000000"/>
          <w:spacing w:val="-13"/>
          <w:kern w:val="0"/>
          <w:sz w:val="31"/>
          <w:szCs w:val="31"/>
          <w:lang w:eastAsia="en-US"/>
        </w:rPr>
        <w:t>水平，提高财政资金的使用效益，取得了较</w:t>
      </w:r>
      <w:r>
        <w:rPr>
          <w:rFonts w:ascii="仿宋" w:hAnsi="仿宋" w:eastAsia="仿宋" w:cs="仿宋"/>
          <w:snapToGrid w:val="0"/>
          <w:color w:val="000000"/>
          <w:spacing w:val="-14"/>
          <w:kern w:val="0"/>
          <w:sz w:val="31"/>
          <w:szCs w:val="31"/>
          <w:lang w:eastAsia="en-US"/>
        </w:rPr>
        <w:t>好成效。</w:t>
      </w:r>
    </w:p>
    <w:p w14:paraId="140B7FAA">
      <w:pPr>
        <w:widowControl/>
        <w:kinsoku w:val="0"/>
        <w:autoSpaceDE w:val="0"/>
        <w:autoSpaceDN w:val="0"/>
        <w:adjustRightInd w:val="0"/>
        <w:snapToGrid w:val="0"/>
        <w:spacing w:before="7" w:line="222" w:lineRule="auto"/>
        <w:ind w:left="70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3"/>
          <w:kern w:val="0"/>
          <w:sz w:val="30"/>
          <w:szCs w:val="30"/>
          <w:lang w:eastAsia="en-US"/>
        </w:rPr>
        <w:t>七、存在的问题及原因分析</w:t>
      </w:r>
    </w:p>
    <w:p w14:paraId="581B81D2">
      <w:pPr>
        <w:widowControl/>
        <w:kinsoku w:val="0"/>
        <w:autoSpaceDE w:val="0"/>
        <w:autoSpaceDN w:val="0"/>
        <w:adjustRightInd w:val="0"/>
        <w:snapToGrid w:val="0"/>
        <w:spacing w:before="162" w:line="280" w:lineRule="auto"/>
        <w:ind w:left="152" w:right="86" w:firstLine="549"/>
        <w:jc w:val="left"/>
        <w:textAlignment w:val="baseline"/>
        <w:rPr>
          <w:rFonts w:ascii="仿宋" w:hAnsi="仿宋" w:eastAsia="仿宋" w:cs="仿宋"/>
          <w:snapToGrid w:val="0"/>
          <w:color w:val="000000"/>
          <w:kern w:val="0"/>
          <w:sz w:val="31"/>
          <w:szCs w:val="31"/>
          <w:lang w:eastAsia="en-US"/>
        </w:rPr>
      </w:pPr>
      <w:r>
        <w:rPr>
          <w:rFonts w:ascii="Times New Roman" w:hAnsi="Times New Roman" w:eastAsia="Times New Roman" w:cs="Times New Roman"/>
          <w:snapToGrid w:val="0"/>
          <w:color w:val="000000"/>
          <w:spacing w:val="-11"/>
          <w:kern w:val="0"/>
          <w:sz w:val="31"/>
          <w:szCs w:val="31"/>
          <w:lang w:eastAsia="en-US"/>
        </w:rPr>
        <w:t>1</w:t>
      </w:r>
      <w:r>
        <w:rPr>
          <w:rFonts w:ascii="Times New Roman" w:hAnsi="Times New Roman" w:eastAsia="Times New Roman" w:cs="Times New Roman"/>
          <w:snapToGrid w:val="0"/>
          <w:color w:val="000000"/>
          <w:spacing w:val="-39"/>
          <w:kern w:val="0"/>
          <w:sz w:val="31"/>
          <w:szCs w:val="31"/>
          <w:lang w:eastAsia="en-US"/>
        </w:rPr>
        <w:t xml:space="preserve"> </w:t>
      </w:r>
      <w:r>
        <w:rPr>
          <w:rFonts w:ascii="宋体" w:hAnsi="宋体" w:eastAsia="宋体" w:cs="宋体"/>
          <w:snapToGrid w:val="0"/>
          <w:color w:val="000000"/>
          <w:spacing w:val="-11"/>
          <w:kern w:val="0"/>
          <w:sz w:val="31"/>
          <w:szCs w:val="31"/>
          <w:lang w:eastAsia="en-US"/>
        </w:rPr>
        <w:t>、</w:t>
      </w:r>
      <w:r>
        <w:rPr>
          <w:rFonts w:ascii="仿宋" w:hAnsi="仿宋" w:eastAsia="仿宋" w:cs="仿宋"/>
          <w:snapToGrid w:val="0"/>
          <w:color w:val="000000"/>
          <w:spacing w:val="-11"/>
          <w:kern w:val="0"/>
          <w:sz w:val="31"/>
          <w:szCs w:val="31"/>
          <w:lang w:eastAsia="en-US"/>
        </w:rPr>
        <w:t>资金支付过程中存在没有对应资金的用途性质使用的情</w:t>
      </w:r>
      <w:r>
        <w:rPr>
          <w:rFonts w:ascii="仿宋" w:hAnsi="仿宋" w:eastAsia="仿宋" w:cs="仿宋"/>
          <w:snapToGrid w:val="0"/>
          <w:color w:val="000000"/>
          <w:kern w:val="0"/>
          <w:sz w:val="31"/>
          <w:szCs w:val="31"/>
          <w:lang w:eastAsia="en-US"/>
        </w:rPr>
        <w:t xml:space="preserve"> </w:t>
      </w:r>
      <w:r>
        <w:rPr>
          <w:rFonts w:ascii="仿宋" w:hAnsi="仿宋" w:eastAsia="仿宋" w:cs="仿宋"/>
          <w:snapToGrid w:val="0"/>
          <w:color w:val="000000"/>
          <w:spacing w:val="-5"/>
          <w:kern w:val="0"/>
          <w:sz w:val="31"/>
          <w:szCs w:val="31"/>
          <w:lang w:eastAsia="en-US"/>
        </w:rPr>
        <w:t>况，主要原因为部分项目资金指标在年中下达，但资金使用可</w:t>
      </w:r>
      <w:r>
        <w:rPr>
          <w:rFonts w:ascii="仿宋" w:hAnsi="仿宋" w:eastAsia="仿宋" w:cs="仿宋"/>
          <w:snapToGrid w:val="0"/>
          <w:color w:val="000000"/>
          <w:spacing w:val="16"/>
          <w:kern w:val="0"/>
          <w:sz w:val="31"/>
          <w:szCs w:val="31"/>
          <w:lang w:eastAsia="en-US"/>
        </w:rPr>
        <w:t xml:space="preserve"> </w:t>
      </w:r>
      <w:r>
        <w:rPr>
          <w:rFonts w:ascii="仿宋" w:hAnsi="仿宋" w:eastAsia="仿宋" w:cs="仿宋"/>
          <w:snapToGrid w:val="0"/>
          <w:color w:val="000000"/>
          <w:spacing w:val="-13"/>
          <w:kern w:val="0"/>
          <w:sz w:val="31"/>
          <w:szCs w:val="31"/>
          <w:lang w:eastAsia="en-US"/>
        </w:rPr>
        <w:t>能在上半年就发生了，导致部分资金指标混用。</w:t>
      </w:r>
    </w:p>
    <w:p w14:paraId="38B1FBED">
      <w:pPr>
        <w:widowControl/>
        <w:kinsoku w:val="0"/>
        <w:autoSpaceDE w:val="0"/>
        <w:autoSpaceDN w:val="0"/>
        <w:adjustRightInd w:val="0"/>
        <w:snapToGrid w:val="0"/>
        <w:spacing w:before="163" w:line="263" w:lineRule="auto"/>
        <w:ind w:left="152" w:right="87" w:firstLine="549"/>
        <w:jc w:val="left"/>
        <w:textAlignment w:val="baseline"/>
        <w:rPr>
          <w:rFonts w:ascii="仿宋" w:hAnsi="仿宋" w:eastAsia="仿宋" w:cs="仿宋"/>
          <w:snapToGrid w:val="0"/>
          <w:color w:val="000000"/>
          <w:kern w:val="0"/>
          <w:sz w:val="32"/>
          <w:szCs w:val="32"/>
          <w:lang w:eastAsia="en-US"/>
        </w:rPr>
      </w:pPr>
      <w:r>
        <w:rPr>
          <w:rFonts w:ascii="Times New Roman" w:hAnsi="Times New Roman" w:eastAsia="Times New Roman" w:cs="Times New Roman"/>
          <w:snapToGrid w:val="0"/>
          <w:color w:val="000000"/>
          <w:spacing w:val="-18"/>
          <w:kern w:val="0"/>
          <w:sz w:val="32"/>
          <w:szCs w:val="32"/>
          <w:lang w:eastAsia="en-US"/>
        </w:rPr>
        <w:t>2</w:t>
      </w:r>
      <w:r>
        <w:rPr>
          <w:rFonts w:ascii="宋体" w:hAnsi="宋体" w:eastAsia="宋体" w:cs="宋体"/>
          <w:snapToGrid w:val="0"/>
          <w:color w:val="000000"/>
          <w:spacing w:val="-18"/>
          <w:kern w:val="0"/>
          <w:sz w:val="32"/>
          <w:szCs w:val="32"/>
          <w:lang w:eastAsia="en-US"/>
        </w:rPr>
        <w:t>、</w:t>
      </w:r>
      <w:r>
        <w:rPr>
          <w:rFonts w:ascii="仿宋" w:hAnsi="仿宋" w:eastAsia="仿宋" w:cs="仿宋"/>
          <w:snapToGrid w:val="0"/>
          <w:color w:val="000000"/>
          <w:spacing w:val="-18"/>
          <w:kern w:val="0"/>
          <w:sz w:val="32"/>
          <w:szCs w:val="32"/>
          <w:lang w:eastAsia="en-US"/>
        </w:rPr>
        <w:t>预算编制工作有待细化。预算编制不够明确和细化，预</w:t>
      </w:r>
      <w:r>
        <w:rPr>
          <w:rFonts w:ascii="仿宋" w:hAnsi="仿宋" w:eastAsia="仿宋" w:cs="仿宋"/>
          <w:snapToGrid w:val="0"/>
          <w:color w:val="000000"/>
          <w:spacing w:val="9"/>
          <w:kern w:val="0"/>
          <w:sz w:val="32"/>
          <w:szCs w:val="32"/>
          <w:lang w:eastAsia="en-US"/>
        </w:rPr>
        <w:t xml:space="preserve"> </w:t>
      </w:r>
      <w:r>
        <w:rPr>
          <w:rFonts w:ascii="仿宋" w:hAnsi="仿宋" w:eastAsia="仿宋" w:cs="仿宋"/>
          <w:snapToGrid w:val="0"/>
          <w:color w:val="000000"/>
          <w:spacing w:val="-21"/>
          <w:kern w:val="0"/>
          <w:sz w:val="32"/>
          <w:szCs w:val="32"/>
          <w:lang w:eastAsia="en-US"/>
        </w:rPr>
        <w:t>算编制的合理性需要提高，预算执行力度还要进一步加强。</w:t>
      </w:r>
    </w:p>
    <w:p w14:paraId="3C7DA6E4">
      <w:pPr>
        <w:widowControl/>
        <w:kinsoku w:val="0"/>
        <w:autoSpaceDE w:val="0"/>
        <w:autoSpaceDN w:val="0"/>
        <w:adjustRightInd w:val="0"/>
        <w:snapToGrid w:val="0"/>
        <w:spacing w:before="137" w:line="280" w:lineRule="auto"/>
        <w:ind w:left="152" w:right="86" w:firstLine="549"/>
        <w:jc w:val="left"/>
        <w:textAlignment w:val="baseline"/>
        <w:rPr>
          <w:rFonts w:ascii="仿宋" w:hAnsi="仿宋" w:eastAsia="仿宋" w:cs="仿宋"/>
          <w:snapToGrid w:val="0"/>
          <w:color w:val="000000"/>
          <w:kern w:val="0"/>
          <w:sz w:val="31"/>
          <w:szCs w:val="31"/>
          <w:lang w:eastAsia="en-US"/>
        </w:rPr>
      </w:pPr>
      <w:r>
        <w:rPr>
          <w:rFonts w:ascii="Times New Roman" w:hAnsi="Times New Roman" w:eastAsia="Times New Roman" w:cs="Times New Roman"/>
          <w:snapToGrid w:val="0"/>
          <w:color w:val="000000"/>
          <w:spacing w:val="-8"/>
          <w:kern w:val="0"/>
          <w:sz w:val="31"/>
          <w:szCs w:val="31"/>
          <w:lang w:eastAsia="en-US"/>
        </w:rPr>
        <w:t>3</w:t>
      </w:r>
      <w:r>
        <w:rPr>
          <w:rFonts w:ascii="宋体" w:hAnsi="宋体" w:eastAsia="宋体" w:cs="宋体"/>
          <w:snapToGrid w:val="0"/>
          <w:color w:val="000000"/>
          <w:spacing w:val="-8"/>
          <w:kern w:val="0"/>
          <w:sz w:val="31"/>
          <w:szCs w:val="31"/>
          <w:lang w:eastAsia="en-US"/>
        </w:rPr>
        <w:t>、</w:t>
      </w:r>
      <w:r>
        <w:rPr>
          <w:rFonts w:ascii="仿宋" w:hAnsi="仿宋" w:eastAsia="仿宋" w:cs="仿宋"/>
          <w:snapToGrid w:val="0"/>
          <w:color w:val="000000"/>
          <w:spacing w:val="-8"/>
          <w:kern w:val="0"/>
          <w:sz w:val="31"/>
          <w:szCs w:val="31"/>
          <w:lang w:eastAsia="en-US"/>
        </w:rPr>
        <w:t>人员素质有待进一步提高。由于预算绩效管理工作开展</w:t>
      </w:r>
      <w:r>
        <w:rPr>
          <w:rFonts w:ascii="仿宋" w:hAnsi="仿宋" w:eastAsia="仿宋" w:cs="仿宋"/>
          <w:snapToGrid w:val="0"/>
          <w:color w:val="000000"/>
          <w:spacing w:val="4"/>
          <w:kern w:val="0"/>
          <w:sz w:val="31"/>
          <w:szCs w:val="31"/>
          <w:lang w:eastAsia="en-US"/>
        </w:rPr>
        <w:t xml:space="preserve"> </w:t>
      </w:r>
      <w:r>
        <w:rPr>
          <w:rFonts w:ascii="仿宋" w:hAnsi="仿宋" w:eastAsia="仿宋" w:cs="仿宋"/>
          <w:snapToGrid w:val="0"/>
          <w:color w:val="000000"/>
          <w:spacing w:val="-5"/>
          <w:kern w:val="0"/>
          <w:sz w:val="31"/>
          <w:szCs w:val="31"/>
          <w:lang w:eastAsia="en-US"/>
        </w:rPr>
        <w:t>时间较短，加上缺乏系统的培训，会计人员对预算绩效管理认</w:t>
      </w:r>
      <w:r>
        <w:rPr>
          <w:rFonts w:ascii="仿宋" w:hAnsi="仿宋" w:eastAsia="仿宋" w:cs="仿宋"/>
          <w:snapToGrid w:val="0"/>
          <w:color w:val="000000"/>
          <w:spacing w:val="16"/>
          <w:kern w:val="0"/>
          <w:sz w:val="31"/>
          <w:szCs w:val="31"/>
          <w:lang w:eastAsia="en-US"/>
        </w:rPr>
        <w:t xml:space="preserve"> </w:t>
      </w:r>
      <w:r>
        <w:rPr>
          <w:rFonts w:ascii="仿宋" w:hAnsi="仿宋" w:eastAsia="仿宋" w:cs="仿宋"/>
          <w:snapToGrid w:val="0"/>
          <w:color w:val="000000"/>
          <w:spacing w:val="-11"/>
          <w:kern w:val="0"/>
          <w:sz w:val="31"/>
          <w:szCs w:val="31"/>
          <w:lang w:eastAsia="en-US"/>
        </w:rPr>
        <w:t>识不到位、理解不充分，对工作重点把握不到位。</w:t>
      </w:r>
    </w:p>
    <w:p w14:paraId="7CA77855">
      <w:pPr>
        <w:widowControl/>
        <w:kinsoku w:val="0"/>
        <w:autoSpaceDE w:val="0"/>
        <w:autoSpaceDN w:val="0"/>
        <w:adjustRightInd w:val="0"/>
        <w:snapToGrid w:val="0"/>
        <w:spacing w:before="175" w:line="222" w:lineRule="auto"/>
        <w:ind w:left="70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1"/>
          <w:kern w:val="0"/>
          <w:sz w:val="30"/>
          <w:szCs w:val="30"/>
          <w:lang w:eastAsia="en-US"/>
        </w:rPr>
        <w:t>八、下一步改进措施</w:t>
      </w:r>
    </w:p>
    <w:p w14:paraId="5BD4C7C3">
      <w:pPr>
        <w:widowControl/>
        <w:kinsoku w:val="0"/>
        <w:autoSpaceDE w:val="0"/>
        <w:autoSpaceDN w:val="0"/>
        <w:adjustRightInd w:val="0"/>
        <w:snapToGrid w:val="0"/>
        <w:spacing w:before="194" w:line="315" w:lineRule="auto"/>
        <w:ind w:left="152" w:firstLine="549"/>
        <w:jc w:val="left"/>
        <w:textAlignment w:val="baseline"/>
        <w:rPr>
          <w:rFonts w:ascii="仿宋" w:hAnsi="仿宋" w:eastAsia="仿宋" w:cs="仿宋"/>
          <w:snapToGrid w:val="0"/>
          <w:color w:val="000000"/>
          <w:kern w:val="0"/>
          <w:sz w:val="30"/>
          <w:szCs w:val="30"/>
          <w:lang w:eastAsia="en-US"/>
        </w:rPr>
      </w:pPr>
      <w:r>
        <w:rPr>
          <w:rFonts w:ascii="Times New Roman" w:hAnsi="Times New Roman" w:eastAsia="Times New Roman" w:cs="Times New Roman"/>
          <w:snapToGrid w:val="0"/>
          <w:color w:val="000000"/>
          <w:spacing w:val="6"/>
          <w:kern w:val="0"/>
          <w:sz w:val="30"/>
          <w:szCs w:val="30"/>
          <w:lang w:eastAsia="en-US"/>
        </w:rPr>
        <w:t>1.</w:t>
      </w:r>
      <w:r>
        <w:rPr>
          <w:rFonts w:ascii="Times New Roman" w:hAnsi="Times New Roman" w:eastAsia="Times New Roman" w:cs="Times New Roman"/>
          <w:snapToGrid w:val="0"/>
          <w:color w:val="000000"/>
          <w:spacing w:val="47"/>
          <w:kern w:val="0"/>
          <w:sz w:val="30"/>
          <w:szCs w:val="30"/>
          <w:lang w:eastAsia="en-US"/>
        </w:rPr>
        <w:t xml:space="preserve"> </w:t>
      </w:r>
      <w:r>
        <w:rPr>
          <w:rFonts w:ascii="仿宋" w:hAnsi="仿宋" w:eastAsia="仿宋" w:cs="仿宋"/>
          <w:snapToGrid w:val="0"/>
          <w:color w:val="000000"/>
          <w:spacing w:val="6"/>
          <w:kern w:val="0"/>
          <w:sz w:val="30"/>
          <w:szCs w:val="30"/>
          <w:lang w:eastAsia="en-US"/>
        </w:rPr>
        <w:t>细化预算编制工作，认真做好预算的编制。进一步加强</w:t>
      </w:r>
      <w:r>
        <w:rPr>
          <w:rFonts w:ascii="仿宋" w:hAnsi="仿宋" w:eastAsia="仿宋" w:cs="仿宋"/>
          <w:snapToGrid w:val="0"/>
          <w:color w:val="000000"/>
          <w:kern w:val="0"/>
          <w:sz w:val="30"/>
          <w:szCs w:val="30"/>
          <w:lang w:eastAsia="en-US"/>
        </w:rPr>
        <w:t xml:space="preserve"> 单位内部机构各办公室的预算管理意识，</w:t>
      </w:r>
      <w:r>
        <w:rPr>
          <w:rFonts w:ascii="仿宋" w:hAnsi="仿宋" w:eastAsia="仿宋" w:cs="仿宋"/>
          <w:snapToGrid w:val="0"/>
          <w:color w:val="000000"/>
          <w:spacing w:val="88"/>
          <w:kern w:val="0"/>
          <w:sz w:val="30"/>
          <w:szCs w:val="30"/>
          <w:lang w:eastAsia="en-US"/>
        </w:rPr>
        <w:t xml:space="preserve"> </w:t>
      </w:r>
      <w:r>
        <w:rPr>
          <w:rFonts w:ascii="仿宋" w:hAnsi="仿宋" w:eastAsia="仿宋" w:cs="仿宋"/>
          <w:snapToGrid w:val="0"/>
          <w:color w:val="000000"/>
          <w:kern w:val="0"/>
          <w:sz w:val="30"/>
          <w:szCs w:val="30"/>
          <w:lang w:eastAsia="en-US"/>
        </w:rPr>
        <w:t>严格按照预算编制的</w:t>
      </w:r>
    </w:p>
    <w:p w14:paraId="3135C2C1">
      <w:pPr>
        <w:spacing w:line="315" w:lineRule="auto"/>
        <w:rPr>
          <w:rFonts w:ascii="仿宋" w:hAnsi="仿宋" w:eastAsia="仿宋" w:cs="仿宋"/>
          <w:sz w:val="30"/>
          <w:szCs w:val="30"/>
        </w:rPr>
        <w:sectPr>
          <w:footerReference r:id="rId4" w:type="default"/>
          <w:pgSz w:w="11850" w:h="15820"/>
          <w:pgMar w:top="1344" w:right="1580" w:bottom="1937" w:left="1777" w:header="0" w:footer="1639" w:gutter="0"/>
          <w:cols w:space="720" w:num="1"/>
        </w:sectPr>
      </w:pPr>
    </w:p>
    <w:p w14:paraId="66511F4C">
      <w:pPr>
        <w:kinsoku w:val="0"/>
        <w:autoSpaceDE w:val="0"/>
        <w:autoSpaceDN w:val="0"/>
        <w:adjustRightInd w:val="0"/>
        <w:snapToGrid w:val="0"/>
        <w:spacing w:line="449" w:lineRule="auto"/>
        <w:jc w:val="left"/>
        <w:textAlignment w:val="baseline"/>
        <w:rPr>
          <w:rFonts w:ascii="Arial" w:hAnsi="Arial" w:eastAsia="Arial" w:cs="Arial"/>
          <w:snapToGrid w:val="0"/>
          <w:color w:val="000000"/>
          <w:kern w:val="0"/>
          <w:sz w:val="21"/>
          <w:szCs w:val="21"/>
          <w:lang w:val="en-US" w:eastAsia="en-US" w:bidi="ar-SA"/>
        </w:rPr>
      </w:pPr>
    </w:p>
    <w:p w14:paraId="73DBAF15">
      <w:pPr>
        <w:widowControl/>
        <w:kinsoku w:val="0"/>
        <w:autoSpaceDE w:val="0"/>
        <w:autoSpaceDN w:val="0"/>
        <w:adjustRightInd w:val="0"/>
        <w:snapToGrid w:val="0"/>
        <w:spacing w:before="104" w:line="305" w:lineRule="auto"/>
        <w:ind w:left="82"/>
        <w:jc w:val="both"/>
        <w:textAlignment w:val="baseline"/>
        <w:rPr>
          <w:rFonts w:ascii="仿宋" w:hAnsi="仿宋" w:eastAsia="仿宋" w:cs="仿宋"/>
          <w:snapToGrid w:val="0"/>
          <w:color w:val="000000"/>
          <w:kern w:val="0"/>
          <w:sz w:val="32"/>
          <w:szCs w:val="32"/>
          <w:lang w:eastAsia="en-US"/>
        </w:rPr>
      </w:pPr>
      <w:r>
        <w:rPr>
          <w:rFonts w:ascii="仿宋" w:hAnsi="仿宋" w:eastAsia="仿宋" w:cs="仿宋"/>
          <w:snapToGrid w:val="0"/>
          <w:color w:val="000000"/>
          <w:spacing w:val="-10"/>
          <w:kern w:val="0"/>
          <w:sz w:val="32"/>
          <w:szCs w:val="32"/>
          <w:lang w:eastAsia="en-US"/>
        </w:rPr>
        <w:t>相关制度和要求进行预算编制；全面编制预算项目，优先保障</w:t>
      </w:r>
      <w:r>
        <w:rPr>
          <w:rFonts w:ascii="仿宋" w:hAnsi="仿宋" w:eastAsia="仿宋" w:cs="仿宋"/>
          <w:snapToGrid w:val="0"/>
          <w:color w:val="000000"/>
          <w:spacing w:val="1"/>
          <w:kern w:val="0"/>
          <w:sz w:val="32"/>
          <w:szCs w:val="32"/>
          <w:lang w:eastAsia="en-US"/>
        </w:rPr>
        <w:t xml:space="preserve"> </w:t>
      </w:r>
      <w:r>
        <w:rPr>
          <w:rFonts w:ascii="仿宋" w:hAnsi="仿宋" w:eastAsia="仿宋" w:cs="仿宋"/>
          <w:snapToGrid w:val="0"/>
          <w:color w:val="000000"/>
          <w:spacing w:val="-12"/>
          <w:kern w:val="0"/>
          <w:sz w:val="32"/>
          <w:szCs w:val="32"/>
          <w:lang w:eastAsia="en-US"/>
        </w:rPr>
        <w:t>固定性的、相对刚性的费用支出项目，尽量压缩变动性的、有</w:t>
      </w:r>
      <w:r>
        <w:rPr>
          <w:rFonts w:ascii="仿宋" w:hAnsi="仿宋" w:eastAsia="仿宋" w:cs="仿宋"/>
          <w:snapToGrid w:val="0"/>
          <w:color w:val="000000"/>
          <w:spacing w:val="14"/>
          <w:kern w:val="0"/>
          <w:sz w:val="32"/>
          <w:szCs w:val="32"/>
          <w:lang w:eastAsia="en-US"/>
        </w:rPr>
        <w:t xml:space="preserve"> </w:t>
      </w:r>
      <w:r>
        <w:rPr>
          <w:rFonts w:ascii="仿宋" w:hAnsi="仿宋" w:eastAsia="仿宋" w:cs="仿宋"/>
          <w:snapToGrid w:val="0"/>
          <w:color w:val="000000"/>
          <w:spacing w:val="-11"/>
          <w:kern w:val="0"/>
          <w:sz w:val="32"/>
          <w:szCs w:val="32"/>
          <w:lang w:eastAsia="en-US"/>
        </w:rPr>
        <w:t>控制空间的费用项目，进一步提高预算编制的科学性、严谨性</w:t>
      </w:r>
      <w:r>
        <w:rPr>
          <w:rFonts w:ascii="仿宋" w:hAnsi="仿宋" w:eastAsia="仿宋" w:cs="仿宋"/>
          <w:snapToGrid w:val="0"/>
          <w:color w:val="000000"/>
          <w:spacing w:val="7"/>
          <w:kern w:val="0"/>
          <w:sz w:val="32"/>
          <w:szCs w:val="32"/>
          <w:lang w:eastAsia="en-US"/>
        </w:rPr>
        <w:t xml:space="preserve"> </w:t>
      </w:r>
      <w:r>
        <w:rPr>
          <w:rFonts w:ascii="仿宋" w:hAnsi="仿宋" w:eastAsia="仿宋" w:cs="仿宋"/>
          <w:snapToGrid w:val="0"/>
          <w:color w:val="000000"/>
          <w:spacing w:val="-18"/>
          <w:kern w:val="0"/>
          <w:sz w:val="32"/>
          <w:szCs w:val="32"/>
          <w:lang w:eastAsia="en-US"/>
        </w:rPr>
        <w:t>和可控性。加强内部预算编制的审核和预算控制指标的下达。</w:t>
      </w:r>
    </w:p>
    <w:p w14:paraId="7CB39554">
      <w:pPr>
        <w:widowControl/>
        <w:kinsoku w:val="0"/>
        <w:autoSpaceDE w:val="0"/>
        <w:autoSpaceDN w:val="0"/>
        <w:adjustRightInd w:val="0"/>
        <w:snapToGrid w:val="0"/>
        <w:spacing w:before="23" w:line="289" w:lineRule="auto"/>
        <w:ind w:left="82" w:right="48" w:firstLine="580"/>
        <w:jc w:val="left"/>
        <w:textAlignment w:val="baseline"/>
        <w:rPr>
          <w:rFonts w:ascii="仿宋" w:hAnsi="仿宋" w:eastAsia="仿宋" w:cs="仿宋"/>
          <w:snapToGrid w:val="0"/>
          <w:color w:val="000000"/>
          <w:kern w:val="0"/>
          <w:sz w:val="32"/>
          <w:szCs w:val="32"/>
          <w:lang w:eastAsia="en-US"/>
        </w:rPr>
      </w:pPr>
      <w:r>
        <w:rPr>
          <w:rFonts w:ascii="Times New Roman" w:hAnsi="Times New Roman" w:eastAsia="Times New Roman" w:cs="Times New Roman"/>
          <w:snapToGrid w:val="0"/>
          <w:color w:val="000000"/>
          <w:spacing w:val="-9"/>
          <w:kern w:val="0"/>
          <w:sz w:val="32"/>
          <w:szCs w:val="32"/>
          <w:lang w:eastAsia="en-US"/>
        </w:rPr>
        <w:t>2.</w:t>
      </w:r>
      <w:r>
        <w:rPr>
          <w:rFonts w:ascii="Times New Roman" w:hAnsi="Times New Roman" w:eastAsia="Times New Roman" w:cs="Times New Roman"/>
          <w:snapToGrid w:val="0"/>
          <w:color w:val="000000"/>
          <w:spacing w:val="-23"/>
          <w:kern w:val="0"/>
          <w:sz w:val="32"/>
          <w:szCs w:val="32"/>
          <w:lang w:eastAsia="en-US"/>
        </w:rPr>
        <w:t xml:space="preserve"> </w:t>
      </w:r>
      <w:r>
        <w:rPr>
          <w:rFonts w:ascii="仿宋" w:hAnsi="仿宋" w:eastAsia="仿宋" w:cs="仿宋"/>
          <w:snapToGrid w:val="0"/>
          <w:color w:val="000000"/>
          <w:spacing w:val="-9"/>
          <w:kern w:val="0"/>
          <w:sz w:val="32"/>
          <w:szCs w:val="32"/>
          <w:lang w:eastAsia="en-US"/>
        </w:rPr>
        <w:t>加强财务管理，严格财务审核。加强单位财务</w:t>
      </w:r>
      <w:r>
        <w:rPr>
          <w:rFonts w:ascii="仿宋" w:hAnsi="仿宋" w:eastAsia="仿宋" w:cs="仿宋"/>
          <w:snapToGrid w:val="0"/>
          <w:color w:val="000000"/>
          <w:spacing w:val="-10"/>
          <w:kern w:val="0"/>
          <w:sz w:val="32"/>
          <w:szCs w:val="32"/>
          <w:lang w:eastAsia="en-US"/>
        </w:rPr>
        <w:t>管理，健</w:t>
      </w:r>
      <w:r>
        <w:rPr>
          <w:rFonts w:ascii="仿宋" w:hAnsi="仿宋" w:eastAsia="仿宋" w:cs="仿宋"/>
          <w:snapToGrid w:val="0"/>
          <w:color w:val="000000"/>
          <w:kern w:val="0"/>
          <w:sz w:val="32"/>
          <w:szCs w:val="32"/>
          <w:lang w:eastAsia="en-US"/>
        </w:rPr>
        <w:t xml:space="preserve"> </w:t>
      </w:r>
      <w:r>
        <w:rPr>
          <w:rFonts w:ascii="仿宋" w:hAnsi="仿宋" w:eastAsia="仿宋" w:cs="仿宋"/>
          <w:snapToGrid w:val="0"/>
          <w:color w:val="000000"/>
          <w:spacing w:val="-12"/>
          <w:kern w:val="0"/>
          <w:sz w:val="32"/>
          <w:szCs w:val="32"/>
          <w:lang w:eastAsia="en-US"/>
        </w:rPr>
        <w:t>全单位财务管理制度体系，规范单位财务行为。在费用报账支</w:t>
      </w:r>
      <w:r>
        <w:rPr>
          <w:rFonts w:ascii="仿宋" w:hAnsi="仿宋" w:eastAsia="仿宋" w:cs="仿宋"/>
          <w:snapToGrid w:val="0"/>
          <w:color w:val="000000"/>
          <w:spacing w:val="5"/>
          <w:kern w:val="0"/>
          <w:sz w:val="32"/>
          <w:szCs w:val="32"/>
          <w:lang w:eastAsia="en-US"/>
        </w:rPr>
        <w:t xml:space="preserve"> </w:t>
      </w:r>
      <w:r>
        <w:rPr>
          <w:rFonts w:ascii="仿宋" w:hAnsi="仿宋" w:eastAsia="仿宋" w:cs="仿宋"/>
          <w:snapToGrid w:val="0"/>
          <w:color w:val="000000"/>
          <w:spacing w:val="-12"/>
          <w:kern w:val="0"/>
          <w:sz w:val="32"/>
          <w:szCs w:val="32"/>
          <w:lang w:eastAsia="en-US"/>
        </w:rPr>
        <w:t>付时，按照预算规定的费用项目和用途进行资金使用审核、列</w:t>
      </w:r>
      <w:r>
        <w:rPr>
          <w:rFonts w:ascii="仿宋" w:hAnsi="仿宋" w:eastAsia="仿宋" w:cs="仿宋"/>
          <w:snapToGrid w:val="0"/>
          <w:color w:val="000000"/>
          <w:spacing w:val="7"/>
          <w:kern w:val="0"/>
          <w:sz w:val="32"/>
          <w:szCs w:val="32"/>
          <w:lang w:eastAsia="en-US"/>
        </w:rPr>
        <w:t xml:space="preserve"> </w:t>
      </w:r>
      <w:r>
        <w:rPr>
          <w:rFonts w:ascii="仿宋" w:hAnsi="仿宋" w:eastAsia="仿宋" w:cs="仿宋"/>
          <w:snapToGrid w:val="0"/>
          <w:color w:val="000000"/>
          <w:spacing w:val="-13"/>
          <w:kern w:val="0"/>
          <w:sz w:val="32"/>
          <w:szCs w:val="32"/>
          <w:lang w:eastAsia="en-US"/>
        </w:rPr>
        <w:t>报支付、财务核算，杜绝超支现象的发生。</w:t>
      </w:r>
    </w:p>
    <w:p w14:paraId="05F171B0">
      <w:pPr>
        <w:widowControl/>
        <w:kinsoku w:val="0"/>
        <w:autoSpaceDE w:val="0"/>
        <w:autoSpaceDN w:val="0"/>
        <w:adjustRightInd w:val="0"/>
        <w:snapToGrid w:val="0"/>
        <w:spacing w:before="185" w:line="274" w:lineRule="auto"/>
        <w:ind w:left="82" w:right="46" w:firstLine="580"/>
        <w:jc w:val="left"/>
        <w:textAlignment w:val="baseline"/>
        <w:rPr>
          <w:rFonts w:ascii="仿宋" w:hAnsi="仿宋" w:eastAsia="仿宋" w:cs="仿宋"/>
          <w:snapToGrid w:val="0"/>
          <w:color w:val="000000"/>
          <w:kern w:val="0"/>
          <w:sz w:val="32"/>
          <w:szCs w:val="32"/>
          <w:lang w:eastAsia="en-US"/>
        </w:rPr>
      </w:pPr>
      <w:r>
        <w:rPr>
          <w:rFonts w:ascii="Times New Roman" w:hAnsi="Times New Roman" w:eastAsia="Times New Roman" w:cs="Times New Roman"/>
          <w:snapToGrid w:val="0"/>
          <w:color w:val="000000"/>
          <w:spacing w:val="-10"/>
          <w:kern w:val="0"/>
          <w:sz w:val="32"/>
          <w:szCs w:val="32"/>
          <w:lang w:eastAsia="en-US"/>
        </w:rPr>
        <w:t xml:space="preserve">3. </w:t>
      </w:r>
      <w:r>
        <w:rPr>
          <w:rFonts w:ascii="仿宋" w:hAnsi="仿宋" w:eastAsia="仿宋" w:cs="仿宋"/>
          <w:snapToGrid w:val="0"/>
          <w:color w:val="000000"/>
          <w:spacing w:val="-10"/>
          <w:kern w:val="0"/>
          <w:sz w:val="32"/>
          <w:szCs w:val="32"/>
          <w:lang w:eastAsia="en-US"/>
        </w:rPr>
        <w:t>对相关人员加强培训，特别是针对《预算法》《行政事</w:t>
      </w:r>
      <w:r>
        <w:rPr>
          <w:rFonts w:ascii="仿宋" w:hAnsi="仿宋" w:eastAsia="仿宋" w:cs="仿宋"/>
          <w:snapToGrid w:val="0"/>
          <w:color w:val="000000"/>
          <w:spacing w:val="15"/>
          <w:kern w:val="0"/>
          <w:sz w:val="32"/>
          <w:szCs w:val="32"/>
          <w:lang w:eastAsia="en-US"/>
        </w:rPr>
        <w:t xml:space="preserve"> </w:t>
      </w:r>
      <w:r>
        <w:rPr>
          <w:rFonts w:ascii="仿宋" w:hAnsi="仿宋" w:eastAsia="仿宋" w:cs="仿宋"/>
          <w:snapToGrid w:val="0"/>
          <w:color w:val="000000"/>
          <w:spacing w:val="-13"/>
          <w:kern w:val="0"/>
          <w:sz w:val="32"/>
          <w:szCs w:val="32"/>
          <w:lang w:eastAsia="en-US"/>
        </w:rPr>
        <w:t>业单位会计制度》等学习培训，规范部门预算收支核算，切实</w:t>
      </w:r>
      <w:r>
        <w:rPr>
          <w:rFonts w:ascii="仿宋" w:hAnsi="仿宋" w:eastAsia="仿宋" w:cs="仿宋"/>
          <w:snapToGrid w:val="0"/>
          <w:color w:val="000000"/>
          <w:spacing w:val="17"/>
          <w:kern w:val="0"/>
          <w:sz w:val="32"/>
          <w:szCs w:val="32"/>
          <w:lang w:eastAsia="en-US"/>
        </w:rPr>
        <w:t xml:space="preserve"> </w:t>
      </w:r>
      <w:r>
        <w:rPr>
          <w:rFonts w:ascii="仿宋" w:hAnsi="仿宋" w:eastAsia="仿宋" w:cs="仿宋"/>
          <w:snapToGrid w:val="0"/>
          <w:color w:val="000000"/>
          <w:spacing w:val="-23"/>
          <w:kern w:val="0"/>
          <w:sz w:val="32"/>
          <w:szCs w:val="32"/>
          <w:lang w:eastAsia="en-US"/>
        </w:rPr>
        <w:t>提高部门预算收支管理水平。</w:t>
      </w:r>
    </w:p>
    <w:p w14:paraId="3FA1184E">
      <w:pPr>
        <w:widowControl/>
        <w:kinsoku w:val="0"/>
        <w:autoSpaceDE w:val="0"/>
        <w:autoSpaceDN w:val="0"/>
        <w:adjustRightInd w:val="0"/>
        <w:snapToGrid w:val="0"/>
        <w:spacing w:before="176" w:line="221" w:lineRule="auto"/>
        <w:ind w:left="66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1"/>
          <w:kern w:val="0"/>
          <w:sz w:val="30"/>
          <w:szCs w:val="30"/>
          <w:lang w:eastAsia="en-US"/>
        </w:rPr>
        <w:t>九、部门整体支出绩效自评结果拟应用和公开情况</w:t>
      </w:r>
    </w:p>
    <w:p w14:paraId="11C71FD4">
      <w:pPr>
        <w:widowControl/>
        <w:kinsoku w:val="0"/>
        <w:autoSpaceDE w:val="0"/>
        <w:autoSpaceDN w:val="0"/>
        <w:adjustRightInd w:val="0"/>
        <w:snapToGrid w:val="0"/>
        <w:spacing w:before="151" w:line="278" w:lineRule="auto"/>
        <w:ind w:left="82" w:right="37" w:firstLine="580"/>
        <w:jc w:val="left"/>
        <w:textAlignment w:val="baseline"/>
        <w:rPr>
          <w:rFonts w:ascii="仿宋" w:hAnsi="仿宋" w:eastAsia="仿宋" w:cs="仿宋"/>
          <w:snapToGrid w:val="0"/>
          <w:color w:val="000000"/>
          <w:kern w:val="0"/>
          <w:sz w:val="32"/>
          <w:szCs w:val="32"/>
          <w:lang w:eastAsia="en-US"/>
        </w:rPr>
      </w:pPr>
      <w:r>
        <w:rPr>
          <w:rFonts w:ascii="Times New Roman" w:hAnsi="Times New Roman" w:eastAsia="Times New Roman" w:cs="Times New Roman"/>
          <w:snapToGrid w:val="0"/>
          <w:color w:val="000000"/>
          <w:spacing w:val="-17"/>
          <w:kern w:val="0"/>
          <w:sz w:val="32"/>
          <w:szCs w:val="32"/>
          <w:lang w:eastAsia="en-US"/>
        </w:rPr>
        <w:t>1</w:t>
      </w:r>
      <w:r>
        <w:rPr>
          <w:rFonts w:ascii="Times New Roman" w:hAnsi="Times New Roman" w:eastAsia="Times New Roman" w:cs="Times New Roman"/>
          <w:snapToGrid w:val="0"/>
          <w:color w:val="000000"/>
          <w:spacing w:val="-44"/>
          <w:kern w:val="0"/>
          <w:sz w:val="32"/>
          <w:szCs w:val="32"/>
          <w:lang w:eastAsia="en-US"/>
        </w:rPr>
        <w:t xml:space="preserve"> </w:t>
      </w:r>
      <w:r>
        <w:rPr>
          <w:rFonts w:ascii="宋体" w:hAnsi="宋体" w:eastAsia="宋体" w:cs="宋体"/>
          <w:snapToGrid w:val="0"/>
          <w:color w:val="000000"/>
          <w:spacing w:val="-17"/>
          <w:kern w:val="0"/>
          <w:sz w:val="32"/>
          <w:szCs w:val="32"/>
          <w:lang w:eastAsia="en-US"/>
        </w:rPr>
        <w:t>、</w:t>
      </w:r>
      <w:r>
        <w:rPr>
          <w:rFonts w:ascii="仿宋" w:hAnsi="仿宋" w:eastAsia="仿宋" w:cs="仿宋"/>
          <w:snapToGrid w:val="0"/>
          <w:color w:val="000000"/>
          <w:spacing w:val="-17"/>
          <w:kern w:val="0"/>
          <w:sz w:val="32"/>
          <w:szCs w:val="32"/>
          <w:lang w:eastAsia="en-US"/>
        </w:rPr>
        <w:t>我单位逐步建立绩效评价与部门预算相结合的结果应用</w:t>
      </w:r>
      <w:r>
        <w:rPr>
          <w:rFonts w:ascii="仿宋" w:hAnsi="仿宋" w:eastAsia="仿宋" w:cs="仿宋"/>
          <w:snapToGrid w:val="0"/>
          <w:color w:val="000000"/>
          <w:kern w:val="0"/>
          <w:sz w:val="32"/>
          <w:szCs w:val="32"/>
          <w:lang w:eastAsia="en-US"/>
        </w:rPr>
        <w:t xml:space="preserve"> </w:t>
      </w:r>
      <w:r>
        <w:rPr>
          <w:rFonts w:ascii="仿宋" w:hAnsi="仿宋" w:eastAsia="仿宋" w:cs="仿宋"/>
          <w:snapToGrid w:val="0"/>
          <w:color w:val="000000"/>
          <w:spacing w:val="-12"/>
          <w:kern w:val="0"/>
          <w:sz w:val="32"/>
          <w:szCs w:val="32"/>
          <w:lang w:eastAsia="en-US"/>
        </w:rPr>
        <w:t>机制，实行绩效评价结果在部门预算编制和执行中的应用，促</w:t>
      </w:r>
      <w:r>
        <w:rPr>
          <w:rFonts w:ascii="仿宋" w:hAnsi="仿宋" w:eastAsia="仿宋" w:cs="仿宋"/>
          <w:snapToGrid w:val="0"/>
          <w:color w:val="000000"/>
          <w:spacing w:val="4"/>
          <w:kern w:val="0"/>
          <w:sz w:val="32"/>
          <w:szCs w:val="32"/>
          <w:lang w:eastAsia="en-US"/>
        </w:rPr>
        <w:t xml:space="preserve"> </w:t>
      </w:r>
      <w:r>
        <w:rPr>
          <w:rFonts w:ascii="仿宋" w:hAnsi="仿宋" w:eastAsia="仿宋" w:cs="仿宋"/>
          <w:snapToGrid w:val="0"/>
          <w:color w:val="000000"/>
          <w:spacing w:val="-22"/>
          <w:kern w:val="0"/>
          <w:sz w:val="32"/>
          <w:szCs w:val="32"/>
          <w:lang w:eastAsia="en-US"/>
        </w:rPr>
        <w:t>进财政资金的合理分配与有效使用。</w:t>
      </w:r>
    </w:p>
    <w:p w14:paraId="2F862279">
      <w:pPr>
        <w:widowControl/>
        <w:kinsoku w:val="0"/>
        <w:autoSpaceDE w:val="0"/>
        <w:autoSpaceDN w:val="0"/>
        <w:adjustRightInd w:val="0"/>
        <w:snapToGrid w:val="0"/>
        <w:spacing w:before="140" w:line="282" w:lineRule="auto"/>
        <w:ind w:left="82" w:right="52" w:firstLine="580"/>
        <w:jc w:val="left"/>
        <w:textAlignment w:val="baseline"/>
        <w:rPr>
          <w:rFonts w:ascii="仿宋" w:hAnsi="仿宋" w:eastAsia="仿宋" w:cs="仿宋"/>
          <w:snapToGrid w:val="0"/>
          <w:color w:val="000000"/>
          <w:kern w:val="0"/>
          <w:sz w:val="30"/>
          <w:szCs w:val="30"/>
          <w:lang w:eastAsia="en-US"/>
        </w:rPr>
      </w:pPr>
      <w:r>
        <w:rPr>
          <w:rFonts w:ascii="Times New Roman" w:hAnsi="Times New Roman" w:eastAsia="Times New Roman" w:cs="Times New Roman"/>
          <w:snapToGrid w:val="0"/>
          <w:color w:val="000000"/>
          <w:spacing w:val="2"/>
          <w:kern w:val="0"/>
          <w:sz w:val="30"/>
          <w:szCs w:val="30"/>
          <w:lang w:eastAsia="en-US"/>
        </w:rPr>
        <w:t>2</w:t>
      </w:r>
      <w:r>
        <w:rPr>
          <w:rFonts w:ascii="Times New Roman" w:hAnsi="Times New Roman" w:eastAsia="Times New Roman" w:cs="Times New Roman"/>
          <w:snapToGrid w:val="0"/>
          <w:color w:val="000000"/>
          <w:spacing w:val="-39"/>
          <w:kern w:val="0"/>
          <w:sz w:val="30"/>
          <w:szCs w:val="30"/>
          <w:lang w:eastAsia="en-US"/>
        </w:rPr>
        <w:t xml:space="preserve"> </w:t>
      </w:r>
      <w:r>
        <w:rPr>
          <w:rFonts w:ascii="宋体" w:hAnsi="宋体" w:eastAsia="宋体" w:cs="宋体"/>
          <w:snapToGrid w:val="0"/>
          <w:color w:val="000000"/>
          <w:spacing w:val="2"/>
          <w:kern w:val="0"/>
          <w:sz w:val="30"/>
          <w:szCs w:val="30"/>
          <w:lang w:eastAsia="en-US"/>
        </w:rPr>
        <w:t>、</w:t>
      </w:r>
      <w:r>
        <w:rPr>
          <w:rFonts w:ascii="仿宋" w:hAnsi="仿宋" w:eastAsia="仿宋" w:cs="仿宋"/>
          <w:snapToGrid w:val="0"/>
          <w:color w:val="000000"/>
          <w:spacing w:val="2"/>
          <w:kern w:val="0"/>
          <w:sz w:val="30"/>
          <w:szCs w:val="30"/>
          <w:lang w:eastAsia="en-US"/>
        </w:rPr>
        <w:t>我单位按规定在政府门户网站公开了绩效自评的相关信</w:t>
      </w:r>
      <w:r>
        <w:rPr>
          <w:rFonts w:ascii="仿宋" w:hAnsi="仿宋" w:eastAsia="仿宋" w:cs="仿宋"/>
          <w:snapToGrid w:val="0"/>
          <w:color w:val="000000"/>
          <w:kern w:val="0"/>
          <w:sz w:val="30"/>
          <w:szCs w:val="30"/>
          <w:lang w:eastAsia="en-US"/>
        </w:rPr>
        <w:t xml:space="preserve"> </w:t>
      </w:r>
      <w:r>
        <w:rPr>
          <w:rFonts w:ascii="仿宋" w:hAnsi="仿宋" w:eastAsia="仿宋" w:cs="仿宋"/>
          <w:snapToGrid w:val="0"/>
          <w:color w:val="000000"/>
          <w:spacing w:val="-18"/>
          <w:kern w:val="0"/>
          <w:sz w:val="30"/>
          <w:szCs w:val="30"/>
          <w:lang w:eastAsia="en-US"/>
        </w:rPr>
        <w:t>息。</w:t>
      </w:r>
    </w:p>
    <w:p w14:paraId="0EC64316">
      <w:pPr>
        <w:widowControl/>
        <w:kinsoku w:val="0"/>
        <w:autoSpaceDE w:val="0"/>
        <w:autoSpaceDN w:val="0"/>
        <w:adjustRightInd w:val="0"/>
        <w:snapToGrid w:val="0"/>
        <w:spacing w:before="167" w:line="221" w:lineRule="auto"/>
        <w:ind w:left="662"/>
        <w:jc w:val="left"/>
        <w:textAlignment w:val="baseline"/>
        <w:rPr>
          <w:rFonts w:ascii="黑体" w:hAnsi="黑体" w:eastAsia="黑体" w:cs="黑体"/>
          <w:snapToGrid w:val="0"/>
          <w:color w:val="000000"/>
          <w:kern w:val="0"/>
          <w:sz w:val="30"/>
          <w:szCs w:val="30"/>
          <w:lang w:eastAsia="en-US"/>
        </w:rPr>
      </w:pPr>
      <w:r>
        <w:rPr>
          <w:rFonts w:ascii="黑体" w:hAnsi="黑体" w:eastAsia="黑体" w:cs="黑体"/>
          <w:snapToGrid w:val="0"/>
          <w:color w:val="000000"/>
          <w:spacing w:val="-1"/>
          <w:kern w:val="0"/>
          <w:sz w:val="30"/>
          <w:szCs w:val="30"/>
          <w:lang w:eastAsia="en-US"/>
        </w:rPr>
        <w:t>十、其他需要说明的情况</w:t>
      </w:r>
    </w:p>
    <w:p w14:paraId="134E75B8">
      <w:pPr>
        <w:widowControl/>
        <w:kinsoku w:val="0"/>
        <w:autoSpaceDE w:val="0"/>
        <w:autoSpaceDN w:val="0"/>
        <w:adjustRightInd w:val="0"/>
        <w:snapToGrid w:val="0"/>
        <w:spacing w:before="137" w:line="225" w:lineRule="auto"/>
        <w:ind w:left="662"/>
        <w:jc w:val="left"/>
        <w:textAlignment w:val="baseline"/>
        <w:rPr>
          <w:rFonts w:ascii="仿宋" w:hAnsi="仿宋" w:eastAsia="仿宋" w:cs="仿宋"/>
          <w:snapToGrid w:val="0"/>
          <w:color w:val="000000"/>
          <w:kern w:val="0"/>
          <w:sz w:val="32"/>
          <w:szCs w:val="32"/>
          <w:lang w:eastAsia="en-US"/>
        </w:rPr>
      </w:pPr>
      <w:r>
        <w:rPr>
          <w:rFonts w:ascii="仿宋" w:hAnsi="仿宋" w:eastAsia="仿宋" w:cs="仿宋"/>
          <w:snapToGrid w:val="0"/>
          <w:color w:val="000000"/>
          <w:spacing w:val="-28"/>
          <w:kern w:val="0"/>
          <w:sz w:val="32"/>
          <w:szCs w:val="32"/>
          <w:lang w:eastAsia="en-US"/>
        </w:rPr>
        <w:t>无。</w:t>
      </w:r>
    </w:p>
    <w:p w14:paraId="73689C0E">
      <w:pPr>
        <w:spacing w:line="225" w:lineRule="auto"/>
        <w:rPr>
          <w:rFonts w:ascii="仿宋" w:hAnsi="仿宋" w:eastAsia="仿宋" w:cs="仿宋"/>
          <w:sz w:val="32"/>
          <w:szCs w:val="32"/>
        </w:rPr>
        <w:sectPr>
          <w:footerReference r:id="rId5" w:type="default"/>
          <w:pgSz w:w="11850" w:h="15820"/>
          <w:pgMar w:top="1344" w:right="1617" w:bottom="2309" w:left="1777" w:header="0" w:footer="2021" w:gutter="0"/>
          <w:cols w:space="720" w:num="1"/>
        </w:sectPr>
      </w:pPr>
    </w:p>
    <w:p w14:paraId="12C0F1BF">
      <w:pPr>
        <w:kinsoku w:val="0"/>
        <w:autoSpaceDE w:val="0"/>
        <w:autoSpaceDN w:val="0"/>
        <w:adjustRightInd w:val="0"/>
        <w:snapToGrid w:val="0"/>
        <w:spacing w:line="270" w:lineRule="auto"/>
        <w:jc w:val="left"/>
        <w:textAlignment w:val="baseline"/>
        <w:rPr>
          <w:rFonts w:ascii="Arial" w:hAnsi="Arial" w:eastAsia="Arial" w:cs="Arial"/>
          <w:snapToGrid w:val="0"/>
          <w:color w:val="000000"/>
          <w:kern w:val="0"/>
          <w:sz w:val="21"/>
          <w:szCs w:val="21"/>
          <w:lang w:val="en-US" w:eastAsia="en-US" w:bidi="ar-SA"/>
        </w:rPr>
      </w:pPr>
    </w:p>
    <w:p w14:paraId="68D6B6C6">
      <w:pPr>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val="en-US" w:eastAsia="en-US" w:bidi="ar-SA"/>
        </w:rPr>
      </w:pPr>
    </w:p>
    <w:p w14:paraId="7DCF6A10">
      <w:pPr>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val="en-US" w:eastAsia="en-US" w:bidi="ar-SA"/>
        </w:rPr>
      </w:pPr>
    </w:p>
    <w:p w14:paraId="173319B3">
      <w:pPr>
        <w:widowControl/>
        <w:kinsoku w:val="0"/>
        <w:autoSpaceDE w:val="0"/>
        <w:autoSpaceDN w:val="0"/>
        <w:adjustRightInd w:val="0"/>
        <w:snapToGrid w:val="0"/>
        <w:spacing w:before="98" w:line="222" w:lineRule="auto"/>
        <w:ind w:left="808"/>
        <w:jc w:val="left"/>
        <w:textAlignment w:val="baseline"/>
        <w:rPr>
          <w:rFonts w:ascii="仿宋" w:hAnsi="仿宋" w:eastAsia="仿宋" w:cs="仿宋"/>
          <w:snapToGrid w:val="0"/>
          <w:color w:val="000000"/>
          <w:kern w:val="0"/>
          <w:sz w:val="30"/>
          <w:szCs w:val="30"/>
          <w:lang w:eastAsia="en-US"/>
        </w:rPr>
      </w:pPr>
      <w:r>
        <w:rPr>
          <w:rFonts w:ascii="仿宋" w:hAnsi="仿宋" w:eastAsia="仿宋" w:cs="仿宋"/>
          <w:snapToGrid w:val="0"/>
          <w:color w:val="000000"/>
          <w:spacing w:val="-16"/>
          <w:kern w:val="0"/>
          <w:sz w:val="30"/>
          <w:szCs w:val="30"/>
          <w:lang w:eastAsia="en-US"/>
        </w:rPr>
        <w:t>报告需要以下附件：</w:t>
      </w:r>
    </w:p>
    <w:p w14:paraId="5CBB4FAB">
      <w:pPr>
        <w:widowControl/>
        <w:kinsoku w:val="0"/>
        <w:autoSpaceDE w:val="0"/>
        <w:autoSpaceDN w:val="0"/>
        <w:adjustRightInd w:val="0"/>
        <w:snapToGrid w:val="0"/>
        <w:spacing w:before="206" w:line="222" w:lineRule="auto"/>
        <w:ind w:left="808"/>
        <w:jc w:val="left"/>
        <w:textAlignment w:val="baseline"/>
        <w:rPr>
          <w:rFonts w:ascii="仿宋" w:hAnsi="仿宋" w:eastAsia="仿宋" w:cs="仿宋"/>
          <w:snapToGrid w:val="0"/>
          <w:color w:val="000000"/>
          <w:kern w:val="0"/>
          <w:sz w:val="30"/>
          <w:szCs w:val="30"/>
          <w:lang w:eastAsia="en-US"/>
        </w:rPr>
      </w:pPr>
      <w:r>
        <w:rPr>
          <w:rFonts w:ascii="Times New Roman" w:hAnsi="Times New Roman" w:eastAsia="Times New Roman" w:cs="Times New Roman"/>
          <w:snapToGrid w:val="0"/>
          <w:color w:val="000000"/>
          <w:spacing w:val="-10"/>
          <w:kern w:val="0"/>
          <w:sz w:val="30"/>
          <w:szCs w:val="30"/>
          <w:lang w:eastAsia="en-US"/>
        </w:rPr>
        <w:t>1</w:t>
      </w:r>
      <w:r>
        <w:rPr>
          <w:rFonts w:ascii="宋体" w:hAnsi="宋体" w:eastAsia="宋体" w:cs="宋体"/>
          <w:snapToGrid w:val="0"/>
          <w:color w:val="000000"/>
          <w:spacing w:val="-10"/>
          <w:kern w:val="0"/>
          <w:sz w:val="30"/>
          <w:szCs w:val="30"/>
          <w:lang w:eastAsia="en-US"/>
        </w:rPr>
        <w:t>、</w:t>
      </w:r>
      <w:r>
        <w:rPr>
          <w:rFonts w:ascii="仿宋" w:hAnsi="仿宋" w:eastAsia="仿宋" w:cs="仿宋"/>
          <w:snapToGrid w:val="0"/>
          <w:color w:val="000000"/>
          <w:spacing w:val="-10"/>
          <w:kern w:val="0"/>
          <w:sz w:val="30"/>
          <w:szCs w:val="30"/>
          <w:lang w:eastAsia="en-US"/>
        </w:rPr>
        <w:t>部门整体支出绩效评价基础数据表</w:t>
      </w:r>
    </w:p>
    <w:p w14:paraId="4A4A4587">
      <w:pPr>
        <w:widowControl/>
        <w:kinsoku w:val="0"/>
        <w:autoSpaceDE w:val="0"/>
        <w:autoSpaceDN w:val="0"/>
        <w:adjustRightInd w:val="0"/>
        <w:snapToGrid w:val="0"/>
        <w:spacing w:before="179" w:line="222" w:lineRule="auto"/>
        <w:ind w:left="808"/>
        <w:jc w:val="left"/>
        <w:textAlignment w:val="baseline"/>
        <w:rPr>
          <w:rFonts w:ascii="仿宋" w:hAnsi="仿宋" w:eastAsia="仿宋" w:cs="仿宋"/>
          <w:snapToGrid w:val="0"/>
          <w:color w:val="000000"/>
          <w:kern w:val="0"/>
          <w:sz w:val="30"/>
          <w:szCs w:val="30"/>
          <w:lang w:eastAsia="en-US"/>
        </w:rPr>
      </w:pPr>
      <w:r>
        <w:rPr>
          <w:rFonts w:ascii="Times New Roman" w:hAnsi="Times New Roman" w:eastAsia="Times New Roman" w:cs="Times New Roman"/>
          <w:snapToGrid w:val="0"/>
          <w:color w:val="000000"/>
          <w:spacing w:val="-10"/>
          <w:kern w:val="0"/>
          <w:sz w:val="30"/>
          <w:szCs w:val="30"/>
          <w:lang w:eastAsia="en-US"/>
        </w:rPr>
        <w:t>2</w:t>
      </w:r>
      <w:r>
        <w:rPr>
          <w:rFonts w:ascii="宋体" w:hAnsi="宋体" w:eastAsia="宋体" w:cs="宋体"/>
          <w:snapToGrid w:val="0"/>
          <w:color w:val="000000"/>
          <w:spacing w:val="-10"/>
          <w:kern w:val="0"/>
          <w:sz w:val="30"/>
          <w:szCs w:val="30"/>
          <w:lang w:eastAsia="en-US"/>
        </w:rPr>
        <w:t>、</w:t>
      </w:r>
      <w:r>
        <w:rPr>
          <w:rFonts w:ascii="仿宋" w:hAnsi="仿宋" w:eastAsia="仿宋" w:cs="仿宋"/>
          <w:snapToGrid w:val="0"/>
          <w:color w:val="000000"/>
          <w:spacing w:val="-10"/>
          <w:kern w:val="0"/>
          <w:sz w:val="30"/>
          <w:szCs w:val="30"/>
          <w:lang w:eastAsia="en-US"/>
        </w:rPr>
        <w:t>部门整体支出绩效自评表</w:t>
      </w:r>
    </w:p>
    <w:p w14:paraId="0B303242">
      <w:pPr>
        <w:widowControl/>
        <w:kinsoku w:val="0"/>
        <w:autoSpaceDE w:val="0"/>
        <w:autoSpaceDN w:val="0"/>
        <w:adjustRightInd w:val="0"/>
        <w:snapToGrid w:val="0"/>
        <w:spacing w:before="191" w:line="222" w:lineRule="auto"/>
        <w:ind w:left="808"/>
        <w:jc w:val="left"/>
        <w:textAlignment w:val="baseline"/>
        <w:rPr>
          <w:rFonts w:ascii="仿宋" w:hAnsi="仿宋" w:eastAsia="仿宋" w:cs="仿宋"/>
          <w:snapToGrid w:val="0"/>
          <w:color w:val="000000"/>
          <w:kern w:val="0"/>
          <w:sz w:val="30"/>
          <w:szCs w:val="30"/>
          <w:lang w:eastAsia="en-US"/>
        </w:rPr>
      </w:pPr>
      <w:r>
        <w:rPr>
          <w:rFonts w:ascii="Times New Roman" w:hAnsi="Times New Roman" w:eastAsia="Times New Roman" w:cs="Times New Roman"/>
          <w:snapToGrid w:val="0"/>
          <w:color w:val="000000"/>
          <w:spacing w:val="-1"/>
          <w:kern w:val="0"/>
          <w:sz w:val="30"/>
          <w:szCs w:val="30"/>
          <w:lang w:eastAsia="en-US"/>
        </w:rPr>
        <w:t>3</w:t>
      </w:r>
      <w:r>
        <w:rPr>
          <w:rFonts w:ascii="Times New Roman" w:hAnsi="Times New Roman" w:eastAsia="Times New Roman" w:cs="Times New Roman"/>
          <w:snapToGrid w:val="0"/>
          <w:color w:val="000000"/>
          <w:spacing w:val="-36"/>
          <w:kern w:val="0"/>
          <w:sz w:val="30"/>
          <w:szCs w:val="30"/>
          <w:lang w:eastAsia="en-US"/>
        </w:rPr>
        <w:t xml:space="preserve"> </w:t>
      </w:r>
      <w:r>
        <w:rPr>
          <w:rFonts w:ascii="宋体" w:hAnsi="宋体" w:eastAsia="宋体" w:cs="宋体"/>
          <w:snapToGrid w:val="0"/>
          <w:color w:val="000000"/>
          <w:spacing w:val="-1"/>
          <w:kern w:val="0"/>
          <w:sz w:val="30"/>
          <w:szCs w:val="30"/>
          <w:lang w:eastAsia="en-US"/>
        </w:rPr>
        <w:t>、</w:t>
      </w:r>
      <w:r>
        <w:rPr>
          <w:rFonts w:ascii="仿宋" w:hAnsi="仿宋" w:eastAsia="仿宋" w:cs="仿宋"/>
          <w:snapToGrid w:val="0"/>
          <w:color w:val="000000"/>
          <w:spacing w:val="-1"/>
          <w:kern w:val="0"/>
          <w:sz w:val="30"/>
          <w:szCs w:val="30"/>
          <w:lang w:eastAsia="en-US"/>
        </w:rPr>
        <w:t>项目支出绩效自评表(每个一级项目支出一张表)</w:t>
      </w:r>
    </w:p>
    <w:p w14:paraId="44F01E7B">
      <w:pPr>
        <w:widowControl/>
        <w:kinsoku w:val="0"/>
        <w:autoSpaceDE w:val="0"/>
        <w:autoSpaceDN w:val="0"/>
        <w:adjustRightInd w:val="0"/>
        <w:snapToGrid w:val="0"/>
        <w:spacing w:before="175" w:line="220" w:lineRule="auto"/>
        <w:ind w:left="808"/>
        <w:jc w:val="left"/>
        <w:textAlignment w:val="baseline"/>
        <w:rPr>
          <w:rFonts w:ascii="仿宋" w:hAnsi="仿宋" w:eastAsia="仿宋" w:cs="仿宋"/>
          <w:snapToGrid w:val="0"/>
          <w:color w:val="000000"/>
          <w:kern w:val="0"/>
          <w:sz w:val="30"/>
          <w:szCs w:val="30"/>
          <w:lang w:eastAsia="en-US"/>
        </w:rPr>
      </w:pPr>
      <w:r>
        <w:rPr>
          <w:rFonts w:ascii="仿宋" w:hAnsi="仿宋" w:eastAsia="仿宋" w:cs="仿宋"/>
          <w:snapToGrid w:val="0"/>
          <w:color w:val="000000"/>
          <w:spacing w:val="-9"/>
          <w:kern w:val="0"/>
          <w:sz w:val="30"/>
          <w:szCs w:val="30"/>
          <w:lang w:eastAsia="en-US"/>
        </w:rPr>
        <w:t>4、政府性基金预算支出情况表</w:t>
      </w:r>
    </w:p>
    <w:p w14:paraId="25627647">
      <w:pPr>
        <w:widowControl/>
        <w:kinsoku w:val="0"/>
        <w:autoSpaceDE w:val="0"/>
        <w:autoSpaceDN w:val="0"/>
        <w:adjustRightInd w:val="0"/>
        <w:snapToGrid w:val="0"/>
        <w:spacing w:before="194" w:line="222" w:lineRule="auto"/>
        <w:ind w:left="808"/>
        <w:jc w:val="left"/>
        <w:textAlignment w:val="baseline"/>
        <w:rPr>
          <w:rFonts w:ascii="仿宋" w:hAnsi="仿宋" w:eastAsia="仿宋" w:cs="仿宋"/>
          <w:snapToGrid w:val="0"/>
          <w:color w:val="000000"/>
          <w:kern w:val="0"/>
          <w:sz w:val="30"/>
          <w:szCs w:val="30"/>
          <w:lang w:eastAsia="en-US"/>
        </w:rPr>
      </w:pPr>
      <w:r>
        <w:rPr>
          <w:rFonts w:ascii="Times New Roman" w:hAnsi="Times New Roman" w:eastAsia="Times New Roman" w:cs="Times New Roman"/>
          <w:snapToGrid w:val="0"/>
          <w:color w:val="000000"/>
          <w:spacing w:val="-13"/>
          <w:kern w:val="0"/>
          <w:sz w:val="30"/>
          <w:szCs w:val="30"/>
          <w:lang w:eastAsia="en-US"/>
        </w:rPr>
        <w:t>5</w:t>
      </w:r>
      <w:r>
        <w:rPr>
          <w:rFonts w:ascii="Times New Roman" w:hAnsi="Times New Roman" w:eastAsia="Times New Roman" w:cs="Times New Roman"/>
          <w:snapToGrid w:val="0"/>
          <w:color w:val="000000"/>
          <w:spacing w:val="-36"/>
          <w:kern w:val="0"/>
          <w:sz w:val="30"/>
          <w:szCs w:val="30"/>
          <w:lang w:eastAsia="en-US"/>
        </w:rPr>
        <w:t xml:space="preserve"> </w:t>
      </w:r>
      <w:r>
        <w:rPr>
          <w:rFonts w:ascii="宋体" w:hAnsi="宋体" w:eastAsia="宋体" w:cs="宋体"/>
          <w:snapToGrid w:val="0"/>
          <w:color w:val="000000"/>
          <w:spacing w:val="-13"/>
          <w:kern w:val="0"/>
          <w:sz w:val="30"/>
          <w:szCs w:val="30"/>
          <w:lang w:eastAsia="en-US"/>
        </w:rPr>
        <w:t>、</w:t>
      </w:r>
      <w:r>
        <w:rPr>
          <w:rFonts w:ascii="仿宋" w:hAnsi="仿宋" w:eastAsia="仿宋" w:cs="仿宋"/>
          <w:snapToGrid w:val="0"/>
          <w:color w:val="000000"/>
          <w:spacing w:val="-13"/>
          <w:kern w:val="0"/>
          <w:sz w:val="30"/>
          <w:szCs w:val="30"/>
          <w:lang w:eastAsia="en-US"/>
        </w:rPr>
        <w:t>国有资本经营预算支出情况表</w:t>
      </w:r>
    </w:p>
    <w:p w14:paraId="6712F06A">
      <w:pPr>
        <w:widowControl/>
        <w:kinsoku w:val="0"/>
        <w:autoSpaceDE w:val="0"/>
        <w:autoSpaceDN w:val="0"/>
        <w:adjustRightInd w:val="0"/>
        <w:snapToGrid w:val="0"/>
        <w:spacing w:before="189" w:line="221" w:lineRule="auto"/>
        <w:ind w:left="808"/>
        <w:jc w:val="left"/>
        <w:textAlignment w:val="baseline"/>
        <w:rPr>
          <w:rFonts w:ascii="仿宋" w:hAnsi="仿宋" w:eastAsia="仿宋" w:cs="仿宋"/>
          <w:snapToGrid w:val="0"/>
          <w:color w:val="000000"/>
          <w:kern w:val="0"/>
          <w:sz w:val="30"/>
          <w:szCs w:val="30"/>
          <w:lang w:eastAsia="en-US"/>
        </w:rPr>
      </w:pPr>
      <w:r>
        <w:rPr>
          <w:rFonts w:ascii="Times New Roman" w:hAnsi="Times New Roman" w:eastAsia="Times New Roman" w:cs="Times New Roman"/>
          <w:snapToGrid w:val="0"/>
          <w:color w:val="000000"/>
          <w:spacing w:val="-11"/>
          <w:kern w:val="0"/>
          <w:sz w:val="30"/>
          <w:szCs w:val="30"/>
          <w:lang w:eastAsia="en-US"/>
        </w:rPr>
        <w:t>6</w:t>
      </w:r>
      <w:r>
        <w:rPr>
          <w:rFonts w:ascii="Times New Roman" w:hAnsi="Times New Roman" w:eastAsia="Times New Roman" w:cs="Times New Roman"/>
          <w:snapToGrid w:val="0"/>
          <w:color w:val="000000"/>
          <w:spacing w:val="-37"/>
          <w:kern w:val="0"/>
          <w:sz w:val="30"/>
          <w:szCs w:val="30"/>
          <w:lang w:eastAsia="en-US"/>
        </w:rPr>
        <w:t xml:space="preserve"> </w:t>
      </w:r>
      <w:r>
        <w:rPr>
          <w:rFonts w:ascii="宋体" w:hAnsi="宋体" w:eastAsia="宋体" w:cs="宋体"/>
          <w:snapToGrid w:val="0"/>
          <w:color w:val="000000"/>
          <w:spacing w:val="-11"/>
          <w:kern w:val="0"/>
          <w:sz w:val="30"/>
          <w:szCs w:val="30"/>
          <w:lang w:eastAsia="en-US"/>
        </w:rPr>
        <w:t>、</w:t>
      </w:r>
      <w:r>
        <w:rPr>
          <w:rFonts w:ascii="仿宋" w:hAnsi="仿宋" w:eastAsia="仿宋" w:cs="仿宋"/>
          <w:snapToGrid w:val="0"/>
          <w:color w:val="000000"/>
          <w:spacing w:val="-11"/>
          <w:kern w:val="0"/>
          <w:sz w:val="30"/>
          <w:szCs w:val="30"/>
          <w:lang w:eastAsia="en-US"/>
        </w:rPr>
        <w:t>社会保险基金预算支出情况表</w:t>
      </w:r>
    </w:p>
    <w:p w14:paraId="352B0CDA">
      <w:pPr>
        <w:spacing w:line="221" w:lineRule="auto"/>
        <w:rPr>
          <w:rFonts w:ascii="仿宋" w:hAnsi="仿宋" w:eastAsia="仿宋" w:cs="仿宋"/>
          <w:sz w:val="30"/>
          <w:szCs w:val="30"/>
        </w:rPr>
        <w:sectPr>
          <w:footerReference r:id="rId6" w:type="default"/>
          <w:pgSz w:w="12010" w:h="15940"/>
          <w:pgMar w:top="1354" w:right="1801" w:bottom="2130" w:left="1801" w:header="0" w:footer="1857" w:gutter="0"/>
          <w:cols w:space="720" w:num="1"/>
        </w:sectPr>
      </w:pPr>
    </w:p>
    <w:p w14:paraId="3140B15C">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C8C60">
    <w:pPr>
      <w:widowControl/>
      <w:kinsoku w:val="0"/>
      <w:autoSpaceDE w:val="0"/>
      <w:autoSpaceDN w:val="0"/>
      <w:adjustRightInd w:val="0"/>
      <w:snapToGrid w:val="0"/>
      <w:spacing w:line="229" w:lineRule="auto"/>
      <w:ind w:left="4072"/>
      <w:jc w:val="left"/>
      <w:textAlignment w:val="baseline"/>
      <w:rPr>
        <w:rFonts w:ascii="宋体" w:hAnsi="宋体" w:eastAsia="宋体" w:cs="宋体"/>
        <w:snapToGrid w:val="0"/>
        <w:color w:val="000000"/>
        <w:kern w:val="0"/>
        <w:sz w:val="16"/>
        <w:szCs w:val="16"/>
        <w:lang w:eastAsia="en-US"/>
      </w:rPr>
    </w:pPr>
    <w:r>
      <w:rPr>
        <w:rFonts w:ascii="宋体" w:hAnsi="宋体" w:eastAsia="宋体" w:cs="宋体"/>
        <w:snapToGrid w:val="0"/>
        <w:color w:val="000000"/>
        <w:spacing w:val="-15"/>
        <w:w w:val="97"/>
        <w:kern w:val="0"/>
        <w:sz w:val="16"/>
        <w:szCs w:val="16"/>
        <w:lang w:eastAsia="en-US"/>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774B4">
    <w:pPr>
      <w:widowControl/>
      <w:kinsoku w:val="0"/>
      <w:autoSpaceDE w:val="0"/>
      <w:autoSpaceDN w:val="0"/>
      <w:adjustRightInd w:val="0"/>
      <w:snapToGrid w:val="0"/>
      <w:spacing w:line="231" w:lineRule="auto"/>
      <w:ind w:left="4012"/>
      <w:jc w:val="left"/>
      <w:textAlignment w:val="baseline"/>
      <w:rPr>
        <w:rFonts w:ascii="宋体" w:hAnsi="宋体" w:eastAsia="宋体" w:cs="宋体"/>
        <w:snapToGrid w:val="0"/>
        <w:color w:val="000000"/>
        <w:kern w:val="0"/>
        <w:sz w:val="23"/>
        <w:szCs w:val="23"/>
        <w:lang w:eastAsia="en-US"/>
      </w:rPr>
    </w:pPr>
    <w:r>
      <w:rPr>
        <w:rFonts w:ascii="宋体" w:hAnsi="宋体" w:eastAsia="宋体" w:cs="宋体"/>
        <w:snapToGrid w:val="0"/>
        <w:color w:val="000000"/>
        <w:spacing w:val="-3"/>
        <w:kern w:val="0"/>
        <w:sz w:val="23"/>
        <w:szCs w:val="23"/>
        <w:lang w:eastAsia="en-US"/>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17437">
    <w:pPr>
      <w:widowControl/>
      <w:kinsoku w:val="0"/>
      <w:autoSpaceDE w:val="0"/>
      <w:autoSpaceDN w:val="0"/>
      <w:adjustRightInd w:val="0"/>
      <w:snapToGrid w:val="0"/>
      <w:spacing w:line="232" w:lineRule="auto"/>
      <w:ind w:left="393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798E7">
    <w:pPr>
      <w:widowControl/>
      <w:kinsoku w:val="0"/>
      <w:autoSpaceDE w:val="0"/>
      <w:autoSpaceDN w:val="0"/>
      <w:adjustRightInd w:val="0"/>
      <w:snapToGrid w:val="0"/>
      <w:spacing w:line="230" w:lineRule="auto"/>
      <w:ind w:left="3878"/>
      <w:jc w:val="left"/>
      <w:textAlignment w:val="baseline"/>
      <w:rPr>
        <w:rFonts w:ascii="宋体" w:hAnsi="宋体" w:eastAsia="宋体" w:cs="宋体"/>
        <w:snapToGrid w:val="0"/>
        <w:color w:val="000000"/>
        <w:kern w:val="0"/>
        <w:sz w:val="21"/>
        <w:szCs w:val="21"/>
        <w:lang w:eastAsia="en-US"/>
      </w:rPr>
    </w:pPr>
    <w:r>
      <w:rPr>
        <w:rFonts w:ascii="宋体" w:hAnsi="宋体" w:eastAsia="宋体" w:cs="宋体"/>
        <w:snapToGrid w:val="0"/>
        <w:color w:val="000000"/>
        <w:spacing w:val="-3"/>
        <w:kern w:val="0"/>
        <w:sz w:val="21"/>
        <w:szCs w:val="21"/>
        <w:lang w:eastAsia="en-US"/>
      </w:rPr>
      <w:t>—5—</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804101"/>
    <w:multiLevelType w:val="multilevel"/>
    <w:tmpl w:val="61804101"/>
    <w:lvl w:ilvl="0" w:tentative="0">
      <w:start w:val="1"/>
      <w:numFmt w:val="decimal"/>
      <w:lvlText w:val="%1."/>
      <w:lvlJc w:val="left"/>
      <w:pPr>
        <w:tabs>
          <w:tab w:val="left" w:pos="960"/>
        </w:tabs>
        <w:ind w:left="960" w:hanging="360"/>
      </w:pPr>
      <w:rPr>
        <w:rFonts w:hint="default"/>
      </w:rPr>
    </w:lvl>
    <w:lvl w:ilvl="1" w:tentative="0">
      <w:start w:val="1"/>
      <w:numFmt w:val="lowerLetter"/>
      <w:lvlText w:val="%2)"/>
      <w:lvlJc w:val="left"/>
      <w:pPr>
        <w:tabs>
          <w:tab w:val="left" w:pos="1440"/>
        </w:tabs>
        <w:ind w:left="1440" w:hanging="420"/>
      </w:pPr>
    </w:lvl>
    <w:lvl w:ilvl="2" w:tentative="0">
      <w:start w:val="1"/>
      <w:numFmt w:val="lowerRoman"/>
      <w:lvlText w:val="%3."/>
      <w:lvlJc w:val="right"/>
      <w:pPr>
        <w:tabs>
          <w:tab w:val="left" w:pos="1860"/>
        </w:tabs>
        <w:ind w:left="1860" w:hanging="420"/>
      </w:pPr>
    </w:lvl>
    <w:lvl w:ilvl="3" w:tentative="0">
      <w:start w:val="1"/>
      <w:numFmt w:val="decimal"/>
      <w:lvlText w:val="%4."/>
      <w:lvlJc w:val="left"/>
      <w:pPr>
        <w:tabs>
          <w:tab w:val="left" w:pos="2280"/>
        </w:tabs>
        <w:ind w:left="2280" w:hanging="420"/>
      </w:pPr>
    </w:lvl>
    <w:lvl w:ilvl="4" w:tentative="0">
      <w:start w:val="1"/>
      <w:numFmt w:val="lowerLetter"/>
      <w:lvlText w:val="%5)"/>
      <w:lvlJc w:val="left"/>
      <w:pPr>
        <w:tabs>
          <w:tab w:val="left" w:pos="2700"/>
        </w:tabs>
        <w:ind w:left="2700" w:hanging="420"/>
      </w:pPr>
    </w:lvl>
    <w:lvl w:ilvl="5" w:tentative="0">
      <w:start w:val="1"/>
      <w:numFmt w:val="lowerRoman"/>
      <w:lvlText w:val="%6."/>
      <w:lvlJc w:val="right"/>
      <w:pPr>
        <w:tabs>
          <w:tab w:val="left" w:pos="3120"/>
        </w:tabs>
        <w:ind w:left="3120" w:hanging="420"/>
      </w:pPr>
    </w:lvl>
    <w:lvl w:ilvl="6" w:tentative="0">
      <w:start w:val="1"/>
      <w:numFmt w:val="decimal"/>
      <w:lvlText w:val="%7."/>
      <w:lvlJc w:val="left"/>
      <w:pPr>
        <w:tabs>
          <w:tab w:val="left" w:pos="3540"/>
        </w:tabs>
        <w:ind w:left="3540" w:hanging="420"/>
      </w:pPr>
    </w:lvl>
    <w:lvl w:ilvl="7" w:tentative="0">
      <w:start w:val="1"/>
      <w:numFmt w:val="lowerLetter"/>
      <w:lvlText w:val="%8)"/>
      <w:lvlJc w:val="left"/>
      <w:pPr>
        <w:tabs>
          <w:tab w:val="left" w:pos="3960"/>
        </w:tabs>
        <w:ind w:left="3960" w:hanging="420"/>
      </w:pPr>
    </w:lvl>
    <w:lvl w:ilvl="8" w:tentative="0">
      <w:start w:val="1"/>
      <w:numFmt w:val="lowerRoman"/>
      <w:lvlText w:val="%9."/>
      <w:lvlJc w:val="right"/>
      <w:pPr>
        <w:tabs>
          <w:tab w:val="left" w:pos="4380"/>
        </w:tabs>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22B0B"/>
    <w:rsid w:val="39522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2026-06-08T02:44:00Z</dcterms:created>
  <dc:creator>步行者</dc:creator>
  <cp:lastModifiedBy>步行者</cp:lastModifiedBy>
  <dcterms:modified xsi:type="dcterms:W3CDTF">2026-06-08T02:45:50Z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F24E48EC52B54FFA8D729C1AF22B62B7_11</vt:lpwstr>
  </property>
  <property fmtid="{D5CDD505-2E9C-101B-9397-08002B2CF9AE}" pid="4" name="KSOTemplateDocerSaveRecord">
    <vt:lpwstr>eyJoZGlkIjoiNDk5MGNjNDY5OWVjNjY1YmY2ZTg0Y2Q0NGZmYzI3Y2EiLCJ1c2VySWQiOiIyOTE1ODM0MDYifQ==</vt:lpwstr>
  </property>
</Properties>
</file>