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BF369">
      <w:pPr>
        <w:spacing w:line="266" w:lineRule="auto"/>
        <w:jc w:val="both"/>
        <w:rPr>
          <w:rFonts w:ascii="宋体" w:hAnsi="宋体"/>
          <w:spacing w:val="-4"/>
          <w:sz w:val="28"/>
          <w:szCs w:val="28"/>
        </w:rPr>
      </w:pPr>
      <w:r>
        <w:rPr>
          <w:rFonts w:hint="eastAsia" w:ascii="宋体" w:hAnsi="宋体"/>
          <w:spacing w:val="-4"/>
          <w:sz w:val="28"/>
          <w:szCs w:val="28"/>
        </w:rPr>
        <w:t>附件4</w:t>
      </w:r>
    </w:p>
    <w:p w14:paraId="798BBC69">
      <w:pPr>
        <w:ind w:firstLine="880"/>
        <w:jc w:val="center"/>
        <w:rPr>
          <w:rFonts w:hint="eastAsia" w:ascii="方正小标宋简体" w:hAnsi="宋体" w:eastAsia="方正小标宋简体" w:cs="宋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5</w:t>
      </w:r>
      <w:r>
        <w:rPr>
          <w:rFonts w:hint="eastAsia" w:ascii="方正小标宋简体" w:hAnsi="宋体" w:eastAsia="方正小标宋简体" w:cs="宋体"/>
          <w:sz w:val="44"/>
          <w:szCs w:val="44"/>
        </w:rPr>
        <w:t>年度</w:t>
      </w:r>
      <w:r>
        <w:rPr>
          <w:rFonts w:hint="eastAsia" w:ascii="方正小标宋简体" w:eastAsia="方正小标宋简体"/>
          <w:sz w:val="44"/>
          <w:szCs w:val="44"/>
        </w:rPr>
        <w:t>岳阳县应急管理局</w:t>
      </w:r>
      <w:r>
        <w:rPr>
          <w:rFonts w:hint="eastAsia" w:ascii="方正小标宋简体" w:hAnsi="宋体" w:eastAsia="方正小标宋简体" w:cs="宋体"/>
          <w:sz w:val="44"/>
          <w:szCs w:val="44"/>
        </w:rPr>
        <w:t>整体支出</w:t>
      </w:r>
    </w:p>
    <w:p w14:paraId="7AB7641F">
      <w:pPr>
        <w:ind w:firstLine="880"/>
        <w:jc w:val="center"/>
        <w:rPr>
          <w:rFonts w:hint="eastAsia" w:ascii="方正小标宋简体" w:eastAsia="方正小标宋简体"/>
          <w:sz w:val="44"/>
          <w:szCs w:val="44"/>
        </w:rPr>
      </w:pPr>
      <w:r>
        <w:rPr>
          <w:rFonts w:hint="eastAsia" w:ascii="方正小标宋简体" w:hAnsi="宋体" w:eastAsia="方正小标宋简体" w:cs="宋体"/>
          <w:sz w:val="44"/>
          <w:szCs w:val="44"/>
        </w:rPr>
        <w:t>绩效自评报告</w:t>
      </w:r>
    </w:p>
    <w:p w14:paraId="526D4710">
      <w:pPr>
        <w:pStyle w:val="2"/>
        <w:spacing w:before="78"/>
        <w:ind w:firstLine="587"/>
        <w:jc w:val="center"/>
        <w:rPr>
          <w:rFonts w:hint="eastAsia" w:ascii="楷体_GB2312" w:eastAsia="楷体_GB2312" w:cs="仿宋"/>
          <w:b/>
          <w:bCs/>
          <w:spacing w:val="-28"/>
          <w:sz w:val="32"/>
          <w:szCs w:val="32"/>
        </w:rPr>
      </w:pPr>
      <w:r>
        <w:rPr>
          <w:rFonts w:hint="eastAsia" w:ascii="楷体_GB2312" w:eastAsia="楷体_GB2312" w:cs="仿宋"/>
          <w:b/>
          <w:bCs/>
          <w:spacing w:val="-28"/>
          <w:sz w:val="32"/>
          <w:szCs w:val="32"/>
        </w:rPr>
        <w:t xml:space="preserve"> </w:t>
      </w:r>
    </w:p>
    <w:p w14:paraId="08DD83B2">
      <w:pPr>
        <w:pStyle w:val="2"/>
        <w:spacing w:before="78"/>
        <w:ind w:firstLine="587"/>
        <w:jc w:val="center"/>
        <w:rPr>
          <w:rFonts w:hint="eastAsia" w:ascii="楷体_GB2312" w:eastAsia="楷体_GB2312" w:cs="仿宋"/>
          <w:b/>
          <w:bCs/>
          <w:spacing w:val="-28"/>
          <w:sz w:val="32"/>
          <w:szCs w:val="32"/>
        </w:rPr>
      </w:pPr>
      <w:r>
        <w:rPr>
          <w:rFonts w:hint="eastAsia" w:ascii="楷体_GB2312" w:eastAsia="楷体_GB2312" w:cs="仿宋"/>
          <w:b/>
          <w:bCs/>
          <w:spacing w:val="-28"/>
          <w:sz w:val="32"/>
          <w:szCs w:val="32"/>
        </w:rPr>
        <w:t xml:space="preserve"> </w:t>
      </w:r>
    </w:p>
    <w:p w14:paraId="382E632C">
      <w:pPr>
        <w:pStyle w:val="2"/>
        <w:spacing w:before="78"/>
        <w:ind w:firstLine="587"/>
        <w:jc w:val="center"/>
        <w:rPr>
          <w:rFonts w:hint="eastAsia" w:ascii="楷体_GB2312" w:eastAsia="楷体_GB2312" w:cs="仿宋"/>
          <w:b/>
          <w:bCs/>
          <w:spacing w:val="-28"/>
          <w:sz w:val="32"/>
          <w:szCs w:val="32"/>
        </w:rPr>
      </w:pPr>
      <w:r>
        <w:rPr>
          <w:rFonts w:hint="eastAsia" w:ascii="楷体_GB2312" w:eastAsia="楷体_GB2312" w:cs="仿宋"/>
          <w:b/>
          <w:bCs/>
          <w:spacing w:val="-28"/>
          <w:sz w:val="32"/>
          <w:szCs w:val="32"/>
        </w:rPr>
        <w:t xml:space="preserve"> </w:t>
      </w:r>
    </w:p>
    <w:p w14:paraId="7A3CE6C2">
      <w:pPr>
        <w:pStyle w:val="2"/>
        <w:spacing w:before="78"/>
        <w:ind w:firstLine="587"/>
        <w:jc w:val="center"/>
        <w:rPr>
          <w:rFonts w:hint="eastAsia" w:ascii="楷体_GB2312" w:eastAsia="楷体_GB2312" w:cs="仿宋"/>
          <w:b/>
          <w:bCs/>
          <w:spacing w:val="-28"/>
          <w:sz w:val="32"/>
          <w:szCs w:val="32"/>
        </w:rPr>
      </w:pPr>
      <w:r>
        <w:rPr>
          <w:rFonts w:hint="eastAsia" w:ascii="楷体_GB2312" w:eastAsia="楷体_GB2312" w:cs="仿宋"/>
          <w:b/>
          <w:bCs/>
          <w:spacing w:val="-28"/>
          <w:sz w:val="32"/>
          <w:szCs w:val="32"/>
        </w:rPr>
        <w:t xml:space="preserve"> </w:t>
      </w:r>
    </w:p>
    <w:p w14:paraId="4F51F79B">
      <w:pPr>
        <w:pStyle w:val="2"/>
        <w:spacing w:before="78"/>
        <w:ind w:firstLine="587"/>
        <w:jc w:val="center"/>
        <w:rPr>
          <w:rFonts w:hint="eastAsia" w:ascii="楷体_GB2312" w:eastAsia="楷体_GB2312" w:cs="仿宋"/>
          <w:b/>
          <w:bCs/>
          <w:spacing w:val="-28"/>
          <w:sz w:val="32"/>
          <w:szCs w:val="32"/>
        </w:rPr>
      </w:pPr>
      <w:r>
        <w:rPr>
          <w:rFonts w:hint="eastAsia" w:ascii="楷体_GB2312" w:eastAsia="楷体_GB2312" w:cs="仿宋"/>
          <w:b/>
          <w:bCs/>
          <w:spacing w:val="-28"/>
          <w:sz w:val="32"/>
          <w:szCs w:val="32"/>
        </w:rPr>
        <w:t xml:space="preserve"> </w:t>
      </w:r>
    </w:p>
    <w:p w14:paraId="1D67ADEE">
      <w:pPr>
        <w:pStyle w:val="2"/>
        <w:spacing w:before="78"/>
        <w:ind w:firstLine="587"/>
        <w:jc w:val="center"/>
        <w:rPr>
          <w:rFonts w:hint="eastAsia" w:ascii="楷体_GB2312" w:eastAsia="楷体_GB2312" w:cs="仿宋"/>
          <w:b/>
          <w:bCs/>
          <w:spacing w:val="-28"/>
          <w:sz w:val="32"/>
          <w:szCs w:val="32"/>
        </w:rPr>
      </w:pPr>
      <w:r>
        <w:rPr>
          <w:rFonts w:hint="eastAsia" w:ascii="楷体_GB2312" w:eastAsia="楷体_GB2312" w:cs="仿宋"/>
          <w:b/>
          <w:bCs/>
          <w:spacing w:val="-28"/>
          <w:sz w:val="32"/>
          <w:szCs w:val="32"/>
        </w:rPr>
        <w:t xml:space="preserve"> </w:t>
      </w:r>
    </w:p>
    <w:p w14:paraId="4B7FAD44">
      <w:pPr>
        <w:pStyle w:val="2"/>
        <w:spacing w:before="78"/>
        <w:ind w:firstLine="587"/>
        <w:jc w:val="center"/>
        <w:rPr>
          <w:rFonts w:hint="eastAsia" w:ascii="楷体_GB2312" w:eastAsia="楷体_GB2312" w:cs="仿宋"/>
          <w:b/>
          <w:bCs/>
          <w:spacing w:val="-28"/>
          <w:sz w:val="32"/>
          <w:szCs w:val="32"/>
        </w:rPr>
      </w:pPr>
      <w:r>
        <w:rPr>
          <w:rFonts w:hint="eastAsia" w:ascii="楷体_GB2312" w:eastAsia="楷体_GB2312" w:cs="仿宋"/>
          <w:b/>
          <w:bCs/>
          <w:spacing w:val="-28"/>
          <w:sz w:val="32"/>
          <w:szCs w:val="32"/>
        </w:rPr>
        <w:t xml:space="preserve"> </w:t>
      </w:r>
    </w:p>
    <w:p w14:paraId="515D26A7">
      <w:pPr>
        <w:pStyle w:val="2"/>
        <w:spacing w:before="78"/>
        <w:ind w:firstLine="587"/>
        <w:jc w:val="center"/>
        <w:rPr>
          <w:rFonts w:hint="eastAsia" w:ascii="楷体_GB2312" w:eastAsia="楷体_GB2312" w:cs="仿宋"/>
          <w:b/>
          <w:bCs/>
          <w:spacing w:val="-28"/>
          <w:sz w:val="32"/>
          <w:szCs w:val="32"/>
        </w:rPr>
      </w:pPr>
      <w:r>
        <w:rPr>
          <w:rFonts w:hint="eastAsia" w:ascii="楷体_GB2312" w:eastAsia="楷体_GB2312" w:cs="仿宋"/>
          <w:b/>
          <w:bCs/>
          <w:spacing w:val="-28"/>
          <w:sz w:val="32"/>
          <w:szCs w:val="32"/>
        </w:rPr>
        <w:t xml:space="preserve"> </w:t>
      </w:r>
    </w:p>
    <w:p w14:paraId="32CD44CD">
      <w:pPr>
        <w:pStyle w:val="2"/>
        <w:spacing w:before="78"/>
        <w:ind w:firstLine="587"/>
        <w:jc w:val="center"/>
        <w:rPr>
          <w:rFonts w:hint="eastAsia" w:ascii="楷体_GB2312" w:eastAsia="楷体_GB2312" w:cs="仿宋"/>
          <w:b/>
          <w:bCs/>
          <w:spacing w:val="-28"/>
          <w:sz w:val="32"/>
          <w:szCs w:val="32"/>
        </w:rPr>
      </w:pPr>
      <w:r>
        <w:rPr>
          <w:rFonts w:hint="eastAsia" w:ascii="楷体_GB2312" w:eastAsia="楷体_GB2312" w:cs="仿宋"/>
          <w:b/>
          <w:bCs/>
          <w:spacing w:val="-28"/>
          <w:sz w:val="32"/>
          <w:szCs w:val="32"/>
        </w:rPr>
        <w:t xml:space="preserve"> </w:t>
      </w:r>
    </w:p>
    <w:p w14:paraId="2E565BA6">
      <w:pPr>
        <w:pStyle w:val="2"/>
        <w:spacing w:before="78"/>
        <w:ind w:firstLine="587"/>
        <w:jc w:val="center"/>
        <w:rPr>
          <w:rFonts w:hint="eastAsia" w:ascii="楷体_GB2312" w:eastAsia="楷体_GB2312" w:cs="仿宋"/>
          <w:b/>
          <w:bCs/>
          <w:spacing w:val="-28"/>
          <w:sz w:val="32"/>
          <w:szCs w:val="32"/>
        </w:rPr>
      </w:pPr>
      <w:r>
        <w:rPr>
          <w:rFonts w:hint="eastAsia" w:ascii="楷体_GB2312" w:eastAsia="楷体_GB2312" w:cs="仿宋"/>
          <w:b/>
          <w:bCs/>
          <w:spacing w:val="-28"/>
          <w:sz w:val="32"/>
          <w:szCs w:val="32"/>
        </w:rPr>
        <w:t xml:space="preserve"> </w:t>
      </w:r>
    </w:p>
    <w:p w14:paraId="7409B51B">
      <w:pPr>
        <w:pStyle w:val="2"/>
        <w:spacing w:before="78"/>
        <w:ind w:firstLine="587"/>
        <w:jc w:val="center"/>
        <w:rPr>
          <w:rFonts w:hint="eastAsia" w:ascii="楷体_GB2312" w:eastAsia="楷体_GB2312" w:cs="仿宋"/>
          <w:b/>
          <w:bCs/>
          <w:spacing w:val="-28"/>
          <w:sz w:val="32"/>
          <w:szCs w:val="32"/>
        </w:rPr>
      </w:pPr>
      <w:r>
        <w:rPr>
          <w:rFonts w:hint="eastAsia" w:ascii="楷体_GB2312" w:eastAsia="楷体_GB2312" w:cs="仿宋"/>
          <w:b/>
          <w:bCs/>
          <w:spacing w:val="-28"/>
          <w:sz w:val="32"/>
          <w:szCs w:val="32"/>
        </w:rPr>
        <w:t xml:space="preserve"> </w:t>
      </w:r>
    </w:p>
    <w:p w14:paraId="111B7907">
      <w:pPr>
        <w:pStyle w:val="2"/>
        <w:spacing w:before="78"/>
        <w:ind w:firstLine="587"/>
        <w:jc w:val="center"/>
        <w:rPr>
          <w:rFonts w:hint="eastAsia" w:ascii="楷体_GB2312" w:eastAsia="楷体_GB2312" w:cs="仿宋"/>
          <w:b/>
          <w:bCs/>
          <w:spacing w:val="-28"/>
          <w:sz w:val="32"/>
          <w:szCs w:val="32"/>
        </w:rPr>
      </w:pPr>
      <w:r>
        <w:rPr>
          <w:rFonts w:hint="eastAsia" w:ascii="楷体_GB2312" w:eastAsia="楷体_GB2312" w:cs="仿宋"/>
          <w:b/>
          <w:bCs/>
          <w:spacing w:val="-28"/>
          <w:sz w:val="32"/>
          <w:szCs w:val="32"/>
        </w:rPr>
        <w:t xml:space="preserve"> </w:t>
      </w:r>
    </w:p>
    <w:p w14:paraId="30E7CF91">
      <w:pPr>
        <w:pStyle w:val="2"/>
        <w:spacing w:before="78"/>
        <w:ind w:firstLine="587"/>
        <w:jc w:val="center"/>
        <w:rPr>
          <w:rFonts w:hint="eastAsia" w:ascii="楷体_GB2312" w:eastAsia="楷体_GB2312" w:cs="仿宋"/>
          <w:b/>
          <w:bCs/>
          <w:spacing w:val="-28"/>
          <w:sz w:val="32"/>
          <w:szCs w:val="32"/>
        </w:rPr>
      </w:pPr>
      <w:r>
        <w:rPr>
          <w:rFonts w:hint="eastAsia" w:ascii="楷体_GB2312" w:eastAsia="楷体_GB2312" w:cs="仿宋"/>
          <w:b/>
          <w:bCs/>
          <w:spacing w:val="-28"/>
          <w:sz w:val="32"/>
          <w:szCs w:val="32"/>
        </w:rPr>
        <w:t xml:space="preserve"> </w:t>
      </w:r>
    </w:p>
    <w:p w14:paraId="0D63D1FC">
      <w:pPr>
        <w:pStyle w:val="2"/>
        <w:spacing w:before="78"/>
        <w:ind w:firstLine="587"/>
        <w:jc w:val="center"/>
        <w:rPr>
          <w:rFonts w:hint="eastAsia" w:ascii="楷体_GB2312" w:eastAsia="楷体_GB2312" w:cs="仿宋"/>
          <w:b/>
          <w:bCs/>
          <w:spacing w:val="-28"/>
          <w:sz w:val="32"/>
          <w:szCs w:val="32"/>
        </w:rPr>
      </w:pPr>
      <w:r>
        <w:rPr>
          <w:rFonts w:hint="eastAsia" w:ascii="楷体_GB2312" w:eastAsia="楷体_GB2312" w:cs="仿宋"/>
          <w:b/>
          <w:bCs/>
          <w:spacing w:val="-28"/>
          <w:sz w:val="32"/>
          <w:szCs w:val="32"/>
        </w:rPr>
        <w:t xml:space="preserve"> </w:t>
      </w:r>
    </w:p>
    <w:p w14:paraId="354FD007">
      <w:pPr>
        <w:pStyle w:val="2"/>
        <w:spacing w:before="78"/>
        <w:ind w:firstLine="587"/>
        <w:jc w:val="center"/>
        <w:rPr>
          <w:rFonts w:hint="eastAsia" w:ascii="楷体_GB2312" w:eastAsia="楷体_GB2312" w:cs="仿宋"/>
          <w:sz w:val="32"/>
          <w:szCs w:val="32"/>
        </w:rPr>
      </w:pPr>
      <w:r>
        <w:rPr>
          <w:rFonts w:hint="eastAsia" w:ascii="楷体_GB2312" w:eastAsia="楷体_GB2312" w:cs="仿宋"/>
          <w:b/>
          <w:bCs/>
          <w:spacing w:val="-28"/>
          <w:sz w:val="32"/>
          <w:szCs w:val="32"/>
        </w:rPr>
        <w:t>部门(单位)名称：</w:t>
      </w:r>
      <w:r>
        <w:rPr>
          <w:rFonts w:hint="eastAsia" w:ascii="楷体_GB2312" w:eastAsia="楷体_GB2312" w:cs="仿宋"/>
          <w:b/>
          <w:bCs/>
          <w:spacing w:val="-28"/>
          <w:sz w:val="32"/>
          <w:szCs w:val="32"/>
          <w:u w:val="single"/>
        </w:rPr>
        <w:t>(盖章)</w:t>
      </w:r>
    </w:p>
    <w:p w14:paraId="2594D413">
      <w:pPr>
        <w:spacing w:before="274"/>
        <w:ind w:firstLine="617"/>
        <w:jc w:val="center"/>
        <w:rPr>
          <w:rFonts w:hint="eastAsia" w:ascii="楷体_GB2312" w:hAnsi="楷体" w:eastAsia="楷体_GB2312" w:cs="楷体"/>
          <w:sz w:val="32"/>
          <w:szCs w:val="32"/>
        </w:rPr>
      </w:pPr>
      <w:r>
        <w:rPr>
          <w:rFonts w:hint="eastAsia" w:ascii="楷体_GB2312" w:hAnsi="楷体" w:eastAsia="楷体_GB2312" w:cs="楷体"/>
          <w:b/>
          <w:bCs/>
          <w:spacing w:val="-13"/>
          <w:sz w:val="32"/>
          <w:szCs w:val="32"/>
        </w:rPr>
        <w:t>202</w:t>
      </w:r>
      <w:r>
        <w:rPr>
          <w:rFonts w:hint="eastAsia" w:ascii="楷体_GB2312" w:hAnsi="楷体" w:eastAsia="楷体_GB2312" w:cs="楷体"/>
          <w:b/>
          <w:bCs/>
          <w:spacing w:val="-13"/>
          <w:sz w:val="32"/>
          <w:szCs w:val="32"/>
          <w:lang w:val="en-US" w:eastAsia="zh-CN"/>
        </w:rPr>
        <w:t>6</w:t>
      </w:r>
      <w:r>
        <w:rPr>
          <w:rFonts w:hint="eastAsia" w:ascii="楷体_GB2312" w:hAnsi="楷体" w:eastAsia="楷体_GB2312" w:cs="楷体"/>
          <w:b/>
          <w:bCs/>
          <w:spacing w:val="-13"/>
          <w:sz w:val="32"/>
          <w:szCs w:val="32"/>
        </w:rPr>
        <w:t>年</w:t>
      </w:r>
      <w:r>
        <w:rPr>
          <w:rFonts w:hint="eastAsia" w:ascii="楷体_GB2312" w:hAnsi="楷体" w:eastAsia="楷体_GB2312" w:cs="楷体"/>
          <w:b/>
          <w:bCs/>
          <w:spacing w:val="-13"/>
          <w:sz w:val="32"/>
          <w:szCs w:val="32"/>
          <w:lang w:val="en-US" w:eastAsia="zh-CN"/>
        </w:rPr>
        <w:t>9</w:t>
      </w:r>
      <w:r>
        <w:rPr>
          <w:rFonts w:hint="eastAsia" w:ascii="楷体_GB2312" w:hAnsi="楷体" w:eastAsia="楷体_GB2312" w:cs="楷体"/>
          <w:spacing w:val="-13"/>
          <w:sz w:val="32"/>
          <w:szCs w:val="32"/>
        </w:rPr>
        <w:t>月10</w:t>
      </w:r>
      <w:r>
        <w:rPr>
          <w:rFonts w:hint="eastAsia" w:ascii="楷体_GB2312" w:hAnsi="楷体" w:eastAsia="楷体_GB2312" w:cs="楷体"/>
          <w:b/>
          <w:bCs/>
          <w:spacing w:val="-13"/>
          <w:sz w:val="32"/>
          <w:szCs w:val="32"/>
        </w:rPr>
        <w:t>日</w:t>
      </w:r>
    </w:p>
    <w:p w14:paraId="4D079E17">
      <w:pPr>
        <w:pStyle w:val="2"/>
        <w:spacing w:before="211"/>
        <w:ind w:firstLine="638"/>
        <w:jc w:val="center"/>
        <w:rPr>
          <w:rFonts w:hint="eastAsia"/>
          <w:b/>
          <w:bCs/>
          <w:spacing w:val="18"/>
          <w:sz w:val="30"/>
          <w:szCs w:val="30"/>
        </w:rPr>
      </w:pPr>
      <w:r>
        <w:rPr>
          <w:rFonts w:hint="eastAsia"/>
          <w:b/>
          <w:bCs/>
          <w:spacing w:val="18"/>
          <w:sz w:val="30"/>
          <w:szCs w:val="30"/>
        </w:rPr>
        <w:t>(此页为封面)</w:t>
      </w:r>
    </w:p>
    <w:p w14:paraId="67D39CA2">
      <w:pPr>
        <w:pStyle w:val="2"/>
        <w:spacing w:before="211"/>
        <w:ind w:firstLine="638"/>
        <w:jc w:val="both"/>
        <w:rPr>
          <w:rFonts w:hint="eastAsia"/>
          <w:b/>
          <w:bCs/>
          <w:spacing w:val="18"/>
          <w:sz w:val="30"/>
          <w:szCs w:val="30"/>
        </w:rPr>
      </w:pPr>
      <w:r>
        <w:rPr>
          <w:rFonts w:hint="eastAsia"/>
          <w:b/>
          <w:bCs/>
          <w:spacing w:val="18"/>
          <w:sz w:val="30"/>
          <w:szCs w:val="30"/>
        </w:rPr>
        <w:t xml:space="preserve"> </w:t>
      </w:r>
    </w:p>
    <w:p w14:paraId="576A4B11">
      <w:pPr>
        <w:pStyle w:val="2"/>
        <w:spacing w:before="211"/>
        <w:ind w:firstLine="560" w:firstLineChars="200"/>
        <w:jc w:val="both"/>
        <w:rPr>
          <w:rFonts w:hint="eastAsia" w:ascii="黑体" w:hAnsi="黑体" w:eastAsia="黑体" w:cs="黑体"/>
          <w:sz w:val="28"/>
          <w:szCs w:val="28"/>
        </w:rPr>
      </w:pPr>
      <w:r>
        <w:rPr>
          <w:rFonts w:hint="eastAsia" w:ascii="黑体" w:hAnsi="黑体" w:eastAsia="黑体" w:cs="黑体"/>
          <w:sz w:val="28"/>
          <w:szCs w:val="28"/>
        </w:rPr>
        <w:t>一、部门(单位)基本情况</w:t>
      </w:r>
    </w:p>
    <w:p w14:paraId="1DC504E7">
      <w:pPr>
        <w:spacing w:line="400" w:lineRule="exact"/>
        <w:ind w:firstLine="482" w:firstLineChars="200"/>
        <w:rPr>
          <w:rFonts w:ascii="仿宋_GB2312" w:hAnsi="Calibri" w:eastAsia="仿宋_GB2312"/>
          <w:b/>
          <w:bCs/>
          <w:sz w:val="24"/>
          <w:szCs w:val="24"/>
        </w:rPr>
      </w:pPr>
      <w:r>
        <w:rPr>
          <w:rFonts w:hint="eastAsia" w:ascii="仿宋_GB2312" w:hAnsi="Calibri" w:eastAsia="仿宋_GB2312"/>
          <w:b/>
          <w:bCs/>
          <w:sz w:val="24"/>
          <w:szCs w:val="24"/>
        </w:rPr>
        <w:t>（一）职能职责</w:t>
      </w:r>
    </w:p>
    <w:p w14:paraId="4C10B292">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（一）负责应急管理工作，指导全县各乡镇各部门应对安全生产类、自然灾害类等突发事件和综合防灾减灾救灾工作。负责安全生产综合监督管理和工矿商贸行业安全生产监督管理工作。</w:t>
      </w:r>
    </w:p>
    <w:p w14:paraId="5B88FCB1">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（二）贯彻实施相关法律法规、部门规章、规程和标准，组织编制全县应急体系建设、安全生产和综合防灾减灾规划，组织拟订相关规范性文件并监督实施。</w:t>
      </w:r>
    </w:p>
    <w:p w14:paraId="16CAA848">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三）指导应急预案体系建设，建立完善事故灾难和自然灾害分级应对制度，组织编制岳阳县总体应急预案和安全生产类、自然灾害类专项预案，综合协调应急预案衔接工作，组织开展预案演练，推动应急避难设施建设。</w:t>
      </w:r>
    </w:p>
    <w:p w14:paraId="08EA3E1F">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（四）牵头推进全县统一的应急管理信息系统建设，负责信息传输渠道的规划和布局，建立监测预警和灾情报告制度，健全自然灾害信息资源获取和共享机制，依法统一发布灾情。</w:t>
      </w:r>
    </w:p>
    <w:p w14:paraId="2F2D7A8F">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（五）组织指导协调安全生产类、自然灾害类等突发事件应急救援，承担县应对灾害指挥部工作，综合研判突发事件发展态势并提出应对建议，协助县委、县政府指定的负责同志组织灾害应急处置工作。</w:t>
      </w:r>
    </w:p>
    <w:p w14:paraId="64868EFA">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（六）统一协调指挥各类应急专业队伍，建立应急协调联动机制，推进指挥平台对接，负责做好解放军和武警部队参与应急救援相关衔接工作。</w:t>
      </w:r>
    </w:p>
    <w:p w14:paraId="0E73BABD">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七）统筹全县应急救援力量建设，负责消防、森林和草原火灾扑救、抗洪抢险、地震和地质灾害救援、生产安全事故救援等专业应急救援力量建设，依权限做好综合性应急救援队伍建设的相关工作，指导社会应急救援力量建设。</w:t>
      </w:r>
    </w:p>
    <w:p w14:paraId="1FE81087">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（八）负责全县消防管理有关工作，指导消防监督、火灾预防、火灾扑救等工作。</w:t>
      </w:r>
    </w:p>
    <w:p w14:paraId="0332BD40">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（九）指导协调全县森林和草原火灾、水旱灾害、地震和地质灾害等防治工作，负责自然灾害综合监测预警工作，指导开展自然灾害综合风险评估工作。</w:t>
      </w:r>
    </w:p>
    <w:p w14:paraId="55B0AD12">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（十）组织协调灾害救助工作，组织指导灾情核查、损失评估、救灾捐赠工作，按权限管理、分配中央、省、市下达和县级救灾款物并监督使用。</w:t>
      </w:r>
    </w:p>
    <w:p w14:paraId="1DFD0125">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（十一）依法行使安全生产综合监督管理职权，指导协调、监督检查县政府有关部门和各乡镇政府安全生产工作，组织开展安全生产巡查、考核工作。</w:t>
      </w:r>
    </w:p>
    <w:p w14:paraId="0E3AFD25">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十二）按照分级、属地原则，依法监督检查工矿商贸生产经营单位贯彻执行安全生产法律法规情况及其安全生产条件和有关设备(特种设备除外)、材料、劳动防护用品的安全生产管理工作。依法组织并指导监督实施安全生产准入制度。负责危险化学品安全监督管理综合工作和烟花爆竹安全生产监督管理工作。</w:t>
      </w:r>
    </w:p>
    <w:p w14:paraId="3B141ED4">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（十三）依法组织指导生产安全事故调查处理，监督事故查处和责任追究落实情况。组织开展自然灾害类突发事件的调查评估工作。</w:t>
      </w:r>
    </w:p>
    <w:p w14:paraId="390B0E36">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（十四）开展应急管理对外交流与合作，组织参与安全生产类、自然灾害类等突发事件的对外救援工作。</w:t>
      </w:r>
    </w:p>
    <w:p w14:paraId="03C8DB2C">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（十五）制定全县应急物资储备和应急救援装备规划并组织实施，会同县商务粮食局等部门建立健全应急物资信息平台和调拨制度，在救灾时统一调度。</w:t>
      </w:r>
    </w:p>
    <w:p w14:paraId="0C3B0F32">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（十六）负责应急管理、安全生产宣传教育和培训工作，组织指导应急管理、安全生产的科学技术研究、推广应用和信息化建设工作。</w:t>
      </w:r>
    </w:p>
    <w:p w14:paraId="21CFD3FE">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（十七）承担县防汛抗旱指挥部日常工作，协调县防汛抗旱指挥部成员单位的相关工作，组织执行国家、省、市防汛抗旱总指挥部、相关流域防汛抗旱指挥机构和县防汛抗旱指挥部的指示、命令。</w:t>
      </w:r>
    </w:p>
    <w:p w14:paraId="609FFA8E">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（十八）完成县委、县政府交办的其他任务。</w:t>
      </w:r>
    </w:p>
    <w:p w14:paraId="6BEEC81D">
      <w:pPr>
        <w:spacing w:line="400" w:lineRule="exact"/>
        <w:ind w:firstLine="482" w:firstLineChars="200"/>
        <w:rPr>
          <w:rFonts w:hint="eastAsia" w:ascii="仿宋_GB2312" w:hAnsi="Calibri" w:eastAsia="仿宋_GB2312"/>
          <w:b/>
          <w:bCs/>
          <w:sz w:val="24"/>
          <w:szCs w:val="24"/>
        </w:rPr>
      </w:pPr>
      <w:r>
        <w:rPr>
          <w:rFonts w:hint="eastAsia" w:ascii="仿宋_GB2312" w:hAnsi="Calibri" w:eastAsia="仿宋_GB2312"/>
          <w:b/>
          <w:bCs/>
          <w:sz w:val="24"/>
          <w:szCs w:val="24"/>
        </w:rPr>
        <w:t>（二）机构设置</w:t>
      </w:r>
    </w:p>
    <w:p w14:paraId="40297AF3">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我局共设6个内设机构：办公室、政工室、安全生产综合协调股、行政审批股、综合防灾减灾股、直管行业安全监管股，下设应急管理综合行政执法大队和应急救援中心两个二级机构。全局在职在编干部4</w:t>
      </w:r>
      <w:r>
        <w:rPr>
          <w:rFonts w:hint="eastAsia" w:ascii="仿宋_GB2312" w:hAnsi="Calibri" w:eastAsia="仿宋_GB2312"/>
          <w:sz w:val="24"/>
          <w:szCs w:val="24"/>
          <w:lang w:val="en-US" w:eastAsia="zh-CN"/>
        </w:rPr>
        <w:t>1</w:t>
      </w:r>
      <w:r>
        <w:rPr>
          <w:rFonts w:hint="eastAsia" w:ascii="仿宋_GB2312" w:hAnsi="Calibri" w:eastAsia="仿宋_GB2312"/>
          <w:sz w:val="24"/>
          <w:szCs w:val="24"/>
        </w:rPr>
        <w:t>人，“三性”用工2人，退休人员</w:t>
      </w:r>
      <w:r>
        <w:rPr>
          <w:rFonts w:hint="eastAsia" w:ascii="仿宋_GB2312" w:hAnsi="Calibri" w:eastAsia="仿宋_GB2312"/>
          <w:sz w:val="24"/>
          <w:szCs w:val="24"/>
          <w:lang w:val="en-US" w:eastAsia="zh-CN"/>
        </w:rPr>
        <w:t>6</w:t>
      </w:r>
      <w:r>
        <w:rPr>
          <w:rFonts w:hint="eastAsia" w:ascii="仿宋_GB2312" w:hAnsi="Calibri" w:eastAsia="仿宋_GB2312"/>
          <w:sz w:val="24"/>
          <w:szCs w:val="24"/>
        </w:rPr>
        <w:t>人。</w:t>
      </w:r>
    </w:p>
    <w:p w14:paraId="268310EA">
      <w:pPr>
        <w:spacing w:line="400" w:lineRule="exact"/>
        <w:ind w:firstLine="480" w:firstLineChars="200"/>
        <w:rPr>
          <w:rFonts w:hint="eastAsia" w:ascii="方正黑体_GBK"/>
          <w:sz w:val="32"/>
          <w:szCs w:val="32"/>
        </w:rPr>
      </w:pPr>
      <w:r>
        <w:rPr>
          <w:rFonts w:hint="eastAsia" w:ascii="仿宋_GB2312" w:hAnsi="Calibri" w:eastAsia="仿宋_GB2312"/>
          <w:sz w:val="24"/>
          <w:szCs w:val="24"/>
        </w:rPr>
        <w:t>本单位二级机构均未实行独立核算，整体支出仅为机关本级支出。</w:t>
      </w:r>
    </w:p>
    <w:p w14:paraId="5B90D1F9">
      <w:pPr>
        <w:spacing w:line="600" w:lineRule="exact"/>
        <w:ind w:firstLine="560" w:firstLineChars="200"/>
        <w:jc w:val="both"/>
        <w:rPr>
          <w:rFonts w:hint="eastAsia" w:ascii="黑体" w:hAnsi="黑体" w:eastAsia="黑体" w:cs="黑体"/>
          <w:sz w:val="28"/>
          <w:szCs w:val="28"/>
        </w:rPr>
      </w:pPr>
      <w:r>
        <w:rPr>
          <w:rFonts w:hint="eastAsia" w:ascii="黑体" w:hAnsi="黑体" w:eastAsia="黑体" w:cs="黑体"/>
          <w:sz w:val="28"/>
          <w:szCs w:val="28"/>
        </w:rPr>
        <w:t>二、一般公共预算支出情况</w:t>
      </w:r>
    </w:p>
    <w:p w14:paraId="662D7149">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年，总收入</w:t>
      </w:r>
      <w:r>
        <w:rPr>
          <w:rFonts w:hint="eastAsia" w:ascii="仿宋_GB2312" w:hAnsi="Calibri" w:eastAsia="仿宋_GB2312"/>
          <w:sz w:val="24"/>
          <w:szCs w:val="24"/>
          <w:lang w:val="en-US" w:eastAsia="zh-CN"/>
        </w:rPr>
        <w:t>3773.83</w:t>
      </w:r>
      <w:r>
        <w:rPr>
          <w:rFonts w:hint="eastAsia" w:ascii="仿宋_GB2312" w:hAnsi="Calibri" w:eastAsia="仿宋_GB2312"/>
          <w:sz w:val="24"/>
          <w:szCs w:val="24"/>
        </w:rPr>
        <w:t>万元，其中公共财政拨款</w:t>
      </w:r>
      <w:r>
        <w:rPr>
          <w:rFonts w:hint="eastAsia" w:ascii="仿宋_GB2312" w:hAnsi="Calibri" w:eastAsia="仿宋_GB2312"/>
          <w:sz w:val="24"/>
          <w:szCs w:val="24"/>
          <w:lang w:val="en-US" w:eastAsia="zh-CN"/>
        </w:rPr>
        <w:t>3299.68</w:t>
      </w:r>
      <w:r>
        <w:rPr>
          <w:rFonts w:hint="eastAsia" w:ascii="仿宋_GB2312" w:hAnsi="Calibri" w:eastAsia="仿宋_GB2312"/>
          <w:sz w:val="24"/>
          <w:szCs w:val="24"/>
        </w:rPr>
        <w:t>万元，政府性基金预算财政拨款收入</w:t>
      </w:r>
      <w:r>
        <w:rPr>
          <w:rFonts w:hint="eastAsia" w:ascii="仿宋_GB2312" w:hAnsi="Calibri" w:eastAsia="仿宋_GB2312"/>
          <w:sz w:val="24"/>
          <w:szCs w:val="24"/>
          <w:lang w:val="en-US" w:eastAsia="zh-CN"/>
        </w:rPr>
        <w:t>424.87</w:t>
      </w:r>
      <w:r>
        <w:rPr>
          <w:rFonts w:hint="eastAsia" w:ascii="仿宋_GB2312" w:hAnsi="Calibri" w:eastAsia="仿宋_GB2312"/>
          <w:sz w:val="24"/>
          <w:szCs w:val="24"/>
        </w:rPr>
        <w:t>万元，上年结转</w:t>
      </w:r>
      <w:r>
        <w:rPr>
          <w:rFonts w:hint="eastAsia" w:ascii="仿宋_GB2312" w:hAnsi="Calibri" w:eastAsia="仿宋_GB2312"/>
          <w:sz w:val="24"/>
          <w:szCs w:val="24"/>
          <w:lang w:val="en-US" w:eastAsia="zh-CN"/>
        </w:rPr>
        <w:t>0</w:t>
      </w:r>
      <w:r>
        <w:rPr>
          <w:rFonts w:hint="eastAsia" w:ascii="仿宋_GB2312" w:hAnsi="Calibri" w:eastAsia="仿宋_GB2312"/>
          <w:sz w:val="24"/>
          <w:szCs w:val="24"/>
        </w:rPr>
        <w:t>万元，其他收入</w:t>
      </w:r>
      <w:r>
        <w:rPr>
          <w:rFonts w:hint="eastAsia" w:ascii="仿宋_GB2312" w:hAnsi="Calibri" w:eastAsia="仿宋_GB2312"/>
          <w:sz w:val="24"/>
          <w:szCs w:val="24"/>
          <w:lang w:val="en-US" w:eastAsia="zh-CN"/>
        </w:rPr>
        <w:t>8.9</w:t>
      </w:r>
      <w:r>
        <w:rPr>
          <w:rFonts w:hint="eastAsia" w:ascii="仿宋_GB2312" w:hAnsi="Calibri" w:eastAsia="仿宋_GB2312"/>
          <w:sz w:val="24"/>
          <w:szCs w:val="24"/>
        </w:rPr>
        <w:t>万元。总支出</w:t>
      </w:r>
      <w:r>
        <w:rPr>
          <w:rFonts w:hint="eastAsia" w:ascii="仿宋_GB2312" w:hAnsi="Calibri" w:eastAsia="仿宋_GB2312"/>
          <w:sz w:val="24"/>
          <w:szCs w:val="24"/>
          <w:lang w:val="en-US" w:eastAsia="zh-CN"/>
        </w:rPr>
        <w:t>3773.18</w:t>
      </w:r>
      <w:r>
        <w:rPr>
          <w:rFonts w:hint="eastAsia" w:ascii="仿宋_GB2312" w:hAnsi="Calibri" w:eastAsia="仿宋_GB2312"/>
          <w:sz w:val="24"/>
          <w:szCs w:val="24"/>
        </w:rPr>
        <w:t>万元，其中基本支出</w:t>
      </w:r>
      <w:r>
        <w:rPr>
          <w:rFonts w:hint="eastAsia" w:ascii="仿宋_GB2312" w:hAnsi="Calibri" w:eastAsia="仿宋_GB2312"/>
          <w:sz w:val="24"/>
          <w:szCs w:val="24"/>
          <w:lang w:val="en-US" w:eastAsia="zh-CN"/>
        </w:rPr>
        <w:t>631.04</w:t>
      </w:r>
      <w:r>
        <w:rPr>
          <w:rFonts w:hint="eastAsia" w:ascii="仿宋_GB2312" w:hAnsi="Calibri" w:eastAsia="仿宋_GB2312"/>
          <w:sz w:val="24"/>
          <w:szCs w:val="24"/>
        </w:rPr>
        <w:t>万元，项目支出</w:t>
      </w:r>
      <w:r>
        <w:rPr>
          <w:rFonts w:hint="eastAsia" w:ascii="仿宋_GB2312" w:hAnsi="Calibri" w:eastAsia="仿宋_GB2312"/>
          <w:sz w:val="24"/>
          <w:szCs w:val="24"/>
          <w:lang w:val="en-US" w:eastAsia="zh-CN"/>
        </w:rPr>
        <w:t>3142.14</w:t>
      </w:r>
      <w:r>
        <w:rPr>
          <w:rFonts w:hint="eastAsia" w:ascii="仿宋_GB2312" w:hAnsi="Calibri" w:eastAsia="仿宋_GB2312"/>
          <w:sz w:val="24"/>
          <w:szCs w:val="24"/>
        </w:rPr>
        <w:t>万元，结余</w:t>
      </w:r>
      <w:r>
        <w:rPr>
          <w:rFonts w:hint="eastAsia" w:ascii="仿宋_GB2312" w:hAnsi="Calibri" w:eastAsia="仿宋_GB2312"/>
          <w:sz w:val="24"/>
          <w:szCs w:val="24"/>
          <w:lang w:val="en-US" w:eastAsia="zh-CN"/>
        </w:rPr>
        <w:t>0.65</w:t>
      </w:r>
      <w:r>
        <w:rPr>
          <w:rFonts w:hint="eastAsia" w:ascii="仿宋_GB2312" w:hAnsi="Calibri" w:eastAsia="仿宋_GB2312"/>
          <w:sz w:val="24"/>
          <w:szCs w:val="24"/>
        </w:rPr>
        <w:t xml:space="preserve">万元。  </w:t>
      </w:r>
    </w:p>
    <w:p w14:paraId="6BA6F22B">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（一）基本支出情况</w:t>
      </w:r>
    </w:p>
    <w:p w14:paraId="21ED39D7">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720" w:firstLineChars="300"/>
        <w:textAlignment w:val="auto"/>
        <w:rPr>
          <w:rFonts w:hint="eastAsia" w:ascii="仿宋_GB2312" w:hAnsi="Calibri" w:eastAsia="仿宋_GB2312"/>
          <w:sz w:val="24"/>
          <w:szCs w:val="24"/>
        </w:rPr>
      </w:pPr>
      <w:r>
        <w:rPr>
          <w:rFonts w:hint="eastAsia" w:ascii="仿宋_GB2312" w:hAnsi="Calibri" w:eastAsia="仿宋_GB2312"/>
          <w:sz w:val="24"/>
          <w:szCs w:val="24"/>
        </w:rPr>
        <w:t>是指为保障单位机构正常运转、完成日常工作任务而发生的各项支出，包括用于基本工资、津贴补贴等人员经费以及办公费、印刷费、水电费、办公设备购置等日常公用经费。202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年基本支出</w:t>
      </w:r>
      <w:r>
        <w:rPr>
          <w:rFonts w:hint="eastAsia" w:ascii="仿宋_GB2312" w:hAnsi="Calibri" w:eastAsia="仿宋_GB2312"/>
          <w:sz w:val="24"/>
          <w:szCs w:val="24"/>
          <w:lang w:val="en-US" w:eastAsia="zh-CN"/>
        </w:rPr>
        <w:t>631.04</w:t>
      </w:r>
      <w:r>
        <w:rPr>
          <w:rFonts w:hint="eastAsia" w:ascii="仿宋_GB2312" w:hAnsi="Calibri" w:eastAsia="仿宋_GB2312"/>
          <w:sz w:val="24"/>
          <w:szCs w:val="24"/>
        </w:rPr>
        <w:t>万元，其中人员支出</w:t>
      </w:r>
      <w:r>
        <w:rPr>
          <w:rFonts w:hint="eastAsia" w:ascii="仿宋_GB2312" w:hAnsi="Calibri" w:eastAsia="仿宋_GB2312"/>
          <w:sz w:val="24"/>
          <w:szCs w:val="24"/>
          <w:lang w:val="en-US" w:eastAsia="zh-CN"/>
        </w:rPr>
        <w:t>543.91</w:t>
      </w:r>
      <w:r>
        <w:rPr>
          <w:rFonts w:hint="eastAsia" w:ascii="仿宋_GB2312" w:hAnsi="Calibri" w:eastAsia="仿宋_GB2312"/>
          <w:sz w:val="24"/>
          <w:szCs w:val="24"/>
        </w:rPr>
        <w:t>万，公用支出</w:t>
      </w:r>
      <w:r>
        <w:rPr>
          <w:rFonts w:hint="eastAsia" w:ascii="仿宋_GB2312" w:hAnsi="Calibri" w:eastAsia="仿宋_GB2312"/>
          <w:sz w:val="24"/>
          <w:szCs w:val="24"/>
          <w:lang w:val="en-US" w:eastAsia="zh-CN"/>
        </w:rPr>
        <w:t>87.13</w:t>
      </w:r>
      <w:r>
        <w:rPr>
          <w:rFonts w:hint="eastAsia" w:ascii="仿宋_GB2312" w:hAnsi="Calibri" w:eastAsia="仿宋_GB2312"/>
          <w:sz w:val="24"/>
          <w:szCs w:val="24"/>
        </w:rPr>
        <w:t>万元，“三公”经费共支出</w:t>
      </w:r>
      <w:r>
        <w:rPr>
          <w:rFonts w:hint="eastAsia" w:ascii="仿宋_GB2312" w:hAnsi="Calibri" w:eastAsia="仿宋_GB2312"/>
          <w:sz w:val="24"/>
          <w:szCs w:val="24"/>
          <w:lang w:val="en-US" w:eastAsia="zh-CN"/>
        </w:rPr>
        <w:t>14.08</w:t>
      </w:r>
      <w:r>
        <w:rPr>
          <w:rFonts w:hint="eastAsia" w:ascii="仿宋_GB2312" w:hAnsi="Calibri" w:eastAsia="仿宋_GB2312"/>
          <w:sz w:val="24"/>
          <w:szCs w:val="24"/>
        </w:rPr>
        <w:t>万元，其中公务接待费</w:t>
      </w:r>
      <w:r>
        <w:rPr>
          <w:rFonts w:hint="eastAsia" w:ascii="仿宋_GB2312" w:hAnsi="Calibri" w:eastAsia="仿宋_GB2312"/>
          <w:sz w:val="24"/>
          <w:szCs w:val="24"/>
          <w:lang w:val="en-US" w:eastAsia="zh-CN"/>
        </w:rPr>
        <w:t>0.08</w:t>
      </w:r>
      <w:r>
        <w:rPr>
          <w:rFonts w:hint="eastAsia" w:ascii="仿宋_GB2312" w:hAnsi="Calibri" w:eastAsia="仿宋_GB2312"/>
          <w:sz w:val="24"/>
          <w:szCs w:val="24"/>
        </w:rPr>
        <w:t>万元，</w:t>
      </w:r>
      <w:r>
        <w:rPr>
          <w:rFonts w:hint="eastAsia" w:ascii="仿宋_GB2312" w:hAnsi="Calibri" w:eastAsia="仿宋_GB2312"/>
          <w:sz w:val="24"/>
          <w:szCs w:val="24"/>
          <w:lang w:val="en-US" w:eastAsia="zh-CN"/>
        </w:rPr>
        <w:t>比</w:t>
      </w:r>
      <w:r>
        <w:rPr>
          <w:rFonts w:hint="eastAsia" w:ascii="仿宋_GB2312" w:hAnsi="Calibri" w:eastAsia="仿宋_GB2312"/>
          <w:sz w:val="24"/>
          <w:szCs w:val="24"/>
          <w:lang w:eastAsia="zh-CN"/>
        </w:rPr>
        <w:t>预算少</w:t>
      </w:r>
      <w:r>
        <w:rPr>
          <w:rFonts w:hint="eastAsia" w:ascii="仿宋_GB2312" w:hAnsi="Calibri" w:eastAsia="仿宋_GB2312"/>
          <w:sz w:val="24"/>
          <w:szCs w:val="24"/>
          <w:lang w:val="en-US" w:eastAsia="zh-CN"/>
        </w:rPr>
        <w:t>0.92万元</w:t>
      </w:r>
      <w:r>
        <w:rPr>
          <w:rFonts w:hint="eastAsia" w:ascii="仿宋_GB2312" w:hAnsi="Calibri" w:eastAsia="仿宋_GB2312"/>
          <w:sz w:val="24"/>
          <w:szCs w:val="24"/>
          <w:lang w:eastAsia="zh-CN"/>
        </w:rPr>
        <w:t>，主要原因为是</w:t>
      </w:r>
      <w:r>
        <w:rPr>
          <w:rFonts w:hint="eastAsia" w:ascii="仿宋_GB2312" w:hAnsi="Calibri" w:eastAsia="仿宋_GB2312"/>
          <w:sz w:val="24"/>
          <w:szCs w:val="24"/>
          <w:lang w:val="en-US" w:eastAsia="zh-CN"/>
        </w:rPr>
        <w:t>严格规范公务接待制度。</w:t>
      </w:r>
      <w:r>
        <w:rPr>
          <w:rFonts w:hint="eastAsia" w:ascii="仿宋_GB2312" w:hAnsi="Calibri" w:eastAsia="仿宋_GB2312"/>
          <w:sz w:val="24"/>
          <w:szCs w:val="24"/>
          <w:lang w:eastAsia="zh-CN"/>
        </w:rPr>
        <w:t>公务用车运行维护费</w:t>
      </w:r>
      <w:r>
        <w:rPr>
          <w:rFonts w:hint="eastAsia" w:ascii="仿宋_GB2312" w:hAnsi="Calibri" w:eastAsia="仿宋_GB2312"/>
          <w:sz w:val="24"/>
          <w:szCs w:val="24"/>
          <w:lang w:val="en-US" w:eastAsia="zh-CN"/>
        </w:rPr>
        <w:t>14万元，比年初预算多6万元，主要原因是国债项目资金配置了多台应急救援车辆</w:t>
      </w:r>
      <w:r>
        <w:rPr>
          <w:rFonts w:hint="eastAsia" w:ascii="仿宋_GB2312" w:eastAsia="仿宋_GB2312"/>
          <w:sz w:val="24"/>
          <w:szCs w:val="24"/>
          <w:lang w:val="en-US" w:eastAsia="zh-CN"/>
        </w:rPr>
        <w:t>和特种车辆</w:t>
      </w:r>
      <w:r>
        <w:rPr>
          <w:rFonts w:hint="eastAsia" w:ascii="仿宋_GB2312" w:hAnsi="Calibri" w:eastAsia="仿宋_GB2312"/>
          <w:sz w:val="24"/>
          <w:szCs w:val="24"/>
          <w:lang w:val="en-US" w:eastAsia="zh-CN"/>
        </w:rPr>
        <w:t>，增加了上户费用、保险支出和燃料费用。</w:t>
      </w:r>
    </w:p>
    <w:p w14:paraId="77421D66">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lang w:eastAsia="zh-CN"/>
        </w:rPr>
        <w:t>（二）</w:t>
      </w:r>
      <w:r>
        <w:rPr>
          <w:rFonts w:hint="eastAsia" w:ascii="仿宋_GB2312" w:hAnsi="Calibri" w:eastAsia="仿宋_GB2312"/>
          <w:sz w:val="24"/>
          <w:szCs w:val="24"/>
        </w:rPr>
        <w:t>项目支出情况</w:t>
      </w:r>
    </w:p>
    <w:p w14:paraId="55734D07">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年项目支出年初预算收入为</w:t>
      </w:r>
      <w:r>
        <w:rPr>
          <w:rFonts w:hint="eastAsia" w:ascii="仿宋_GB2312" w:hAnsi="Calibri" w:eastAsia="仿宋_GB2312"/>
          <w:sz w:val="24"/>
          <w:szCs w:val="24"/>
          <w:lang w:val="en-US" w:eastAsia="zh-CN"/>
        </w:rPr>
        <w:t>294.5</w:t>
      </w:r>
      <w:r>
        <w:rPr>
          <w:rFonts w:hint="eastAsia" w:ascii="仿宋_GB2312" w:hAnsi="Calibri" w:eastAsia="仿宋_GB2312"/>
          <w:sz w:val="24"/>
          <w:szCs w:val="24"/>
        </w:rPr>
        <w:t>万元，年中追加</w:t>
      </w:r>
      <w:r>
        <w:rPr>
          <w:rFonts w:hint="eastAsia" w:ascii="仿宋_GB2312" w:hAnsi="Calibri" w:eastAsia="仿宋_GB2312"/>
          <w:sz w:val="24"/>
          <w:szCs w:val="24"/>
          <w:lang w:val="en-US" w:eastAsia="zh-CN"/>
        </w:rPr>
        <w:t>2847.64</w:t>
      </w:r>
      <w:r>
        <w:rPr>
          <w:rFonts w:hint="eastAsia" w:ascii="仿宋_GB2312" w:hAnsi="Calibri" w:eastAsia="仿宋_GB2312"/>
          <w:sz w:val="24"/>
          <w:szCs w:val="24"/>
        </w:rPr>
        <w:t>万元</w:t>
      </w:r>
      <w:r>
        <w:rPr>
          <w:rFonts w:hint="eastAsia" w:ascii="仿宋_GB2312" w:hAnsi="Calibri" w:eastAsia="仿宋_GB2312"/>
          <w:sz w:val="24"/>
          <w:szCs w:val="24"/>
          <w:lang w:eastAsia="zh-CN"/>
        </w:rPr>
        <w:t>，</w:t>
      </w:r>
      <w:r>
        <w:rPr>
          <w:rFonts w:hint="eastAsia" w:ascii="仿宋_GB2312" w:hAnsi="Calibri" w:eastAsia="仿宋_GB2312"/>
          <w:sz w:val="24"/>
          <w:szCs w:val="24"/>
        </w:rPr>
        <w:t>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年决算支出为</w:t>
      </w:r>
      <w:r>
        <w:rPr>
          <w:rFonts w:hint="eastAsia" w:ascii="仿宋_GB2312" w:hAnsi="Calibri" w:eastAsia="仿宋_GB2312"/>
          <w:sz w:val="24"/>
          <w:szCs w:val="24"/>
          <w:lang w:val="en-US" w:eastAsia="zh-CN"/>
        </w:rPr>
        <w:t>3142.14</w:t>
      </w:r>
      <w:r>
        <w:rPr>
          <w:rFonts w:hint="eastAsia" w:ascii="仿宋_GB2312" w:hAnsi="Calibri" w:eastAsia="仿宋_GB2312"/>
          <w:sz w:val="24"/>
          <w:szCs w:val="24"/>
        </w:rPr>
        <w:t>万元。其中</w:t>
      </w:r>
      <w:r>
        <w:rPr>
          <w:rFonts w:hint="eastAsia" w:ascii="仿宋_GB2312" w:hAnsi="Calibri" w:eastAsia="仿宋_GB2312"/>
          <w:sz w:val="24"/>
          <w:szCs w:val="24"/>
          <w:lang w:eastAsia="zh-CN"/>
        </w:rPr>
        <w:t>自然灾害救助资金</w:t>
      </w:r>
      <w:r>
        <w:rPr>
          <w:rFonts w:hint="eastAsia" w:ascii="仿宋_GB2312" w:hAnsi="Calibri" w:eastAsia="仿宋_GB2312"/>
          <w:sz w:val="24"/>
          <w:szCs w:val="24"/>
        </w:rPr>
        <w:t>经费</w:t>
      </w:r>
      <w:r>
        <w:rPr>
          <w:rFonts w:hint="eastAsia" w:ascii="仿宋_GB2312" w:hAnsi="Calibri" w:eastAsia="仿宋_GB2312"/>
          <w:sz w:val="24"/>
          <w:szCs w:val="24"/>
          <w:lang w:val="en-US" w:eastAsia="zh-CN"/>
        </w:rPr>
        <w:t>1432.97</w:t>
      </w:r>
      <w:r>
        <w:rPr>
          <w:rFonts w:hint="eastAsia" w:ascii="仿宋_GB2312" w:hAnsi="Calibri" w:eastAsia="仿宋_GB2312"/>
          <w:sz w:val="24"/>
          <w:szCs w:val="24"/>
        </w:rPr>
        <w:t>万元，</w:t>
      </w:r>
      <w:r>
        <w:rPr>
          <w:rFonts w:hint="eastAsia" w:ascii="仿宋_GB2312" w:hAnsi="Calibri" w:eastAsia="仿宋_GB2312"/>
          <w:sz w:val="24"/>
          <w:szCs w:val="24"/>
          <w:lang w:eastAsia="zh-CN"/>
        </w:rPr>
        <w:t>国债项目资金</w:t>
      </w:r>
      <w:r>
        <w:rPr>
          <w:rFonts w:hint="eastAsia" w:ascii="仿宋_GB2312" w:hAnsi="Calibri" w:eastAsia="仿宋_GB2312"/>
          <w:sz w:val="24"/>
          <w:szCs w:val="24"/>
          <w:lang w:val="en-US" w:eastAsia="zh-CN"/>
        </w:rPr>
        <w:t>205.59万元，</w:t>
      </w:r>
      <w:r>
        <w:rPr>
          <w:rFonts w:hint="eastAsia" w:ascii="仿宋_GB2312" w:hAnsi="Calibri" w:eastAsia="仿宋_GB2312"/>
          <w:sz w:val="24"/>
          <w:szCs w:val="24"/>
        </w:rPr>
        <w:t>其他项目支出</w:t>
      </w:r>
      <w:r>
        <w:rPr>
          <w:rFonts w:hint="eastAsia" w:ascii="仿宋_GB2312" w:hAnsi="Calibri" w:eastAsia="仿宋_GB2312"/>
          <w:sz w:val="24"/>
          <w:szCs w:val="24"/>
          <w:lang w:val="en-US" w:eastAsia="zh-CN"/>
        </w:rPr>
        <w:t>1503.58</w:t>
      </w:r>
      <w:r>
        <w:rPr>
          <w:rFonts w:hint="eastAsia" w:ascii="仿宋_GB2312" w:hAnsi="Calibri" w:eastAsia="仿宋_GB2312"/>
          <w:sz w:val="24"/>
          <w:szCs w:val="24"/>
        </w:rPr>
        <w:t>万元。</w:t>
      </w:r>
    </w:p>
    <w:p w14:paraId="4417E512">
      <w:pPr>
        <w:spacing w:line="400" w:lineRule="exact"/>
        <w:ind w:firstLine="480" w:firstLineChars="200"/>
        <w:rPr>
          <w:rFonts w:hint="default" w:ascii="仿宋_GB2312" w:hAnsi="Calibri" w:eastAsia="仿宋_GB2312"/>
          <w:sz w:val="24"/>
          <w:szCs w:val="24"/>
          <w:lang w:val="en-US" w:eastAsia="zh-CN"/>
        </w:rPr>
      </w:pPr>
      <w:r>
        <w:rPr>
          <w:rFonts w:hint="eastAsia" w:ascii="仿宋_GB2312" w:hAnsi="Calibri" w:eastAsia="仿宋_GB2312"/>
          <w:sz w:val="24"/>
          <w:szCs w:val="24"/>
          <w:lang w:val="en-US" w:eastAsia="zh-CN"/>
        </w:rPr>
        <w:t>1</w:t>
      </w:r>
      <w:r>
        <w:rPr>
          <w:rFonts w:hint="eastAsia" w:ascii="仿宋_GB2312" w:hAnsi="Calibri" w:eastAsia="仿宋_GB2312"/>
          <w:sz w:val="24"/>
          <w:szCs w:val="24"/>
        </w:rPr>
        <w:t>.</w:t>
      </w:r>
      <w:r>
        <w:rPr>
          <w:rFonts w:hint="eastAsia" w:ascii="仿宋_GB2312" w:hAnsi="Calibri" w:eastAsia="仿宋_GB2312"/>
          <w:sz w:val="24"/>
          <w:szCs w:val="24"/>
          <w:lang w:eastAsia="zh-CN"/>
        </w:rPr>
        <w:t>自然灾害救助资金</w:t>
      </w:r>
      <w:r>
        <w:rPr>
          <w:rFonts w:hint="eastAsia" w:ascii="仿宋_GB2312" w:hAnsi="Calibri" w:eastAsia="仿宋_GB2312"/>
          <w:sz w:val="24"/>
          <w:szCs w:val="24"/>
        </w:rPr>
        <w:t>。</w:t>
      </w:r>
      <w:r>
        <w:rPr>
          <w:rFonts w:hint="eastAsia" w:ascii="仿宋_GB2312" w:hAnsi="Calibri" w:eastAsia="仿宋_GB2312"/>
          <w:sz w:val="24"/>
          <w:szCs w:val="24"/>
          <w:lang w:eastAsia="zh-CN"/>
        </w:rPr>
        <w:t>自然灾害救助资金</w:t>
      </w:r>
      <w:r>
        <w:rPr>
          <w:rFonts w:hint="eastAsia" w:ascii="仿宋_GB2312" w:hAnsi="Calibri" w:eastAsia="仿宋_GB2312"/>
          <w:sz w:val="24"/>
          <w:szCs w:val="24"/>
        </w:rPr>
        <w:t>指</w:t>
      </w:r>
      <w:r>
        <w:rPr>
          <w:rFonts w:hint="eastAsia" w:ascii="仿宋_GB2312" w:hAnsi="Calibri" w:eastAsia="仿宋_GB2312"/>
          <w:sz w:val="24"/>
          <w:szCs w:val="24"/>
          <w:lang w:eastAsia="zh-CN"/>
        </w:rPr>
        <w:t>中央、省级自然灾害救灾资金，</w:t>
      </w:r>
      <w:r>
        <w:rPr>
          <w:rFonts w:hint="eastAsia" w:ascii="仿宋_GB2312" w:hAnsi="Calibri" w:eastAsia="仿宋_GB2312"/>
          <w:sz w:val="24"/>
          <w:szCs w:val="24"/>
        </w:rPr>
        <w:t>是上级专项资金，主要包括：中央自然灾害救灾补助资金</w:t>
      </w:r>
      <w:r>
        <w:rPr>
          <w:rFonts w:hint="eastAsia" w:ascii="仿宋_GB2312" w:hAnsi="Calibri" w:eastAsia="仿宋_GB2312"/>
          <w:sz w:val="24"/>
          <w:szCs w:val="24"/>
          <w:lang w:eastAsia="zh-CN"/>
        </w:rPr>
        <w:t>（第七批）</w:t>
      </w:r>
      <w:r>
        <w:rPr>
          <w:rFonts w:hint="eastAsia" w:ascii="仿宋_GB2312" w:hAnsi="Calibri" w:eastAsia="仿宋_GB2312"/>
          <w:sz w:val="24"/>
          <w:szCs w:val="24"/>
          <w:lang w:val="en-US" w:eastAsia="zh-CN"/>
        </w:rPr>
        <w:t>10</w:t>
      </w:r>
      <w:r>
        <w:rPr>
          <w:rFonts w:hint="eastAsia" w:ascii="仿宋_GB2312" w:hAnsi="Calibri" w:eastAsia="仿宋_GB2312"/>
          <w:sz w:val="24"/>
          <w:szCs w:val="24"/>
        </w:rPr>
        <w:t>万元，中央自然灾害</w:t>
      </w:r>
      <w:r>
        <w:rPr>
          <w:rFonts w:hint="eastAsia" w:ascii="仿宋_GB2312" w:hAnsi="Calibri" w:eastAsia="仿宋_GB2312"/>
          <w:sz w:val="24"/>
          <w:szCs w:val="24"/>
          <w:lang w:eastAsia="zh-CN"/>
        </w:rPr>
        <w:t>清算</w:t>
      </w:r>
      <w:r>
        <w:rPr>
          <w:rFonts w:hint="eastAsia" w:ascii="仿宋_GB2312" w:hAnsi="Calibri" w:eastAsia="仿宋_GB2312"/>
          <w:sz w:val="24"/>
          <w:szCs w:val="24"/>
        </w:rPr>
        <w:t>资金</w:t>
      </w:r>
      <w:r>
        <w:rPr>
          <w:rFonts w:hint="eastAsia" w:ascii="仿宋_GB2312" w:hAnsi="Calibri" w:eastAsia="仿宋_GB2312"/>
          <w:sz w:val="24"/>
          <w:szCs w:val="24"/>
          <w:lang w:val="en-US" w:eastAsia="zh-CN"/>
        </w:rPr>
        <w:t>66万元，</w:t>
      </w:r>
      <w:r>
        <w:rPr>
          <w:rFonts w:hint="eastAsia" w:ascii="仿宋_GB2312" w:hAnsi="Calibri" w:eastAsia="仿宋_GB2312"/>
          <w:sz w:val="24"/>
          <w:szCs w:val="24"/>
        </w:rPr>
        <w:t>中央自然灾害救灾</w:t>
      </w:r>
      <w:r>
        <w:rPr>
          <w:rFonts w:hint="eastAsia" w:ascii="仿宋_GB2312" w:hAnsi="Calibri" w:eastAsia="仿宋_GB2312"/>
          <w:sz w:val="24"/>
          <w:szCs w:val="24"/>
          <w:lang w:eastAsia="zh-CN"/>
        </w:rPr>
        <w:t>（冬春临时生活困难救助）</w:t>
      </w:r>
      <w:r>
        <w:rPr>
          <w:rFonts w:hint="eastAsia" w:ascii="仿宋_GB2312" w:hAnsi="Calibri" w:eastAsia="仿宋_GB2312"/>
          <w:sz w:val="24"/>
          <w:szCs w:val="24"/>
        </w:rPr>
        <w:t>资金</w:t>
      </w:r>
      <w:r>
        <w:rPr>
          <w:rFonts w:hint="eastAsia" w:ascii="仿宋_GB2312" w:hAnsi="Calibri" w:eastAsia="仿宋_GB2312"/>
          <w:sz w:val="24"/>
          <w:szCs w:val="24"/>
          <w:lang w:val="en-US" w:eastAsia="zh-CN"/>
        </w:rPr>
        <w:t>1174.97万元;省级自然灾害生活救助资金（第四批）82万元，省级自然灾害生活救助资金（第一批）100万元，全部用于受灾群众的生活救助。</w:t>
      </w:r>
    </w:p>
    <w:p w14:paraId="537866C7">
      <w:pPr>
        <w:spacing w:line="400" w:lineRule="exact"/>
        <w:ind w:firstLine="480" w:firstLineChars="200"/>
        <w:rPr>
          <w:rFonts w:hint="default" w:ascii="仿宋_GB2312" w:hAnsi="Calibri" w:eastAsia="仿宋_GB2312"/>
          <w:sz w:val="24"/>
          <w:szCs w:val="24"/>
          <w:lang w:val="en-US" w:eastAsia="zh-CN"/>
        </w:rPr>
      </w:pPr>
      <w:r>
        <w:rPr>
          <w:rFonts w:hint="eastAsia" w:ascii="仿宋_GB2312" w:hAnsi="Calibri" w:eastAsia="仿宋_GB2312"/>
          <w:sz w:val="24"/>
          <w:szCs w:val="24"/>
          <w:lang w:val="en-US" w:eastAsia="zh-CN"/>
        </w:rPr>
        <w:t>2.国债项目资金。国债项目资金指</w:t>
      </w:r>
      <w:r>
        <w:rPr>
          <w:rFonts w:hint="eastAsia" w:ascii="仿宋_GB2312" w:hAnsi="Calibri" w:eastAsia="仿宋_GB2312"/>
          <w:sz w:val="24"/>
          <w:szCs w:val="24"/>
          <w:lang w:eastAsia="zh-CN"/>
        </w:rPr>
        <w:t>自然灾害应急能力提升工程消防装备建设国债项目，</w:t>
      </w:r>
      <w:r>
        <w:rPr>
          <w:rFonts w:hint="eastAsia" w:ascii="仿宋_GB2312" w:hAnsi="Calibri" w:eastAsia="仿宋_GB2312"/>
          <w:sz w:val="24"/>
          <w:szCs w:val="24"/>
          <w:lang w:val="en-US" w:eastAsia="zh-CN"/>
        </w:rPr>
        <w:t>2025年共支付205.59万元。</w:t>
      </w:r>
    </w:p>
    <w:p w14:paraId="5BD491A5">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lang w:val="en-US" w:eastAsia="zh-CN"/>
        </w:rPr>
        <w:t>3</w:t>
      </w:r>
      <w:r>
        <w:rPr>
          <w:rFonts w:hint="eastAsia" w:ascii="仿宋_GB2312" w:hAnsi="Calibri" w:eastAsia="仿宋_GB2312"/>
          <w:sz w:val="24"/>
          <w:szCs w:val="24"/>
          <w:lang w:eastAsia="zh-CN"/>
        </w:rPr>
        <w:t>.</w:t>
      </w:r>
      <w:r>
        <w:rPr>
          <w:rFonts w:hint="eastAsia" w:ascii="仿宋_GB2312" w:hAnsi="Calibri" w:eastAsia="仿宋_GB2312"/>
          <w:sz w:val="24"/>
          <w:szCs w:val="24"/>
          <w:lang w:eastAsia="zh-CN"/>
        </w:rPr>
        <w:t>其他项目支出。</w:t>
      </w:r>
      <w:r>
        <w:rPr>
          <w:rFonts w:hint="eastAsia" w:ascii="仿宋_GB2312" w:hAnsi="Calibri" w:eastAsia="仿宋_GB2312"/>
          <w:sz w:val="24"/>
          <w:szCs w:val="24"/>
          <w:lang w:eastAsia="zh-CN"/>
        </w:rPr>
        <w:t>其他项目支出是县本级项目，主要用于保</w:t>
      </w:r>
      <w:r>
        <w:rPr>
          <w:rFonts w:hint="eastAsia" w:ascii="仿宋_GB2312" w:hAnsi="Calibri" w:eastAsia="仿宋_GB2312"/>
          <w:sz w:val="24"/>
          <w:szCs w:val="24"/>
        </w:rPr>
        <w:t>障防汛抗旱指挥部办公室和森林防灭火指挥部办公室履行职能职责，开展应急演练、培训等；进行安全生产专项整治 ，开展隐患排查、打非治违；开展危化、非煤矿山、工贸烟花直管行业安全生产监管；确保应急指挥中心365天24小时应急处突值班；积极开展防灾减灾救灾活动及消防物资采购、宣传及隐患排查开支。</w:t>
      </w:r>
    </w:p>
    <w:p w14:paraId="63E80564">
      <w:pPr>
        <w:spacing w:line="40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三、政府性基金预算支出情况</w:t>
      </w:r>
    </w:p>
    <w:p w14:paraId="2A262026">
      <w:pPr>
        <w:spacing w:line="400" w:lineRule="exact"/>
        <w:ind w:firstLine="480" w:firstLineChars="200"/>
        <w:rPr>
          <w:rFonts w:hint="eastAsia" w:ascii="仿宋_GB2312" w:hAnsi="Calibri" w:eastAsia="仿宋_GB2312"/>
          <w:sz w:val="24"/>
          <w:szCs w:val="24"/>
          <w:lang w:val="en-US" w:eastAsia="zh-CN"/>
        </w:rPr>
      </w:pPr>
      <w:r>
        <w:rPr>
          <w:rFonts w:hint="eastAsia" w:ascii="仿宋_GB2312" w:hAnsi="Calibri" w:eastAsia="仿宋_GB2312"/>
          <w:sz w:val="24"/>
          <w:szCs w:val="24"/>
        </w:rPr>
        <w:t>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年度本单位政府性基金预算支出</w:t>
      </w:r>
      <w:r>
        <w:rPr>
          <w:rFonts w:hint="eastAsia" w:ascii="仿宋_GB2312" w:hAnsi="Calibri" w:eastAsia="仿宋_GB2312"/>
          <w:sz w:val="24"/>
          <w:szCs w:val="24"/>
          <w:lang w:val="en-US" w:eastAsia="zh-CN"/>
        </w:rPr>
        <w:t>424.87万元，主要用于智慧应急项目和新办公楼维修改造支出。</w:t>
      </w:r>
    </w:p>
    <w:p w14:paraId="59884488">
      <w:pPr>
        <w:spacing w:line="40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四、国有资本经营预算支出情况</w:t>
      </w:r>
    </w:p>
    <w:p w14:paraId="24CE1B5B">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年度本单位无国有资本经营预算支出。</w:t>
      </w:r>
    </w:p>
    <w:p w14:paraId="730E49D0">
      <w:pPr>
        <w:spacing w:line="40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五、社会保险基金预算支出情况</w:t>
      </w:r>
    </w:p>
    <w:p w14:paraId="48BA26E3">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年度本单位无社会保险基金预算支出。</w:t>
      </w:r>
    </w:p>
    <w:p w14:paraId="635ACE91">
      <w:pPr>
        <w:spacing w:line="40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六、部门整体支出绩效情况</w:t>
      </w:r>
    </w:p>
    <w:p w14:paraId="74116746">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年，在县委、县政府坚强领导和各级各部门共同努力下，全县安全生产形势总体平稳。全</w:t>
      </w:r>
      <w:r>
        <w:rPr>
          <w:rFonts w:hint="eastAsia" w:ascii="仿宋_GB2312" w:hAnsi="Calibri" w:eastAsia="仿宋_GB2312"/>
          <w:sz w:val="24"/>
          <w:szCs w:val="24"/>
          <w:lang w:eastAsia="zh-CN"/>
        </w:rPr>
        <w:t>县</w:t>
      </w:r>
      <w:r>
        <w:rPr>
          <w:rFonts w:hint="eastAsia" w:ascii="仿宋_GB2312" w:hAnsi="Calibri" w:eastAsia="仿宋_GB2312"/>
          <w:sz w:val="24"/>
          <w:szCs w:val="24"/>
        </w:rPr>
        <w:t>未发生较大</w:t>
      </w:r>
      <w:r>
        <w:rPr>
          <w:rFonts w:hint="eastAsia" w:ascii="仿宋_GB2312" w:hAnsi="Calibri" w:eastAsia="仿宋_GB2312"/>
          <w:sz w:val="24"/>
          <w:szCs w:val="24"/>
          <w:lang w:eastAsia="zh-CN"/>
        </w:rPr>
        <w:t>及</w:t>
      </w:r>
      <w:r>
        <w:rPr>
          <w:rFonts w:hint="eastAsia" w:ascii="仿宋_GB2312" w:hAnsi="Calibri" w:eastAsia="仿宋_GB2312"/>
          <w:sz w:val="24"/>
          <w:szCs w:val="24"/>
        </w:rPr>
        <w:t>以上生产安全事故；防灾减灾有力有序，杨林街镇一起成功转移避险案例被省应急办通报表扬</w:t>
      </w:r>
      <w:r>
        <w:rPr>
          <w:rFonts w:hint="eastAsia" w:ascii="仿宋_GB2312" w:hAnsi="Calibri" w:eastAsia="仿宋_GB2312"/>
          <w:sz w:val="24"/>
          <w:szCs w:val="24"/>
          <w:lang w:eastAsia="zh-CN"/>
        </w:rPr>
        <w:t>；</w:t>
      </w:r>
      <w:r>
        <w:rPr>
          <w:rFonts w:hint="eastAsia" w:ascii="仿宋_GB2312" w:hAnsi="Calibri" w:eastAsia="仿宋_GB2312"/>
          <w:sz w:val="24"/>
          <w:szCs w:val="24"/>
        </w:rPr>
        <w:t>加强应急队伍能力建设，乡镇街道均设立专（兼）职消防队伍，全覆盖配备消防车，火警前期处置速度和效果显著提升，杨林街镇应急救援队伍代表全市参加全省比武，取得了较好成绩，荣获组织奖</w:t>
      </w:r>
      <w:r>
        <w:rPr>
          <w:rFonts w:hint="eastAsia" w:ascii="仿宋_GB2312" w:hAnsi="Calibri" w:eastAsia="仿宋_GB2312"/>
          <w:sz w:val="24"/>
          <w:szCs w:val="24"/>
          <w:lang w:eastAsia="zh-CN"/>
        </w:rPr>
        <w:t>；</w:t>
      </w:r>
      <w:r>
        <w:rPr>
          <w:rFonts w:hint="eastAsia" w:ascii="仿宋_GB2312" w:hAnsi="Calibri" w:eastAsia="仿宋_GB2312"/>
          <w:sz w:val="24"/>
          <w:szCs w:val="24"/>
        </w:rPr>
        <w:t>安全生产重大事故隐患排查整治工作亮点突出，获湖南省实施安全强基固本攻坚工作专报推介</w:t>
      </w:r>
      <w:r>
        <w:rPr>
          <w:rFonts w:hint="eastAsia" w:ascii="仿宋_GB2312" w:hAnsi="Calibri" w:eastAsia="仿宋_GB2312"/>
          <w:sz w:val="24"/>
          <w:szCs w:val="24"/>
          <w:lang w:eastAsia="zh-CN"/>
        </w:rPr>
        <w:t>；</w:t>
      </w:r>
      <w:r>
        <w:rPr>
          <w:rFonts w:hint="eastAsia" w:ascii="仿宋_GB2312" w:hAnsi="Calibri" w:eastAsia="仿宋_GB2312"/>
          <w:sz w:val="24"/>
          <w:szCs w:val="24"/>
        </w:rPr>
        <w:t>灾后重建工作典型经验做法获省应急厅年度通报，应急管理工作突出获市应安委年度通报表扬，实施“七大攻坚”表现优异，获市政府年度通报表扬</w:t>
      </w:r>
      <w:r>
        <w:rPr>
          <w:rFonts w:hint="eastAsia" w:ascii="仿宋_GB2312" w:hAnsi="Calibri" w:eastAsia="仿宋_GB2312"/>
          <w:sz w:val="24"/>
          <w:szCs w:val="24"/>
          <w:lang w:eastAsia="zh-CN"/>
        </w:rPr>
        <w:t>；并</w:t>
      </w:r>
      <w:r>
        <w:rPr>
          <w:rFonts w:hint="eastAsia" w:ascii="仿宋_GB2312" w:hAnsi="Calibri" w:eastAsia="仿宋_GB2312"/>
          <w:sz w:val="24"/>
          <w:szCs w:val="24"/>
        </w:rPr>
        <w:t>被评为全县绩效考核综合优秀单位。</w:t>
      </w:r>
    </w:p>
    <w:p w14:paraId="318BCDDD">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绩效评价小组从预算配置、预算执行、履职效益等方面对我局202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年整体支出开展了绩效评价，具体情况如下：</w:t>
      </w:r>
    </w:p>
    <w:p w14:paraId="4601BF1F">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（一）预算配置指标</w:t>
      </w:r>
    </w:p>
    <w:p w14:paraId="0E10321B">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 xml:space="preserve"> 在职人员控制率，我局及二级单位编制数47人，在职人员4</w:t>
      </w:r>
      <w:r>
        <w:rPr>
          <w:rFonts w:hint="eastAsia" w:ascii="仿宋_GB2312" w:hAnsi="Calibri" w:eastAsia="仿宋_GB2312"/>
          <w:sz w:val="24"/>
          <w:szCs w:val="24"/>
          <w:lang w:val="en-US" w:eastAsia="zh-CN"/>
        </w:rPr>
        <w:t>1</w:t>
      </w:r>
      <w:r>
        <w:rPr>
          <w:rFonts w:hint="eastAsia" w:ascii="仿宋_GB2312" w:hAnsi="Calibri" w:eastAsia="仿宋_GB2312"/>
          <w:sz w:val="24"/>
          <w:szCs w:val="24"/>
        </w:rPr>
        <w:t>人，在编制控制范围内，在职人员控制率为8</w:t>
      </w:r>
      <w:r>
        <w:rPr>
          <w:rFonts w:hint="eastAsia" w:ascii="仿宋_GB2312" w:hAnsi="Calibri" w:eastAsia="仿宋_GB2312"/>
          <w:sz w:val="24"/>
          <w:szCs w:val="24"/>
          <w:lang w:val="en-US" w:eastAsia="zh-CN"/>
        </w:rPr>
        <w:t>7.23</w:t>
      </w:r>
      <w:r>
        <w:rPr>
          <w:rFonts w:hint="eastAsia" w:ascii="仿宋_GB2312" w:hAnsi="Calibri" w:eastAsia="仿宋_GB2312"/>
          <w:sz w:val="24"/>
          <w:szCs w:val="24"/>
        </w:rPr>
        <w:t>%。</w:t>
      </w:r>
    </w:p>
    <w:p w14:paraId="1225204B">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（二）预算执行指标</w:t>
      </w:r>
    </w:p>
    <w:p w14:paraId="0E311C19">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 xml:space="preserve"> 1.预算完成率</w:t>
      </w:r>
    </w:p>
    <w:p w14:paraId="61A7466F">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 xml:space="preserve"> 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年初财政拨款收入预算数</w:t>
      </w:r>
      <w:r>
        <w:rPr>
          <w:rFonts w:hint="eastAsia" w:ascii="仿宋_GB2312" w:hAnsi="Calibri" w:eastAsia="仿宋_GB2312"/>
          <w:sz w:val="24"/>
          <w:szCs w:val="24"/>
          <w:lang w:val="en-US" w:eastAsia="zh-CN"/>
        </w:rPr>
        <w:t>800.73</w:t>
      </w:r>
      <w:r>
        <w:rPr>
          <w:rFonts w:hint="eastAsia" w:ascii="仿宋_GB2312" w:hAnsi="Calibri" w:eastAsia="仿宋_GB2312"/>
          <w:sz w:val="24"/>
          <w:szCs w:val="24"/>
        </w:rPr>
        <w:t>万元，年中追加预算</w:t>
      </w:r>
      <w:r>
        <w:rPr>
          <w:rFonts w:hint="eastAsia" w:ascii="仿宋_GB2312" w:hAnsi="Calibri" w:eastAsia="仿宋_GB2312"/>
          <w:sz w:val="24"/>
          <w:szCs w:val="24"/>
          <w:lang w:val="en-US" w:eastAsia="zh-CN"/>
        </w:rPr>
        <w:t>2964.2</w:t>
      </w:r>
      <w:r>
        <w:rPr>
          <w:rFonts w:hint="eastAsia" w:ascii="仿宋_GB2312" w:hAnsi="Calibri" w:eastAsia="仿宋_GB2312"/>
          <w:sz w:val="24"/>
          <w:szCs w:val="24"/>
        </w:rPr>
        <w:t>万元，</w:t>
      </w:r>
      <w:r>
        <w:rPr>
          <w:rFonts w:hint="eastAsia" w:ascii="仿宋_GB2312" w:hAnsi="Calibri" w:eastAsia="仿宋_GB2312"/>
          <w:sz w:val="24"/>
          <w:szCs w:val="24"/>
          <w:lang w:eastAsia="zh-CN"/>
        </w:rPr>
        <w:t>其他收入</w:t>
      </w:r>
      <w:r>
        <w:rPr>
          <w:rFonts w:hint="eastAsia" w:ascii="仿宋_GB2312" w:hAnsi="Calibri" w:eastAsia="仿宋_GB2312"/>
          <w:sz w:val="24"/>
          <w:szCs w:val="24"/>
          <w:lang w:val="en-US" w:eastAsia="zh-CN"/>
        </w:rPr>
        <w:t>8.9万元，</w:t>
      </w:r>
      <w:r>
        <w:rPr>
          <w:rFonts w:hint="eastAsia" w:ascii="仿宋_GB2312" w:hAnsi="Calibri" w:eastAsia="仿宋_GB2312"/>
          <w:sz w:val="24"/>
          <w:szCs w:val="24"/>
        </w:rPr>
        <w:t>年末决算收入</w:t>
      </w:r>
      <w:r>
        <w:rPr>
          <w:rFonts w:hint="eastAsia" w:ascii="仿宋_GB2312" w:hAnsi="Calibri" w:eastAsia="仿宋_GB2312"/>
          <w:sz w:val="24"/>
          <w:szCs w:val="24"/>
          <w:lang w:val="en-US" w:eastAsia="zh-CN"/>
        </w:rPr>
        <w:t>3773.83元</w:t>
      </w:r>
      <w:r>
        <w:rPr>
          <w:rFonts w:hint="eastAsia" w:ascii="仿宋_GB2312" w:hAnsi="Calibri" w:eastAsia="仿宋_GB2312"/>
          <w:sz w:val="24"/>
          <w:szCs w:val="24"/>
        </w:rPr>
        <w:t>，决算支出</w:t>
      </w:r>
      <w:r>
        <w:rPr>
          <w:rFonts w:hint="eastAsia" w:ascii="仿宋_GB2312" w:hAnsi="Calibri" w:eastAsia="仿宋_GB2312"/>
          <w:sz w:val="24"/>
          <w:szCs w:val="24"/>
          <w:lang w:val="en-US" w:eastAsia="zh-CN"/>
        </w:rPr>
        <w:t>3773.18</w:t>
      </w:r>
      <w:r>
        <w:rPr>
          <w:rFonts w:hint="eastAsia" w:ascii="仿宋_GB2312" w:hAnsi="Calibri" w:eastAsia="仿宋_GB2312"/>
          <w:sz w:val="24"/>
          <w:szCs w:val="24"/>
        </w:rPr>
        <w:t>万元，202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年末结转结余</w:t>
      </w:r>
      <w:r>
        <w:rPr>
          <w:rFonts w:hint="eastAsia" w:ascii="仿宋_GB2312" w:hAnsi="Calibri" w:eastAsia="仿宋_GB2312"/>
          <w:sz w:val="24"/>
          <w:szCs w:val="24"/>
          <w:lang w:val="en-US" w:eastAsia="zh-CN"/>
        </w:rPr>
        <w:t>0.65万元</w:t>
      </w:r>
      <w:r>
        <w:rPr>
          <w:rFonts w:hint="eastAsia" w:ascii="仿宋_GB2312" w:hAnsi="Calibri" w:eastAsia="仿宋_GB2312"/>
          <w:sz w:val="24"/>
          <w:szCs w:val="24"/>
        </w:rPr>
        <w:t>，预算完成率为</w:t>
      </w:r>
      <w:r>
        <w:rPr>
          <w:rFonts w:hint="eastAsia" w:ascii="仿宋_GB2312" w:hAnsi="Calibri" w:eastAsia="仿宋_GB2312"/>
          <w:sz w:val="24"/>
          <w:szCs w:val="24"/>
          <w:lang w:val="en-US" w:eastAsia="zh-CN"/>
        </w:rPr>
        <w:t>99.98</w:t>
      </w:r>
      <w:r>
        <w:rPr>
          <w:rFonts w:hint="eastAsia" w:ascii="仿宋_GB2312" w:hAnsi="Calibri" w:eastAsia="仿宋_GB2312"/>
          <w:sz w:val="24"/>
          <w:szCs w:val="24"/>
        </w:rPr>
        <w:t>%，预算完成率较好。</w:t>
      </w:r>
    </w:p>
    <w:p w14:paraId="35AD11F3">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 xml:space="preserve"> 2.“三公经费”控制率</w:t>
      </w:r>
    </w:p>
    <w:p w14:paraId="74A50D0A">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eastAsia" w:ascii="仿宋_GB2312" w:hAnsi="Calibri" w:eastAsia="仿宋_GB2312"/>
          <w:sz w:val="24"/>
          <w:szCs w:val="24"/>
        </w:rPr>
      </w:pPr>
      <w:r>
        <w:rPr>
          <w:rFonts w:hint="eastAsia" w:ascii="仿宋_GB2312" w:hAnsi="Calibri" w:eastAsia="仿宋_GB2312"/>
          <w:sz w:val="24"/>
          <w:szCs w:val="24"/>
        </w:rPr>
        <w:t>“三公经费”预算数</w:t>
      </w:r>
      <w:r>
        <w:rPr>
          <w:rFonts w:hint="eastAsia" w:ascii="仿宋_GB2312" w:hAnsi="Calibri" w:eastAsia="仿宋_GB2312"/>
          <w:sz w:val="24"/>
          <w:szCs w:val="24"/>
          <w:lang w:val="en-US" w:eastAsia="zh-CN"/>
        </w:rPr>
        <w:t>9</w:t>
      </w:r>
      <w:r>
        <w:rPr>
          <w:rFonts w:hint="eastAsia" w:ascii="仿宋_GB2312" w:hAnsi="Calibri" w:eastAsia="仿宋_GB2312"/>
          <w:sz w:val="24"/>
          <w:szCs w:val="24"/>
        </w:rPr>
        <w:t>万元,实际支出数</w:t>
      </w:r>
      <w:r>
        <w:rPr>
          <w:rFonts w:hint="eastAsia" w:ascii="仿宋_GB2312" w:hAnsi="Calibri" w:eastAsia="仿宋_GB2312"/>
          <w:sz w:val="24"/>
          <w:szCs w:val="24"/>
          <w:lang w:val="en-US" w:eastAsia="zh-CN"/>
        </w:rPr>
        <w:t>14.08</w:t>
      </w:r>
      <w:r>
        <w:rPr>
          <w:rFonts w:hint="eastAsia" w:ascii="仿宋_GB2312" w:hAnsi="Calibri" w:eastAsia="仿宋_GB2312"/>
          <w:sz w:val="24"/>
          <w:szCs w:val="24"/>
        </w:rPr>
        <w:t>万元，“三公经费”控制率为1</w:t>
      </w:r>
      <w:r>
        <w:rPr>
          <w:rFonts w:hint="eastAsia" w:ascii="仿宋_GB2312" w:hAnsi="Calibri" w:eastAsia="仿宋_GB2312"/>
          <w:sz w:val="24"/>
          <w:szCs w:val="24"/>
          <w:lang w:val="en-US" w:eastAsia="zh-CN"/>
        </w:rPr>
        <w:t>56.44</w:t>
      </w:r>
      <w:r>
        <w:rPr>
          <w:rFonts w:hint="eastAsia" w:ascii="仿宋_GB2312" w:hAnsi="Calibri" w:eastAsia="仿宋_GB2312"/>
          <w:sz w:val="24"/>
          <w:szCs w:val="24"/>
        </w:rPr>
        <w:t>%</w:t>
      </w:r>
      <w:r>
        <w:rPr>
          <w:rFonts w:hint="eastAsia" w:ascii="仿宋_GB2312" w:hAnsi="Calibri" w:eastAsia="仿宋_GB2312" w:cs="Arial"/>
          <w:color w:val="000000"/>
          <w:kern w:val="0"/>
          <w:sz w:val="24"/>
          <w:szCs w:val="24"/>
          <w:lang w:val="en-US" w:eastAsia="zh-CN" w:bidi="ar-SA"/>
        </w:rPr>
        <w:t>，主要原因为国债项目资金配置了多台应急救援车辆和特种车辆，增加了上户费用、保险支出和燃料费用</w:t>
      </w:r>
      <w:r>
        <w:rPr>
          <w:rFonts w:hint="eastAsia" w:ascii="仿宋_GB2312" w:eastAsia="仿宋_GB2312" w:cs="Arial"/>
          <w:color w:val="000000"/>
          <w:kern w:val="0"/>
          <w:sz w:val="24"/>
          <w:szCs w:val="24"/>
          <w:lang w:val="en-US" w:eastAsia="zh-CN" w:bidi="ar-SA"/>
        </w:rPr>
        <w:t>，</w:t>
      </w:r>
      <w:r>
        <w:rPr>
          <w:rFonts w:hint="eastAsia" w:ascii="仿宋_GB2312" w:hAnsi="Calibri" w:eastAsia="仿宋_GB2312"/>
          <w:sz w:val="24"/>
          <w:szCs w:val="24"/>
          <w:lang w:val="en-US" w:eastAsia="zh-CN"/>
        </w:rPr>
        <w:t>公务用车运行维护费用超预算</w:t>
      </w:r>
      <w:r>
        <w:rPr>
          <w:rFonts w:hint="eastAsia" w:ascii="仿宋_GB2312" w:hAnsi="Calibri" w:eastAsia="仿宋_GB2312"/>
          <w:sz w:val="24"/>
          <w:szCs w:val="24"/>
        </w:rPr>
        <w:t>。</w:t>
      </w:r>
    </w:p>
    <w:p w14:paraId="60E006AA">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（三）预算管理指标</w:t>
      </w:r>
    </w:p>
    <w:p w14:paraId="3C20F241">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 xml:space="preserve"> 1.管理制度健全性</w:t>
      </w:r>
    </w:p>
    <w:p w14:paraId="45D0DF57">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根据相关法律法规，结合单位实际情况制定了局财务管理制度、“三重一大”管理制度、采购管理等内部管理制度，并认真执行各项制度，取得了较好的效果。</w:t>
      </w:r>
    </w:p>
    <w:p w14:paraId="5836CAAE">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2.资金使用合规性</w:t>
      </w:r>
    </w:p>
    <w:p w14:paraId="34320D12">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支出符合国家财经法规和财务管理制度规定；符合部门预算批复的用途；资金使用无截留、挤占、挪用、虚列支出等情况。</w:t>
      </w:r>
    </w:p>
    <w:p w14:paraId="7897006F">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 xml:space="preserve"> 3.预算信息公开性</w:t>
      </w:r>
    </w:p>
    <w:p w14:paraId="4D360644">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在岳阳县应急管理局官网首页开设 “信息公开”专栏，及时将年度预算、决算、“三公”经费、绩效评价等公众关注关心的重要信息面向社会公开。</w:t>
      </w:r>
    </w:p>
    <w:p w14:paraId="198B6C63">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（四）资产管理指标</w:t>
      </w:r>
    </w:p>
    <w:p w14:paraId="0C7F7D27">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 xml:space="preserve"> 建立了资产管理制度，根据不相容职责相互分离的原则，由办公室负责全局固定资产实物管理，并做好资产台账，规划财务股负责对固定资产进行账务处理，年底对全局的资产进行了盘点，从而保证固定资产的账实相符。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年初我局固定资产原值</w:t>
      </w:r>
      <w:r>
        <w:rPr>
          <w:rFonts w:hint="eastAsia" w:ascii="仿宋_GB2312" w:hAnsi="Calibri" w:eastAsia="仿宋_GB2312"/>
          <w:sz w:val="24"/>
          <w:szCs w:val="24"/>
          <w:lang w:val="en-US" w:eastAsia="zh-CN"/>
        </w:rPr>
        <w:t>1035.44</w:t>
      </w:r>
      <w:r>
        <w:rPr>
          <w:rFonts w:hint="eastAsia" w:ascii="仿宋_GB2312" w:hAnsi="Calibri" w:eastAsia="仿宋_GB2312"/>
          <w:sz w:val="24"/>
          <w:szCs w:val="24"/>
        </w:rPr>
        <w:t>万元，年末固定资产原值</w:t>
      </w:r>
      <w:r>
        <w:rPr>
          <w:rFonts w:hint="eastAsia" w:ascii="仿宋_GB2312" w:hAnsi="Calibri" w:eastAsia="仿宋_GB2312"/>
          <w:sz w:val="24"/>
          <w:szCs w:val="24"/>
          <w:lang w:val="en-US" w:eastAsia="zh-CN"/>
        </w:rPr>
        <w:t>1444.93</w:t>
      </w:r>
      <w:r>
        <w:rPr>
          <w:rFonts w:hint="eastAsia" w:ascii="仿宋_GB2312" w:hAnsi="Calibri" w:eastAsia="仿宋_GB2312"/>
          <w:sz w:val="24"/>
          <w:szCs w:val="24"/>
        </w:rPr>
        <w:t>万元，固定资产增长了</w:t>
      </w:r>
      <w:r>
        <w:rPr>
          <w:rFonts w:hint="eastAsia" w:ascii="仿宋_GB2312" w:hAnsi="Calibri" w:eastAsia="仿宋_GB2312"/>
          <w:sz w:val="24"/>
          <w:szCs w:val="24"/>
          <w:lang w:val="en-US" w:eastAsia="zh-CN"/>
        </w:rPr>
        <w:t>409.49万元</w:t>
      </w:r>
      <w:r>
        <w:rPr>
          <w:rFonts w:hint="eastAsia" w:ascii="仿宋_GB2312" w:hAnsi="Calibri" w:eastAsia="仿宋_GB2312"/>
          <w:sz w:val="24"/>
          <w:szCs w:val="24"/>
        </w:rPr>
        <w:t>，同比上年增长了</w:t>
      </w:r>
      <w:r>
        <w:rPr>
          <w:rFonts w:hint="eastAsia" w:ascii="仿宋_GB2312" w:hAnsi="Calibri" w:eastAsia="仿宋_GB2312"/>
          <w:sz w:val="24"/>
          <w:szCs w:val="24"/>
          <w:lang w:val="en-US" w:eastAsia="zh-CN"/>
        </w:rPr>
        <w:t>39.55</w:t>
      </w:r>
      <w:r>
        <w:rPr>
          <w:rFonts w:hint="eastAsia" w:ascii="仿宋_GB2312" w:hAnsi="Calibri" w:eastAsia="仿宋_GB2312"/>
          <w:sz w:val="24"/>
          <w:szCs w:val="24"/>
        </w:rPr>
        <w:t>%，</w:t>
      </w:r>
      <w:r>
        <w:rPr>
          <w:rFonts w:hint="eastAsia" w:ascii="仿宋_GB2312" w:hAnsi="Calibri" w:eastAsia="仿宋_GB2312"/>
          <w:sz w:val="24"/>
          <w:szCs w:val="24"/>
          <w:lang w:eastAsia="zh-CN"/>
        </w:rPr>
        <w:t>主要为国债资金配置的装备和设备验收入库</w:t>
      </w:r>
      <w:r>
        <w:rPr>
          <w:rFonts w:hint="eastAsia" w:ascii="仿宋_GB2312" w:hAnsi="Calibri" w:eastAsia="仿宋_GB2312"/>
          <w:sz w:val="24"/>
          <w:szCs w:val="24"/>
        </w:rPr>
        <w:t>。</w:t>
      </w:r>
    </w:p>
    <w:p w14:paraId="1AB0AB3C">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（五）职责履行指标</w:t>
      </w:r>
    </w:p>
    <w:p w14:paraId="15235BEE">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 xml:space="preserve"> </w:t>
      </w:r>
      <w:r>
        <w:rPr>
          <w:rFonts w:hint="eastAsia" w:ascii="仿宋_GB2312" w:hAnsi="Calibri" w:eastAsia="仿宋_GB2312"/>
          <w:sz w:val="24"/>
          <w:szCs w:val="24"/>
          <w:lang w:val="en-US" w:eastAsia="zh-CN"/>
        </w:rPr>
        <w:t>1</w:t>
      </w:r>
      <w:r>
        <w:rPr>
          <w:rFonts w:hint="eastAsia" w:ascii="仿宋_GB2312" w:hAnsi="Calibri" w:eastAsia="仿宋_GB2312"/>
          <w:sz w:val="24"/>
          <w:szCs w:val="24"/>
        </w:rPr>
        <w:t>.整治管控稳步推进。</w:t>
      </w:r>
      <w:bookmarkStart w:id="0" w:name="OLE_LINK13"/>
      <w:bookmarkStart w:id="1" w:name="OLE_LINK12"/>
      <w:r>
        <w:rPr>
          <w:rFonts w:hint="eastAsia" w:ascii="仿宋_GB2312" w:hAnsi="Calibri" w:eastAsia="仿宋_GB2312"/>
          <w:sz w:val="24"/>
          <w:szCs w:val="24"/>
        </w:rPr>
        <w:t>全县开展联合执法2616次，发现非法违法行为4211起，立案调查1770起，取缔关闭111处，经济处罚523.4584万余元，媒体公开曝光180起，行刑衔接移送司法214人</w:t>
      </w:r>
      <w:bookmarkEnd w:id="0"/>
      <w:bookmarkEnd w:id="1"/>
      <w:bookmarkStart w:id="2" w:name="OLE_LINK7"/>
      <w:bookmarkStart w:id="3" w:name="OLE_LINK6"/>
      <w:r>
        <w:rPr>
          <w:rFonts w:hint="eastAsia" w:ascii="仿宋_GB2312" w:hAnsi="Calibri" w:eastAsia="仿宋_GB2312"/>
          <w:sz w:val="24"/>
          <w:szCs w:val="24"/>
          <w:lang w:eastAsia="zh-CN"/>
        </w:rPr>
        <w:t>；</w:t>
      </w:r>
      <w:r>
        <w:rPr>
          <w:rFonts w:hint="eastAsia" w:ascii="仿宋_GB2312" w:hAnsi="Calibri" w:eastAsia="仿宋_GB2312"/>
          <w:sz w:val="24"/>
          <w:szCs w:val="24"/>
        </w:rPr>
        <w:t>清理和退出烟花爆竹零售门店28家，目前全县持证</w:t>
      </w:r>
      <w:bookmarkEnd w:id="2"/>
      <w:bookmarkEnd w:id="3"/>
      <w:r>
        <w:rPr>
          <w:rFonts w:hint="eastAsia" w:ascii="仿宋_GB2312" w:hAnsi="Calibri" w:eastAsia="仿宋_GB2312"/>
          <w:sz w:val="24"/>
          <w:szCs w:val="24"/>
        </w:rPr>
        <w:t>零售店86家；办理危险化学品经营（纯贸易）许可审批1件，9家樟木炼油企业办理验收手续。</w:t>
      </w:r>
    </w:p>
    <w:p w14:paraId="4EF1D9EB">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lang w:val="en-US" w:eastAsia="zh-CN"/>
        </w:rPr>
        <w:t>2</w:t>
      </w:r>
      <w:r>
        <w:rPr>
          <w:rFonts w:hint="eastAsia" w:ascii="仿宋_GB2312" w:hAnsi="Calibri" w:eastAsia="仿宋_GB2312"/>
          <w:sz w:val="24"/>
          <w:szCs w:val="24"/>
        </w:rPr>
        <w:t>.狠抓重大事故隐患排查。持续强化专家诊查、行业互查、企业自查、“三查一曝光”等举措，全覆盖排查、“零放过”整改。</w:t>
      </w:r>
      <w:r>
        <w:rPr>
          <w:rFonts w:hint="eastAsia" w:ascii="仿宋_GB2312" w:hAnsi="Calibri" w:eastAsia="仿宋_GB2312"/>
          <w:sz w:val="24"/>
          <w:szCs w:val="24"/>
          <w:lang w:eastAsia="zh-CN"/>
        </w:rPr>
        <w:t>全</w:t>
      </w:r>
      <w:r>
        <w:rPr>
          <w:rFonts w:hint="eastAsia" w:ascii="仿宋_GB2312" w:hAnsi="Calibri" w:eastAsia="仿宋_GB2312"/>
          <w:sz w:val="24"/>
          <w:szCs w:val="24"/>
        </w:rPr>
        <w:t>年共排查重大事故隐患1143处，整改1143处，到期整改率100%，企业自查率超过48%。</w:t>
      </w:r>
    </w:p>
    <w:p w14:paraId="01545EC6">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lang w:val="en-US" w:eastAsia="zh-CN"/>
        </w:rPr>
        <w:t>3</w:t>
      </w:r>
      <w:r>
        <w:rPr>
          <w:rFonts w:hint="eastAsia" w:ascii="仿宋_GB2312" w:hAnsi="Calibri" w:eastAsia="仿宋_GB2312"/>
          <w:sz w:val="24"/>
          <w:szCs w:val="24"/>
        </w:rPr>
        <w:t>.防灾减灾有力有序。今年我县共发生3次风雹灾害、5次洪涝灾害、1次干旱灾害，指挥中心提前调度，及时发布灾情预警，紧急避险转移725人，紧急转移安置913人。杨林街镇一起成功转移避险案例被省应急办通报表扬</w:t>
      </w:r>
      <w:r>
        <w:rPr>
          <w:rFonts w:hint="eastAsia" w:ascii="仿宋_GB2312" w:hAnsi="Calibri" w:eastAsia="仿宋_GB2312"/>
          <w:sz w:val="24"/>
          <w:szCs w:val="24"/>
          <w:lang w:eastAsia="zh-CN"/>
        </w:rPr>
        <w:t>；</w:t>
      </w:r>
      <w:r>
        <w:rPr>
          <w:rFonts w:hint="eastAsia" w:ascii="仿宋_GB2312" w:hAnsi="Calibri" w:eastAsia="仿宋_GB2312"/>
          <w:sz w:val="24"/>
          <w:szCs w:val="24"/>
        </w:rPr>
        <w:t>共发放救灾资金1393.2万元</w:t>
      </w:r>
      <w:r>
        <w:rPr>
          <w:rFonts w:hint="eastAsia" w:ascii="仿宋_GB2312" w:hAnsi="Calibri" w:eastAsia="仿宋_GB2312"/>
          <w:sz w:val="24"/>
          <w:szCs w:val="24"/>
          <w:lang w:eastAsia="zh-CN"/>
        </w:rPr>
        <w:t>，</w:t>
      </w:r>
      <w:r>
        <w:rPr>
          <w:rFonts w:hint="eastAsia" w:ascii="仿宋_GB2312" w:hAnsi="Calibri" w:eastAsia="仿宋_GB2312"/>
          <w:sz w:val="24"/>
          <w:szCs w:val="24"/>
        </w:rPr>
        <w:t>投入39.8万元采购棉被、大衣、粮油等救灾物资，全部发放给受灾群众，约9万人得到了生活救助。</w:t>
      </w:r>
    </w:p>
    <w:p w14:paraId="4ADF0A82">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lang w:val="en-US" w:eastAsia="zh-CN"/>
        </w:rPr>
        <w:t>4</w:t>
      </w:r>
      <w:r>
        <w:rPr>
          <w:rFonts w:hint="eastAsia" w:ascii="仿宋_GB2312" w:hAnsi="Calibri" w:eastAsia="仿宋_GB2312"/>
          <w:sz w:val="24"/>
          <w:szCs w:val="24"/>
        </w:rPr>
        <w:t>.安全教育氛围浓厚。扎实推进安全生产宣传“五进”、“5·12”防灾减灾宣传周、安全生产月等系列安全宣传教育活动。举办全县应急系统培训班，提升干部职工应急管理能力。多领域开展演练，组织开展地质灾害、非煤矿山、校园安全、危险化学品、建筑工地、防汛抢险救援、森林扑火等20余次大型应急预案实战演练。组织指导企业、学校开展了100余次专项应急演练和地震疏散演练。</w:t>
      </w:r>
    </w:p>
    <w:p w14:paraId="20A1FA0A">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lang w:val="en-US" w:eastAsia="zh-CN"/>
        </w:rPr>
        <w:t>5</w:t>
      </w:r>
      <w:r>
        <w:rPr>
          <w:rFonts w:hint="eastAsia" w:ascii="仿宋_GB2312" w:hAnsi="Calibri" w:eastAsia="仿宋_GB2312"/>
          <w:sz w:val="24"/>
          <w:szCs w:val="24"/>
        </w:rPr>
        <w:t>. 森林防灭火平稳可控。</w:t>
      </w:r>
      <w:bookmarkStart w:id="4" w:name="OLE_LINK11"/>
      <w:bookmarkStart w:id="5" w:name="OLE_LINK10"/>
      <w:bookmarkStart w:id="6" w:name="OLE_LINK20"/>
      <w:bookmarkStart w:id="7" w:name="OLE_LINK21"/>
      <w:r>
        <w:rPr>
          <w:rFonts w:hint="eastAsia" w:ascii="仿宋_GB2312" w:hAnsi="Calibri" w:eastAsia="仿宋_GB2312"/>
          <w:sz w:val="24"/>
          <w:szCs w:val="24"/>
          <w:lang w:eastAsia="zh-CN"/>
        </w:rPr>
        <w:t>全年</w:t>
      </w:r>
      <w:r>
        <w:rPr>
          <w:rFonts w:hint="eastAsia" w:ascii="仿宋_GB2312" w:hAnsi="Calibri" w:eastAsia="仿宋_GB2312"/>
          <w:sz w:val="24"/>
          <w:szCs w:val="24"/>
        </w:rPr>
        <w:t>共发布森林火险预警信息42期，共接火情36起，</w:t>
      </w:r>
      <w:bookmarkEnd w:id="4"/>
      <w:bookmarkEnd w:id="5"/>
      <w:bookmarkEnd w:id="6"/>
      <w:bookmarkEnd w:id="7"/>
      <w:r>
        <w:rPr>
          <w:rFonts w:hint="eastAsia" w:ascii="仿宋_GB2312" w:hAnsi="Calibri" w:eastAsia="仿宋_GB2312"/>
          <w:sz w:val="24"/>
          <w:szCs w:val="24"/>
          <w:lang w:eastAsia="zh-CN"/>
        </w:rPr>
        <w:t>均及时扑救，</w:t>
      </w:r>
      <w:r>
        <w:rPr>
          <w:rFonts w:hint="eastAsia" w:ascii="仿宋_GB2312" w:hAnsi="Calibri" w:eastAsia="仿宋_GB2312"/>
          <w:sz w:val="24"/>
          <w:szCs w:val="24"/>
        </w:rPr>
        <w:t>未造成人员伤亡和重大损失。联合公安、林业等部门开展专项执法，查处违规用火案件10起，刑事处罚2人，行政处罚2人。</w:t>
      </w:r>
    </w:p>
    <w:p w14:paraId="02B939DA">
      <w:pPr>
        <w:spacing w:line="400" w:lineRule="exact"/>
        <w:ind w:firstLine="480" w:firstLineChars="200"/>
        <w:rPr>
          <w:rFonts w:hint="eastAsia" w:ascii="仿宋_GB2312" w:hAnsi="Calibri" w:eastAsia="仿宋_GB2312"/>
          <w:sz w:val="24"/>
          <w:szCs w:val="24"/>
          <w:lang w:eastAsia="zh-CN"/>
        </w:rPr>
      </w:pPr>
      <w:r>
        <w:rPr>
          <w:rFonts w:hint="eastAsia" w:ascii="仿宋_GB2312" w:hAnsi="Calibri" w:eastAsia="仿宋_GB2312"/>
          <w:sz w:val="24"/>
          <w:szCs w:val="24"/>
          <w:lang w:val="en-US" w:eastAsia="zh-CN"/>
        </w:rPr>
        <w:t>6</w:t>
      </w:r>
      <w:r>
        <w:rPr>
          <w:rFonts w:hint="eastAsia" w:ascii="仿宋_GB2312" w:hAnsi="Calibri" w:eastAsia="仿宋_GB2312"/>
          <w:sz w:val="24"/>
          <w:szCs w:val="24"/>
        </w:rPr>
        <w:t>.</w:t>
      </w:r>
      <w:bookmarkStart w:id="8" w:name="OLE_LINK29"/>
      <w:bookmarkStart w:id="9" w:name="OLE_LINK28"/>
      <w:r>
        <w:rPr>
          <w:rFonts w:hint="eastAsia" w:ascii="仿宋_GB2312" w:hAnsi="Calibri" w:eastAsia="仿宋_GB2312"/>
          <w:sz w:val="24"/>
          <w:szCs w:val="24"/>
        </w:rPr>
        <w:t>防汛备汛清单化管理。对全县排查的128处度汛安全隐患及市应安委2次督查反馈的21处隐患，均已整改到位</w:t>
      </w:r>
      <w:r>
        <w:rPr>
          <w:rFonts w:hint="eastAsia" w:ascii="仿宋_GB2312" w:hAnsi="Calibri" w:eastAsia="仿宋_GB2312"/>
          <w:sz w:val="24"/>
          <w:szCs w:val="24"/>
          <w:lang w:eastAsia="zh-CN"/>
        </w:rPr>
        <w:t>；</w:t>
      </w:r>
      <w:r>
        <w:rPr>
          <w:rFonts w:hint="eastAsia" w:ascii="仿宋_GB2312" w:hAnsi="Calibri" w:eastAsia="仿宋_GB2312"/>
          <w:sz w:val="24"/>
          <w:szCs w:val="24"/>
        </w:rPr>
        <w:t>开展县级防汛知识培训2场、乡镇15场</w:t>
      </w:r>
      <w:r>
        <w:rPr>
          <w:rFonts w:hint="eastAsia" w:ascii="仿宋_GB2312" w:hAnsi="Calibri" w:eastAsia="仿宋_GB2312"/>
          <w:sz w:val="24"/>
          <w:szCs w:val="24"/>
          <w:lang w:eastAsia="zh-CN"/>
        </w:rPr>
        <w:t>；</w:t>
      </w:r>
      <w:r>
        <w:rPr>
          <w:rFonts w:hint="eastAsia" w:ascii="仿宋_GB2312" w:hAnsi="Calibri" w:eastAsia="仿宋_GB2312"/>
          <w:sz w:val="24"/>
          <w:szCs w:val="24"/>
        </w:rPr>
        <w:t>县级指导组织乡镇防汛抢险应急演练7场、乡镇117场</w:t>
      </w:r>
      <w:r>
        <w:rPr>
          <w:rFonts w:hint="eastAsia" w:ascii="仿宋_GB2312" w:hAnsi="Calibri" w:eastAsia="仿宋_GB2312"/>
          <w:sz w:val="24"/>
          <w:szCs w:val="24"/>
          <w:lang w:eastAsia="zh-CN"/>
        </w:rPr>
        <w:t>；</w:t>
      </w:r>
      <w:r>
        <w:rPr>
          <w:rFonts w:hint="eastAsia" w:ascii="仿宋_GB2312" w:hAnsi="Calibri" w:eastAsia="仿宋_GB2312"/>
          <w:sz w:val="24"/>
          <w:szCs w:val="24"/>
        </w:rPr>
        <w:t>储备块石4.38万立方、砂石9.23万立方、彩条布18.55万平方米、编织袋55万条，钢筋砼四面体30个、大型钢筋笼12个、木桩2000个</w:t>
      </w:r>
      <w:bookmarkEnd w:id="8"/>
      <w:bookmarkEnd w:id="9"/>
      <w:r>
        <w:rPr>
          <w:rFonts w:hint="eastAsia" w:ascii="仿宋_GB2312" w:hAnsi="Calibri" w:eastAsia="仿宋_GB2312"/>
          <w:sz w:val="24"/>
          <w:szCs w:val="24"/>
          <w:lang w:eastAsia="zh-CN"/>
        </w:rPr>
        <w:t>。</w:t>
      </w:r>
    </w:p>
    <w:p w14:paraId="17513449">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（六）履职效益指标</w:t>
      </w:r>
    </w:p>
    <w:p w14:paraId="6CE8B9DF">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1.经济效益</w:t>
      </w:r>
    </w:p>
    <w:p w14:paraId="2D4EBFF0">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lang w:eastAsia="zh-CN"/>
        </w:rPr>
        <w:t>各类自然灾害救灾</w:t>
      </w:r>
      <w:r>
        <w:rPr>
          <w:rFonts w:hint="eastAsia" w:ascii="仿宋_GB2312" w:hAnsi="Calibri" w:eastAsia="仿宋_GB2312"/>
          <w:sz w:val="24"/>
          <w:szCs w:val="24"/>
        </w:rPr>
        <w:t>资金妥善保障受灾群众的基本生活，</w:t>
      </w:r>
      <w:r>
        <w:rPr>
          <w:rFonts w:hint="eastAsia" w:ascii="仿宋_GB2312" w:hAnsi="Calibri" w:eastAsia="仿宋_GB2312"/>
          <w:sz w:val="24"/>
          <w:szCs w:val="24"/>
          <w:lang w:eastAsia="zh-CN"/>
        </w:rPr>
        <w:t>减少经济损失</w:t>
      </w:r>
      <w:r>
        <w:rPr>
          <w:rFonts w:hint="eastAsia" w:ascii="仿宋_GB2312" w:hAnsi="Calibri" w:eastAsia="仿宋_GB2312"/>
          <w:sz w:val="24"/>
          <w:szCs w:val="24"/>
          <w:lang w:val="en-US" w:eastAsia="zh-CN"/>
        </w:rPr>
        <w:t>1000余万元，</w:t>
      </w:r>
      <w:r>
        <w:rPr>
          <w:rFonts w:hint="eastAsia" w:ascii="仿宋_GB2312" w:hAnsi="Calibri" w:eastAsia="仿宋_GB2312"/>
          <w:sz w:val="24"/>
          <w:szCs w:val="24"/>
        </w:rPr>
        <w:t>确保了社会稳定，促进农村经济持续稳定发展。</w:t>
      </w:r>
    </w:p>
    <w:p w14:paraId="6FD3D675">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2.社会效益</w:t>
      </w:r>
    </w:p>
    <w:p w14:paraId="6F2DDE7D">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深入推进安全专项整治，对危化险源开展专项安全检查督导，对危险化学品、非煤矿山、工贸烟花领域开展安全生产专项整治工作。全县未发生较大及以上生产安全事故，未发生因灾亡人事件，共发生一般生产安全事故4起，死亡4人，均为生产经营性道路交通事故，与去年同期相比，分别下降50%，安全生产形势持续稳进向好。</w:t>
      </w:r>
    </w:p>
    <w:p w14:paraId="56F7A8C9">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3.可持续影响</w:t>
      </w:r>
    </w:p>
    <w:p w14:paraId="0635EC28">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w:t>
      </w:r>
      <w:r>
        <w:rPr>
          <w:rFonts w:hint="eastAsia" w:ascii="仿宋_GB2312" w:hAnsi="Calibri" w:eastAsia="仿宋_GB2312"/>
          <w:sz w:val="24"/>
          <w:szCs w:val="24"/>
          <w:lang w:eastAsia="zh-CN"/>
        </w:rPr>
        <w:t>国债项目统一</w:t>
      </w:r>
      <w:r>
        <w:rPr>
          <w:rFonts w:hint="eastAsia" w:ascii="仿宋_GB2312" w:hAnsi="Calibri" w:eastAsia="仿宋_GB2312"/>
          <w:sz w:val="24"/>
          <w:szCs w:val="24"/>
        </w:rPr>
        <w:t>购置了一批应急装备，应急救援装备水平有了一定提升</w:t>
      </w:r>
      <w:r>
        <w:rPr>
          <w:rFonts w:hint="eastAsia" w:ascii="仿宋_GB2312" w:hAnsi="Calibri" w:eastAsia="仿宋_GB2312"/>
          <w:sz w:val="24"/>
          <w:szCs w:val="24"/>
          <w:lang w:eastAsia="zh-CN"/>
        </w:rPr>
        <w:t>，</w:t>
      </w:r>
      <w:r>
        <w:rPr>
          <w:rFonts w:hint="eastAsia" w:ascii="仿宋_GB2312" w:hAnsi="Calibri" w:eastAsia="仿宋_GB2312"/>
          <w:sz w:val="24"/>
          <w:szCs w:val="24"/>
        </w:rPr>
        <w:t>应急救援能力明显提升。</w:t>
      </w:r>
    </w:p>
    <w:p w14:paraId="6465B137">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4.社会公众或服务对象满意度</w:t>
      </w:r>
    </w:p>
    <w:p w14:paraId="5EC1B129">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我局优化服务企业，落实“深化放管服改革、优化营商环境”，得到企业广泛好评。加强安全生产宣传培训，提高全社会安全生产意识，推进全年安全生产形势的持续稳定好转；防灾减灾救灾有力有序，极大保障了灾民的生产生活，社会公众或服务对象对应急管理部门满意度为9</w:t>
      </w:r>
      <w:r>
        <w:rPr>
          <w:rFonts w:hint="eastAsia" w:ascii="仿宋_GB2312" w:hAnsi="Calibri" w:eastAsia="仿宋_GB2312"/>
          <w:sz w:val="24"/>
          <w:szCs w:val="24"/>
          <w:lang w:val="en-US" w:eastAsia="zh-CN"/>
        </w:rPr>
        <w:t>2</w:t>
      </w:r>
      <w:r>
        <w:rPr>
          <w:rFonts w:hint="eastAsia" w:ascii="仿宋_GB2312" w:hAnsi="Calibri" w:eastAsia="仿宋_GB2312"/>
          <w:sz w:val="24"/>
          <w:szCs w:val="24"/>
        </w:rPr>
        <w:t>%，灾区群众对救灾工作的满意度为9</w:t>
      </w:r>
      <w:r>
        <w:rPr>
          <w:rFonts w:hint="eastAsia" w:ascii="仿宋_GB2312" w:hAnsi="Calibri" w:eastAsia="仿宋_GB2312"/>
          <w:sz w:val="24"/>
          <w:szCs w:val="24"/>
          <w:lang w:val="en-US" w:eastAsia="zh-CN"/>
        </w:rPr>
        <w:t>2</w:t>
      </w:r>
      <w:r>
        <w:rPr>
          <w:rFonts w:hint="eastAsia" w:ascii="仿宋_GB2312" w:hAnsi="Calibri" w:eastAsia="仿宋_GB2312"/>
          <w:sz w:val="24"/>
          <w:szCs w:val="24"/>
        </w:rPr>
        <w:t>%。</w:t>
      </w:r>
    </w:p>
    <w:p w14:paraId="061C3C45">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对照绩效评价指标及评分标准，根据上述各项指标完成情况，2</w:t>
      </w:r>
      <w:bookmarkStart w:id="10" w:name="_GoBack"/>
      <w:bookmarkEnd w:id="10"/>
      <w:r>
        <w:rPr>
          <w:rFonts w:hint="eastAsia" w:ascii="仿宋_GB2312" w:hAnsi="Calibri" w:eastAsia="仿宋_GB2312"/>
          <w:sz w:val="24"/>
          <w:szCs w:val="24"/>
        </w:rPr>
        <w:t>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年部门整体绩效评价为9</w:t>
      </w:r>
      <w:r>
        <w:rPr>
          <w:rFonts w:hint="eastAsia" w:ascii="仿宋_GB2312" w:hAnsi="Calibri" w:eastAsia="仿宋_GB2312"/>
          <w:sz w:val="24"/>
          <w:szCs w:val="24"/>
          <w:lang w:val="en-US" w:eastAsia="zh-CN"/>
        </w:rPr>
        <w:t>1</w:t>
      </w:r>
      <w:r>
        <w:rPr>
          <w:rFonts w:hint="eastAsia" w:ascii="仿宋_GB2312" w:hAnsi="Calibri" w:eastAsia="仿宋_GB2312"/>
          <w:sz w:val="24"/>
          <w:szCs w:val="24"/>
        </w:rPr>
        <w:t>分。</w:t>
      </w:r>
    </w:p>
    <w:p w14:paraId="5EC347D1">
      <w:pPr>
        <w:spacing w:line="40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七、存在的问题及原因分析</w:t>
      </w:r>
    </w:p>
    <w:p w14:paraId="31732F8C">
      <w:pPr>
        <w:spacing w:line="400" w:lineRule="exact"/>
        <w:ind w:left="719" w:leftChars="228" w:hanging="240" w:hangingChars="100"/>
        <w:rPr>
          <w:rFonts w:hint="eastAsia" w:ascii="黑体" w:hAnsi="黑体" w:eastAsia="黑体" w:cs="黑体"/>
          <w:sz w:val="28"/>
          <w:szCs w:val="28"/>
        </w:rPr>
      </w:pPr>
      <w:r>
        <w:rPr>
          <w:rFonts w:hint="eastAsia" w:ascii="仿宋_GB2312" w:hAnsi="Calibri" w:eastAsia="仿宋_GB2312"/>
          <w:sz w:val="24"/>
          <w:szCs w:val="24"/>
        </w:rPr>
        <w:t>从202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年度部门整体预算收支出各指标完成情况看，部门整体预算的编制、</w:t>
      </w:r>
      <w:r>
        <w:rPr>
          <w:rFonts w:hint="eastAsia" w:ascii="黑体" w:hAnsi="黑体" w:eastAsia="黑体" w:cs="黑体"/>
          <w:sz w:val="28"/>
          <w:szCs w:val="28"/>
        </w:rPr>
        <w:t xml:space="preserve"> </w:t>
      </w:r>
    </w:p>
    <w:p w14:paraId="7F375528">
      <w:pPr>
        <w:spacing w:line="400" w:lineRule="exact"/>
        <w:rPr>
          <w:rFonts w:hint="eastAsia" w:ascii="仿宋_GB2312" w:hAnsi="Calibri" w:eastAsia="仿宋_GB2312"/>
          <w:sz w:val="24"/>
          <w:szCs w:val="24"/>
        </w:rPr>
      </w:pPr>
      <w:r>
        <w:rPr>
          <w:rFonts w:hint="eastAsia" w:ascii="仿宋_GB2312" w:hAnsi="Calibri" w:eastAsia="仿宋_GB2312"/>
          <w:sz w:val="24"/>
          <w:szCs w:val="24"/>
        </w:rPr>
        <w:t>执行和管理过程以及职能发挥和履职效益总体较好，但也还存在以下问题有待改进：</w:t>
      </w:r>
    </w:p>
    <w:p w14:paraId="51944DC2">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（一）绩效管理体系不够完善，预算与绩效管理一体化的程度有待提高。</w:t>
      </w:r>
    </w:p>
    <w:p w14:paraId="3BD08DC2">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部分项目绩效指标设置不够全面、填报不够规范、准确，绩效指标没有完全紧紧围绕目标任务进行细化和量化，绩效指标的产出指标尚不能全面、精准反映财政预算资金计划在一定期限内达到的产出。</w:t>
      </w:r>
    </w:p>
    <w:p w14:paraId="2632AC62">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（二）应急能力建设仍有较大进步空间</w:t>
      </w:r>
    </w:p>
    <w:p w14:paraId="6C9CCC78">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全县应急能力建设仍存在薄弱环节，主要表现在：一是应急预案有待进一步完善修订；二是应急演练未能达到常态化状态。</w:t>
      </w:r>
    </w:p>
    <w:p w14:paraId="2B547EF2">
      <w:pPr>
        <w:spacing w:line="400" w:lineRule="exact"/>
        <w:ind w:left="719" w:leftChars="228" w:hanging="240" w:hangingChars="100"/>
        <w:rPr>
          <w:rFonts w:hint="eastAsia" w:ascii="黑体" w:hAnsi="黑体" w:eastAsia="黑体" w:cs="黑体"/>
          <w:sz w:val="28"/>
          <w:szCs w:val="28"/>
        </w:rPr>
      </w:pPr>
      <w:r>
        <w:rPr>
          <w:rFonts w:hint="eastAsia" w:ascii="仿宋_GB2312" w:hAnsi="Calibri" w:eastAsia="仿宋_GB2312"/>
          <w:sz w:val="24"/>
          <w:szCs w:val="24"/>
        </w:rPr>
        <w:t xml:space="preserve"> </w:t>
      </w:r>
      <w:r>
        <w:rPr>
          <w:rFonts w:hint="eastAsia" w:ascii="黑体" w:hAnsi="黑体" w:eastAsia="黑体" w:cs="黑体"/>
          <w:sz w:val="28"/>
          <w:szCs w:val="28"/>
        </w:rPr>
        <w:t>八、下一步改进措施</w:t>
      </w:r>
    </w:p>
    <w:p w14:paraId="62C87447">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（一）加强学习培训</w:t>
      </w:r>
    </w:p>
    <w:p w14:paraId="3C6E3BFF">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深入学习贯彻落实《预算法》、《中共中央国务院关于全面实施预算绩效管理的意见》等文件关于预算绩效管理的要求，深化预算绩效管理在资金管理中的应用，从专项资金设立、绩效目标申报、资金分配和拨付、财务核算、项目的监督管理、绩效评价和应用等环节全面加强预算绩效管理，进一步明确主管单位和资金使用单位的各项职责，将绩效管理理念贯穿于项目实施的全过程。必要时聘请中介机构对我局的绩效目标体系重新进行设置。</w:t>
      </w:r>
    </w:p>
    <w:p w14:paraId="5C990A84">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（二）树标杆找差距</w:t>
      </w:r>
    </w:p>
    <w:p w14:paraId="221F3ED9">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加强应急预案编制和修订，增加应急演练针对性，加强调查研究，学习其他县市区成功经验，转变观念，争取本级财政对应急管理事业的支出力度，积极推进应急能力建设。</w:t>
      </w:r>
    </w:p>
    <w:p w14:paraId="048ABDFF">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 xml:space="preserve">部门整体支出绩效自评结果拟应用和公开情况  </w:t>
      </w:r>
    </w:p>
    <w:p w14:paraId="53CB64FC">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我局将根据自评结果进一步规范管理，针对绩效评价过程中发现的问题，有针对性地采取措施，改善管理。同时，按照县财政局统一部署，在规定时限内对202</w:t>
      </w:r>
      <w:r>
        <w:rPr>
          <w:rFonts w:hint="eastAsia" w:ascii="仿宋_GB2312" w:hAnsi="Calibri" w:eastAsia="仿宋_GB2312"/>
          <w:sz w:val="24"/>
          <w:szCs w:val="24"/>
          <w:lang w:val="en-US" w:eastAsia="zh-CN"/>
        </w:rPr>
        <w:t>5</w:t>
      </w:r>
      <w:r>
        <w:rPr>
          <w:rFonts w:hint="eastAsia" w:ascii="仿宋_GB2312" w:hAnsi="Calibri" w:eastAsia="仿宋_GB2312"/>
          <w:sz w:val="24"/>
          <w:szCs w:val="24"/>
        </w:rPr>
        <w:t>年部门整体支出绩效自评报告在岳阳县应急管理局门户网站进行公开。</w:t>
      </w:r>
    </w:p>
    <w:p w14:paraId="71960614">
      <w:pPr>
        <w:spacing w:line="40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其他需要说明的情况</w:t>
      </w:r>
    </w:p>
    <w:p w14:paraId="0989444E">
      <w:pPr>
        <w:spacing w:line="400" w:lineRule="exact"/>
        <w:ind w:firstLine="480" w:firstLineChars="200"/>
        <w:rPr>
          <w:rFonts w:hint="eastAsia" w:ascii="仿宋_GB2312" w:hAnsi="Calibri" w:eastAsia="仿宋_GB2312"/>
          <w:sz w:val="24"/>
          <w:szCs w:val="24"/>
        </w:rPr>
      </w:pPr>
      <w:r>
        <w:rPr>
          <w:rFonts w:hint="eastAsia" w:ascii="仿宋_GB2312" w:hAnsi="Calibri" w:eastAsia="仿宋_GB2312"/>
          <w:sz w:val="24"/>
          <w:szCs w:val="24"/>
        </w:rPr>
        <w:t>无</w:t>
      </w:r>
    </w:p>
    <w:p w14:paraId="42447A31">
      <w:pPr>
        <w:spacing w:line="400" w:lineRule="exact"/>
        <w:ind w:firstLine="480" w:firstLineChars="200"/>
        <w:rPr>
          <w:rFonts w:hint="eastAsia" w:ascii="仿宋_GB2312" w:hAnsi="Calibri" w:eastAsia="仿宋_GB2312"/>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黑体_GBK">
    <w:altName w:val="Times New Roman"/>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汉仪劲楷简">
    <w:panose1 w:val="00020600040101010101"/>
    <w:charset w:val="86"/>
    <w:family w:val="auto"/>
    <w:pitch w:val="default"/>
    <w:sig w:usb0="A00002BF" w:usb1="18EF7CFA" w:usb2="00000016" w:usb3="00000000" w:csb0="00040000" w:csb1="00000000"/>
  </w:font>
  <w:font w:name="汉仪大宋简">
    <w:panose1 w:val="02010600000101010101"/>
    <w:charset w:val="86"/>
    <w:family w:val="auto"/>
    <w:pitch w:val="default"/>
    <w:sig w:usb0="00000001" w:usb1="080E08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B4EA5"/>
    <w:rsid w:val="004B4EA5"/>
    <w:rsid w:val="0080227E"/>
    <w:rsid w:val="05BB0EF4"/>
    <w:rsid w:val="0BE905F9"/>
    <w:rsid w:val="15EB475F"/>
    <w:rsid w:val="1C946E92"/>
    <w:rsid w:val="20DB10E8"/>
    <w:rsid w:val="30852457"/>
    <w:rsid w:val="308702E5"/>
    <w:rsid w:val="34BB1FF4"/>
    <w:rsid w:val="35466A47"/>
    <w:rsid w:val="35692E15"/>
    <w:rsid w:val="394124CA"/>
    <w:rsid w:val="39B23CB5"/>
    <w:rsid w:val="3C305841"/>
    <w:rsid w:val="40D81CF2"/>
    <w:rsid w:val="48327F22"/>
    <w:rsid w:val="4ABC09E8"/>
    <w:rsid w:val="50CF0788"/>
    <w:rsid w:val="56720800"/>
    <w:rsid w:val="5E3C091A"/>
    <w:rsid w:val="607048EA"/>
    <w:rsid w:val="63DB12C3"/>
    <w:rsid w:val="67893137"/>
    <w:rsid w:val="6C554EC8"/>
    <w:rsid w:val="720170E5"/>
    <w:rsid w:val="739F2B07"/>
    <w:rsid w:val="75866801"/>
    <w:rsid w:val="763B5B08"/>
    <w:rsid w:val="7AFE508C"/>
    <w:rsid w:val="7D9536C0"/>
    <w:rsid w:val="7E5E5B24"/>
    <w:rsid w:val="7ED850B3"/>
    <w:rsid w:val="7F1A3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color w:val="000000"/>
      <w:kern w:val="0"/>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semiHidden/>
    <w:unhideWhenUsed/>
    <w:qFormat/>
    <w:uiPriority w:val="99"/>
    <w:pPr>
      <w:spacing w:before="20" w:after="100" w:afterAutospacing="1"/>
    </w:pPr>
    <w:rPr>
      <w:rFonts w:ascii="仿宋" w:hAnsi="仿宋" w:eastAsia="仿宋" w:cs="宋体"/>
      <w:sz w:val="35"/>
      <w:szCs w:val="35"/>
    </w:rPr>
  </w:style>
  <w:style w:type="paragraph" w:styleId="3">
    <w:name w:val="Body Text Indent"/>
    <w:basedOn w:val="1"/>
    <w:link w:val="11"/>
    <w:semiHidden/>
    <w:unhideWhenUsed/>
    <w:uiPriority w:val="99"/>
    <w:pPr>
      <w:spacing w:after="120"/>
      <w:ind w:left="420" w:leftChars="200"/>
    </w:pPr>
  </w:style>
  <w:style w:type="paragraph" w:styleId="4">
    <w:name w:val="Body Text First Indent 2"/>
    <w:basedOn w:val="3"/>
    <w:link w:val="12"/>
    <w:semiHidden/>
    <w:unhideWhenUsed/>
    <w:uiPriority w:val="99"/>
    <w:pPr>
      <w:ind w:firstLine="420" w:firstLineChars="200"/>
    </w:pPr>
  </w:style>
  <w:style w:type="paragraph" w:customStyle="1" w:styleId="7">
    <w:name w:val="列出段落1"/>
    <w:basedOn w:val="1"/>
    <w:qFormat/>
    <w:uiPriority w:val="34"/>
    <w:pPr>
      <w:ind w:firstLine="420" w:firstLineChars="200"/>
    </w:pPr>
    <w:rPr>
      <w:rFonts w:ascii="Calibri" w:hAnsi="Calibri" w:eastAsia="宋体" w:cs="Times New Roman"/>
      <w:szCs w:val="20"/>
    </w:rPr>
  </w:style>
  <w:style w:type="character" w:customStyle="1" w:styleId="8">
    <w:name w:val="正文文本 Char"/>
    <w:basedOn w:val="6"/>
    <w:link w:val="2"/>
    <w:semiHidden/>
    <w:qFormat/>
    <w:uiPriority w:val="99"/>
    <w:rPr>
      <w:rFonts w:ascii="仿宋" w:hAnsi="仿宋" w:eastAsia="仿宋" w:cs="宋体"/>
      <w:color w:val="000000"/>
      <w:kern w:val="0"/>
      <w:sz w:val="35"/>
      <w:szCs w:val="35"/>
    </w:rPr>
  </w:style>
  <w:style w:type="paragraph" w:customStyle="1" w:styleId="9">
    <w:name w:val="正文-公1"/>
    <w:basedOn w:val="1"/>
    <w:qFormat/>
    <w:uiPriority w:val="0"/>
    <w:pPr>
      <w:ind w:firstLine="200" w:firstLineChars="200"/>
    </w:pPr>
  </w:style>
  <w:style w:type="paragraph" w:customStyle="1" w:styleId="10">
    <w:name w:val="List Paragraph"/>
    <w:basedOn w:val="1"/>
    <w:semiHidden/>
    <w:qFormat/>
    <w:uiPriority w:val="0"/>
    <w:pPr>
      <w:ind w:firstLine="420" w:firstLineChars="200"/>
    </w:pPr>
  </w:style>
  <w:style w:type="character" w:customStyle="1" w:styleId="11">
    <w:name w:val="正文文本缩进 Char"/>
    <w:basedOn w:val="6"/>
    <w:link w:val="3"/>
    <w:semiHidden/>
    <w:qFormat/>
    <w:uiPriority w:val="99"/>
    <w:rPr>
      <w:rFonts w:ascii="Arial" w:hAnsi="Arial" w:eastAsia="宋体" w:cs="Arial"/>
      <w:color w:val="000000"/>
      <w:kern w:val="0"/>
      <w:szCs w:val="21"/>
    </w:rPr>
  </w:style>
  <w:style w:type="character" w:customStyle="1" w:styleId="12">
    <w:name w:val="正文首行缩进 2 Char"/>
    <w:basedOn w:val="11"/>
    <w:link w:val="4"/>
    <w:semiHidden/>
    <w:uiPriority w:val="99"/>
  </w:style>
  <w:style w:type="paragraph" w:customStyle="1" w:styleId="13">
    <w:name w:val="Default"/>
    <w:qFormat/>
    <w:uiPriority w:val="0"/>
    <w:pPr>
      <w:widowControl w:val="0"/>
      <w:autoSpaceDE w:val="0"/>
      <w:autoSpaceDN w:val="0"/>
      <w:adjustRightInd w:val="0"/>
    </w:pPr>
    <w:rPr>
      <w:rFonts w:ascii="黑体" w:hAnsi="Calibri" w:eastAsia="黑体" w:cs="黑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6262</Words>
  <Characters>6707</Characters>
  <Lines>48</Lines>
  <Paragraphs>13</Paragraphs>
  <TotalTime>11</TotalTime>
  <ScaleCrop>false</ScaleCrop>
  <LinksUpToDate>false</LinksUpToDate>
  <CharactersWithSpaces>6741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2024-04-19T03:19:00Z</dcterms:created>
  <dc:creator>微软用户</dc:creator>
  <cp:lastModifiedBy>瑜</cp:lastModifiedBy>
  <dcterms:modified xsi:type="dcterms:W3CDTF">2026-09-10T07:24:52Z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eyJoZGlkIjoiMTY1MDNmMGM0NDU0Yjc1NzBjMTdmMDdhMDQ2NTgwNWEiLCJ1c2VySWQiOiI2NTM4NDc2NzAifQ==</vt:lpwstr>
  </property>
  <property fmtid="{D5CDD505-2E9C-101B-9397-08002B2CF9AE}" pid="4" name="ICV">
    <vt:lpwstr>8A3C9B94FB364918A888B3888FA43620_12</vt:lpwstr>
  </property>
</Properties>
</file>