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6D9D1">
      <w:pPr>
        <w:spacing w:line="267" w:lineRule="auto"/>
        <w:jc w:val="both"/>
        <w:rPr>
          <w:rFonts w:ascii="宋体" w:hAnsi="宋体" w:eastAsia="宋体" w:cs="宋体"/>
          <w:bCs/>
          <w:spacing w:val="-4"/>
          <w:sz w:val="28"/>
          <w:szCs w:val="28"/>
          <w:lang w:eastAsia="zh-CN"/>
        </w:rPr>
      </w:pPr>
      <w:r>
        <w:rPr>
          <w:rFonts w:hint="eastAsia" w:ascii="宋体" w:hAnsi="宋体" w:eastAsia="宋体" w:cs="宋体"/>
          <w:bCs/>
          <w:spacing w:val="-4"/>
          <w:sz w:val="28"/>
          <w:szCs w:val="28"/>
          <w:lang w:eastAsia="zh-CN"/>
        </w:rPr>
        <w:t>附件4</w:t>
      </w:r>
    </w:p>
    <w:p w14:paraId="219442FA">
      <w:pPr>
        <w:ind w:firstLine="880"/>
        <w:jc w:val="center"/>
        <w:rPr>
          <w:rFonts w:ascii="方正小标宋简体" w:hAnsi="宋体" w:eastAsia="方正小标宋简体" w:cs="宋体"/>
          <w:sz w:val="44"/>
          <w:szCs w:val="44"/>
          <w:lang w:eastAsia="zh-CN"/>
        </w:rPr>
      </w:pPr>
      <w:r>
        <w:rPr>
          <w:rFonts w:hint="eastAsia" w:ascii="方正小标宋简体" w:eastAsia="方正小标宋简体"/>
          <w:sz w:val="44"/>
          <w:szCs w:val="44"/>
          <w:lang w:eastAsia="zh-CN"/>
        </w:rPr>
        <w:t>2025</w:t>
      </w:r>
      <w:r>
        <w:rPr>
          <w:rFonts w:hint="eastAsia" w:ascii="方正小标宋简体" w:hAnsi="宋体" w:eastAsia="方正小标宋简体" w:cs="宋体"/>
          <w:sz w:val="44"/>
          <w:szCs w:val="44"/>
          <w:lang w:eastAsia="zh-CN"/>
        </w:rPr>
        <w:t>年度</w:t>
      </w:r>
      <w:r>
        <w:rPr>
          <w:rFonts w:hint="eastAsia" w:ascii="方正小标宋简体" w:eastAsia="方正小标宋简体"/>
          <w:sz w:val="44"/>
          <w:szCs w:val="44"/>
          <w:lang w:eastAsia="zh-CN"/>
        </w:rPr>
        <w:t>岳阳县融媒体中心</w:t>
      </w:r>
      <w:r>
        <w:rPr>
          <w:rFonts w:hint="eastAsia" w:ascii="方正小标宋简体" w:hAnsi="宋体" w:eastAsia="方正小标宋简体" w:cs="宋体"/>
          <w:sz w:val="44"/>
          <w:szCs w:val="44"/>
          <w:lang w:eastAsia="zh-CN"/>
        </w:rPr>
        <w:t>整体支出</w:t>
      </w:r>
    </w:p>
    <w:p w14:paraId="5C61B308">
      <w:pPr>
        <w:ind w:firstLine="880"/>
        <w:jc w:val="center"/>
        <w:rPr>
          <w:rFonts w:ascii="方正小标宋简体" w:eastAsia="方正小标宋简体"/>
          <w:sz w:val="44"/>
          <w:szCs w:val="44"/>
          <w:lang w:eastAsia="zh-CN"/>
        </w:rPr>
      </w:pPr>
      <w:r>
        <w:rPr>
          <w:rFonts w:hint="eastAsia" w:ascii="方正小标宋简体" w:hAnsi="宋体" w:eastAsia="方正小标宋简体" w:cs="宋体"/>
          <w:sz w:val="44"/>
          <w:szCs w:val="44"/>
          <w:lang w:eastAsia="zh-CN"/>
        </w:rPr>
        <w:t>绩效自评报告</w:t>
      </w:r>
    </w:p>
    <w:p w14:paraId="72EB1E5D">
      <w:pPr>
        <w:pStyle w:val="2"/>
        <w:spacing w:before="78" w:line="221" w:lineRule="auto"/>
        <w:ind w:firstLine="587"/>
        <w:jc w:val="center"/>
        <w:rPr>
          <w:rFonts w:ascii="楷体_GB2312" w:eastAsia="楷体_GB2312"/>
          <w:b/>
          <w:bCs/>
          <w:spacing w:val="-28"/>
          <w:sz w:val="32"/>
          <w:szCs w:val="32"/>
          <w:lang w:eastAsia="zh-CN"/>
        </w:rPr>
      </w:pPr>
    </w:p>
    <w:p w14:paraId="7E3C1866">
      <w:pPr>
        <w:pStyle w:val="2"/>
        <w:spacing w:before="78" w:line="221" w:lineRule="auto"/>
        <w:ind w:firstLine="587"/>
        <w:jc w:val="center"/>
        <w:rPr>
          <w:rFonts w:ascii="楷体_GB2312" w:eastAsia="楷体_GB2312"/>
          <w:b/>
          <w:bCs/>
          <w:spacing w:val="-28"/>
          <w:sz w:val="32"/>
          <w:szCs w:val="32"/>
          <w:lang w:eastAsia="zh-CN"/>
        </w:rPr>
      </w:pPr>
    </w:p>
    <w:p w14:paraId="3C24B2F2">
      <w:pPr>
        <w:pStyle w:val="2"/>
        <w:spacing w:before="78" w:line="221" w:lineRule="auto"/>
        <w:ind w:firstLine="587"/>
        <w:jc w:val="center"/>
        <w:rPr>
          <w:rFonts w:ascii="楷体_GB2312" w:eastAsia="楷体_GB2312"/>
          <w:b/>
          <w:bCs/>
          <w:spacing w:val="-28"/>
          <w:sz w:val="32"/>
          <w:szCs w:val="32"/>
          <w:lang w:eastAsia="zh-CN"/>
        </w:rPr>
      </w:pPr>
    </w:p>
    <w:p w14:paraId="22471A11">
      <w:pPr>
        <w:pStyle w:val="2"/>
        <w:spacing w:before="78" w:line="221" w:lineRule="auto"/>
        <w:ind w:firstLine="587"/>
        <w:jc w:val="center"/>
        <w:rPr>
          <w:rFonts w:ascii="楷体_GB2312" w:eastAsia="楷体_GB2312"/>
          <w:b/>
          <w:bCs/>
          <w:spacing w:val="-28"/>
          <w:sz w:val="32"/>
          <w:szCs w:val="32"/>
          <w:lang w:eastAsia="zh-CN"/>
        </w:rPr>
      </w:pPr>
    </w:p>
    <w:p w14:paraId="0B4F2C3D">
      <w:pPr>
        <w:pStyle w:val="2"/>
        <w:spacing w:before="78" w:line="221" w:lineRule="auto"/>
        <w:ind w:firstLine="587"/>
        <w:jc w:val="center"/>
        <w:rPr>
          <w:rFonts w:ascii="楷体_GB2312" w:eastAsia="楷体_GB2312"/>
          <w:b/>
          <w:bCs/>
          <w:spacing w:val="-28"/>
          <w:sz w:val="32"/>
          <w:szCs w:val="32"/>
          <w:lang w:eastAsia="zh-CN"/>
        </w:rPr>
      </w:pPr>
    </w:p>
    <w:p w14:paraId="1F14629A">
      <w:pPr>
        <w:pStyle w:val="2"/>
        <w:spacing w:before="78" w:line="221" w:lineRule="auto"/>
        <w:ind w:firstLine="587"/>
        <w:jc w:val="center"/>
        <w:rPr>
          <w:rFonts w:ascii="楷体_GB2312" w:eastAsia="楷体_GB2312"/>
          <w:b/>
          <w:bCs/>
          <w:spacing w:val="-28"/>
          <w:sz w:val="32"/>
          <w:szCs w:val="32"/>
          <w:lang w:eastAsia="zh-CN"/>
        </w:rPr>
      </w:pPr>
    </w:p>
    <w:p w14:paraId="269F4E74">
      <w:pPr>
        <w:pStyle w:val="2"/>
        <w:spacing w:before="78" w:line="221" w:lineRule="auto"/>
        <w:ind w:firstLine="587"/>
        <w:jc w:val="center"/>
        <w:rPr>
          <w:rFonts w:ascii="楷体_GB2312" w:eastAsia="楷体_GB2312"/>
          <w:b/>
          <w:bCs/>
          <w:spacing w:val="-28"/>
          <w:sz w:val="32"/>
          <w:szCs w:val="32"/>
          <w:lang w:eastAsia="zh-CN"/>
        </w:rPr>
      </w:pPr>
    </w:p>
    <w:p w14:paraId="3F1FB4B8">
      <w:pPr>
        <w:pStyle w:val="2"/>
        <w:spacing w:before="78" w:line="221" w:lineRule="auto"/>
        <w:ind w:firstLine="587"/>
        <w:jc w:val="center"/>
        <w:rPr>
          <w:rFonts w:ascii="楷体_GB2312" w:eastAsia="楷体_GB2312"/>
          <w:b/>
          <w:bCs/>
          <w:spacing w:val="-28"/>
          <w:sz w:val="32"/>
          <w:szCs w:val="32"/>
          <w:lang w:eastAsia="zh-CN"/>
        </w:rPr>
      </w:pPr>
    </w:p>
    <w:p w14:paraId="22D81671">
      <w:pPr>
        <w:pStyle w:val="2"/>
        <w:spacing w:before="78" w:line="221" w:lineRule="auto"/>
        <w:ind w:firstLine="587"/>
        <w:jc w:val="center"/>
        <w:rPr>
          <w:rFonts w:ascii="楷体_GB2312" w:eastAsia="楷体_GB2312"/>
          <w:b/>
          <w:bCs/>
          <w:spacing w:val="-28"/>
          <w:sz w:val="32"/>
          <w:szCs w:val="32"/>
          <w:lang w:eastAsia="zh-CN"/>
        </w:rPr>
      </w:pPr>
    </w:p>
    <w:p w14:paraId="4AFE1A97">
      <w:pPr>
        <w:pStyle w:val="2"/>
        <w:spacing w:before="78" w:line="221" w:lineRule="auto"/>
        <w:ind w:firstLine="587"/>
        <w:jc w:val="center"/>
        <w:rPr>
          <w:rFonts w:ascii="楷体_GB2312" w:eastAsia="楷体_GB2312"/>
          <w:b/>
          <w:bCs/>
          <w:spacing w:val="-28"/>
          <w:sz w:val="32"/>
          <w:szCs w:val="32"/>
          <w:lang w:eastAsia="zh-CN"/>
        </w:rPr>
      </w:pPr>
    </w:p>
    <w:p w14:paraId="027C9780">
      <w:pPr>
        <w:pStyle w:val="2"/>
        <w:spacing w:before="78" w:line="221" w:lineRule="auto"/>
        <w:ind w:firstLine="587"/>
        <w:jc w:val="center"/>
        <w:rPr>
          <w:rFonts w:ascii="楷体_GB2312" w:eastAsia="楷体_GB2312"/>
          <w:b/>
          <w:bCs/>
          <w:spacing w:val="-28"/>
          <w:sz w:val="32"/>
          <w:szCs w:val="32"/>
          <w:lang w:eastAsia="zh-CN"/>
        </w:rPr>
      </w:pPr>
    </w:p>
    <w:p w14:paraId="71F136A2">
      <w:pPr>
        <w:pStyle w:val="2"/>
        <w:spacing w:before="78" w:line="221" w:lineRule="auto"/>
        <w:ind w:firstLine="587"/>
        <w:jc w:val="center"/>
        <w:rPr>
          <w:rFonts w:ascii="楷体_GB2312" w:eastAsia="楷体_GB2312"/>
          <w:b/>
          <w:bCs/>
          <w:spacing w:val="-28"/>
          <w:sz w:val="32"/>
          <w:szCs w:val="32"/>
          <w:lang w:eastAsia="zh-CN"/>
        </w:rPr>
      </w:pPr>
    </w:p>
    <w:p w14:paraId="3875BB00">
      <w:pPr>
        <w:pStyle w:val="2"/>
        <w:spacing w:before="78" w:line="221" w:lineRule="auto"/>
        <w:ind w:firstLine="587"/>
        <w:jc w:val="center"/>
        <w:rPr>
          <w:rFonts w:ascii="楷体_GB2312" w:eastAsia="楷体_GB2312"/>
          <w:b/>
          <w:bCs/>
          <w:spacing w:val="-28"/>
          <w:sz w:val="32"/>
          <w:szCs w:val="32"/>
          <w:lang w:eastAsia="zh-CN"/>
        </w:rPr>
      </w:pPr>
    </w:p>
    <w:p w14:paraId="43FD6A90">
      <w:pPr>
        <w:pStyle w:val="2"/>
        <w:spacing w:before="78" w:line="221" w:lineRule="auto"/>
        <w:ind w:firstLine="587"/>
        <w:jc w:val="center"/>
        <w:rPr>
          <w:rFonts w:ascii="楷体_GB2312" w:eastAsia="楷体_GB2312"/>
          <w:b/>
          <w:bCs/>
          <w:spacing w:val="-28"/>
          <w:sz w:val="32"/>
          <w:szCs w:val="32"/>
          <w:lang w:eastAsia="zh-CN"/>
        </w:rPr>
      </w:pPr>
    </w:p>
    <w:p w14:paraId="136E58DE">
      <w:pPr>
        <w:pStyle w:val="2"/>
        <w:spacing w:before="78" w:line="221" w:lineRule="auto"/>
        <w:ind w:firstLine="587"/>
        <w:jc w:val="center"/>
        <w:rPr>
          <w:rFonts w:ascii="楷体_GB2312" w:eastAsia="楷体_GB2312"/>
          <w:b/>
          <w:bCs/>
          <w:spacing w:val="-28"/>
          <w:sz w:val="32"/>
          <w:szCs w:val="32"/>
          <w:lang w:eastAsia="zh-CN"/>
        </w:rPr>
      </w:pPr>
    </w:p>
    <w:p w14:paraId="010E0537">
      <w:pPr>
        <w:pStyle w:val="2"/>
        <w:spacing w:before="78" w:line="221" w:lineRule="auto"/>
        <w:ind w:firstLine="587"/>
        <w:jc w:val="center"/>
        <w:rPr>
          <w:rFonts w:ascii="楷体_GB2312" w:eastAsia="楷体_GB2312"/>
          <w:b/>
          <w:bCs/>
          <w:spacing w:val="-28"/>
          <w:sz w:val="32"/>
          <w:szCs w:val="32"/>
          <w:lang w:eastAsia="zh-CN"/>
        </w:rPr>
      </w:pPr>
    </w:p>
    <w:p w14:paraId="7905A4BA">
      <w:pPr>
        <w:pStyle w:val="2"/>
        <w:spacing w:before="78" w:line="221" w:lineRule="auto"/>
        <w:ind w:firstLine="587"/>
        <w:jc w:val="center"/>
        <w:rPr>
          <w:rFonts w:ascii="楷体_GB2312" w:eastAsia="楷体_GB2312"/>
          <w:b/>
          <w:bCs/>
          <w:spacing w:val="-28"/>
          <w:sz w:val="32"/>
          <w:szCs w:val="32"/>
          <w:lang w:eastAsia="zh-CN"/>
        </w:rPr>
      </w:pPr>
    </w:p>
    <w:p w14:paraId="4DD9B1D3">
      <w:pPr>
        <w:pStyle w:val="2"/>
        <w:spacing w:before="78" w:line="221" w:lineRule="auto"/>
        <w:ind w:firstLine="587"/>
        <w:jc w:val="center"/>
        <w:rPr>
          <w:rFonts w:ascii="楷体_GB2312" w:eastAsia="楷体_GB2312"/>
          <w:sz w:val="32"/>
          <w:szCs w:val="32"/>
          <w:lang w:eastAsia="zh-CN"/>
        </w:rPr>
      </w:pPr>
      <w:r>
        <w:rPr>
          <w:rFonts w:hint="eastAsia" w:ascii="楷体_GB2312" w:eastAsia="楷体_GB2312"/>
          <w:b/>
          <w:bCs/>
          <w:spacing w:val="-28"/>
          <w:sz w:val="32"/>
          <w:szCs w:val="32"/>
          <w:lang w:eastAsia="zh-CN"/>
        </w:rPr>
        <w:t>部门(单位)名称：</w:t>
      </w:r>
      <w:r>
        <w:rPr>
          <w:rFonts w:hint="eastAsia" w:ascii="楷体_GB2312" w:eastAsia="楷体_GB2312"/>
          <w:b/>
          <w:bCs/>
          <w:spacing w:val="-28"/>
          <w:sz w:val="32"/>
          <w:szCs w:val="32"/>
          <w:u w:val="single"/>
          <w:lang w:eastAsia="zh-CN"/>
        </w:rPr>
        <w:t>(盖章)</w:t>
      </w:r>
    </w:p>
    <w:p w14:paraId="74D9B8C6">
      <w:pPr>
        <w:pStyle w:val="2"/>
        <w:spacing w:before="211" w:line="224" w:lineRule="auto"/>
        <w:ind w:firstLine="638"/>
        <w:jc w:val="center"/>
        <w:rPr>
          <w:b/>
          <w:bCs/>
          <w:spacing w:val="18"/>
          <w:sz w:val="30"/>
          <w:szCs w:val="30"/>
          <w:lang w:eastAsia="zh-CN"/>
        </w:rPr>
      </w:pPr>
      <w:r>
        <w:rPr>
          <w:b/>
          <w:bCs/>
          <w:spacing w:val="18"/>
          <w:sz w:val="30"/>
          <w:szCs w:val="30"/>
          <w:lang w:eastAsia="zh-CN"/>
        </w:rPr>
        <w:t>(此页为封面)</w:t>
      </w:r>
    </w:p>
    <w:p w14:paraId="29E6BFFB">
      <w:pPr>
        <w:pStyle w:val="2"/>
        <w:spacing w:before="211" w:line="224" w:lineRule="auto"/>
        <w:ind w:firstLine="638"/>
        <w:jc w:val="both"/>
        <w:rPr>
          <w:b/>
          <w:bCs/>
          <w:spacing w:val="18"/>
          <w:sz w:val="30"/>
          <w:szCs w:val="30"/>
          <w:lang w:eastAsia="zh-CN"/>
        </w:rPr>
      </w:pPr>
    </w:p>
    <w:sdt>
      <w:sdtPr>
        <w:id w:val="3580075"/>
      </w:sdtPr>
      <w:sdtEndPr>
        <w:rPr>
          <w:rFonts w:hint="eastAsia" w:asciiTheme="minorEastAsia" w:hAnsiTheme="minorEastAsia" w:eastAsiaTheme="minorEastAsia"/>
          <w:sz w:val="28"/>
          <w:szCs w:val="28"/>
        </w:rPr>
      </w:sdtEndPr>
      <w:sdtContent>
        <w:p w14:paraId="6E0A256C">
          <w:pPr>
            <w:pStyle w:val="4"/>
            <w:ind w:firstLine="360"/>
            <w:rPr>
              <w:rFonts w:asciiTheme="minorEastAsia" w:hAnsiTheme="minorEastAsia" w:eastAsiaTheme="minorEastAsia"/>
              <w:lang w:eastAsia="zh-CN"/>
            </w:rPr>
          </w:pPr>
          <w:r>
            <w:rPr>
              <w:rFonts w:hint="eastAsia" w:asciiTheme="minorEastAsia" w:hAnsiTheme="minorEastAsia" w:eastAsiaTheme="minorEastAsia"/>
              <w:sz w:val="28"/>
              <w:szCs w:val="28"/>
            </w:rPr>
            <w:fldChar w:fldCharType="begin"/>
          </w:r>
          <w:r>
            <w:rPr>
              <w:rFonts w:hint="eastAsia" w:asciiTheme="minorEastAsia" w:hAnsiTheme="minorEastAsia" w:eastAsiaTheme="minorEastAsia"/>
              <w:sz w:val="28"/>
              <w:szCs w:val="28"/>
              <w:lang w:eastAsia="zh-CN"/>
            </w:rPr>
            <w:instrText xml:space="preserve"> PAGE   \* MERGEFORMAT </w:instrText>
          </w:r>
          <w:r>
            <w:rPr>
              <w:rFonts w:hint="eastAsia" w:asciiTheme="minorEastAsia" w:hAnsiTheme="minorEastAsia" w:eastAsiaTheme="minorEastAsia"/>
              <w:sz w:val="28"/>
              <w:szCs w:val="28"/>
            </w:rPr>
            <w:fldChar w:fldCharType="separate"/>
          </w:r>
          <w:r>
            <w:rPr>
              <w:rFonts w:asciiTheme="minorEastAsia" w:hAnsiTheme="minorEastAsia" w:eastAsiaTheme="minorEastAsia"/>
              <w:sz w:val="28"/>
              <w:szCs w:val="28"/>
              <w:lang w:val="zh-CN" w:eastAsia="zh-CN"/>
            </w:rPr>
            <w:t>-</w:t>
          </w:r>
          <w:r>
            <w:rPr>
              <w:rFonts w:asciiTheme="minorEastAsia" w:hAnsiTheme="minorEastAsia" w:eastAsiaTheme="minorEastAsia"/>
              <w:sz w:val="28"/>
              <w:szCs w:val="28"/>
              <w:lang w:eastAsia="zh-CN"/>
            </w:rPr>
            <w:t xml:space="preserve"> </w:t>
          </w:r>
          <w:r>
            <w:rPr>
              <w:rFonts w:hint="eastAsia" w:asciiTheme="minorEastAsia" w:hAnsiTheme="minorEastAsia" w:eastAsiaTheme="minorEastAsia"/>
              <w:sz w:val="28"/>
              <w:szCs w:val="28"/>
              <w:lang w:eastAsia="zh-CN"/>
            </w:rPr>
            <w:t>1</w:t>
          </w:r>
          <w:r>
            <w:rPr>
              <w:rFonts w:asciiTheme="minorEastAsia" w:hAnsiTheme="minorEastAsia" w:eastAsiaTheme="minorEastAsia"/>
              <w:sz w:val="28"/>
              <w:szCs w:val="28"/>
              <w:lang w:eastAsia="zh-CN"/>
            </w:rPr>
            <w:t xml:space="preserve"> -</w:t>
          </w:r>
          <w:r>
            <w:rPr>
              <w:rFonts w:hint="eastAsia" w:asciiTheme="minorEastAsia" w:hAnsiTheme="minorEastAsia" w:eastAsiaTheme="minorEastAsia"/>
              <w:sz w:val="28"/>
              <w:szCs w:val="28"/>
            </w:rPr>
            <w:fldChar w:fldCharType="end"/>
          </w:r>
        </w:p>
      </w:sdtContent>
    </w:sdt>
    <w:p w14:paraId="28D3E3BE">
      <w:pPr>
        <w:pStyle w:val="2"/>
        <w:spacing w:before="211" w:line="224" w:lineRule="auto"/>
        <w:ind w:firstLine="638"/>
        <w:jc w:val="both"/>
        <w:rPr>
          <w:b/>
          <w:bCs/>
          <w:spacing w:val="18"/>
          <w:sz w:val="30"/>
          <w:szCs w:val="30"/>
          <w:lang w:eastAsia="zh-CN"/>
        </w:rPr>
      </w:pPr>
    </w:p>
    <w:p w14:paraId="36584D47">
      <w:pPr>
        <w:pStyle w:val="2"/>
        <w:numPr>
          <w:ilvl w:val="0"/>
          <w:numId w:val="1"/>
        </w:numPr>
        <w:spacing w:before="211" w:line="224" w:lineRule="auto"/>
        <w:ind w:firstLine="640"/>
        <w:jc w:val="both"/>
        <w:rPr>
          <w:rFonts w:ascii="方正黑体_GBK" w:eastAsia="方正黑体_GBK"/>
          <w:sz w:val="32"/>
          <w:szCs w:val="32"/>
          <w:lang w:eastAsia="zh-CN"/>
        </w:rPr>
      </w:pPr>
      <w:r>
        <w:rPr>
          <w:rFonts w:hint="eastAsia" w:ascii="方正黑体_GBK" w:eastAsia="方正黑体_GBK"/>
          <w:sz w:val="32"/>
          <w:szCs w:val="32"/>
          <w:lang w:eastAsia="zh-CN"/>
        </w:rPr>
        <w:t>部门</w:t>
      </w:r>
      <w:r>
        <w:rPr>
          <w:rFonts w:ascii="方正黑体_GBK" w:eastAsia="方正黑体_GBK"/>
          <w:sz w:val="32"/>
          <w:szCs w:val="32"/>
          <w:lang w:eastAsia="zh-CN"/>
        </w:rPr>
        <w:t>(</w:t>
      </w:r>
      <w:r>
        <w:rPr>
          <w:rFonts w:hint="eastAsia" w:ascii="方正黑体_GBK" w:eastAsia="方正黑体_GBK"/>
          <w:sz w:val="32"/>
          <w:szCs w:val="32"/>
          <w:lang w:eastAsia="zh-CN"/>
        </w:rPr>
        <w:t>单位</w:t>
      </w:r>
      <w:r>
        <w:rPr>
          <w:rFonts w:ascii="方正黑体_GBK" w:eastAsia="方正黑体_GBK"/>
          <w:sz w:val="32"/>
          <w:szCs w:val="32"/>
          <w:lang w:eastAsia="zh-CN"/>
        </w:rPr>
        <w:t>)</w:t>
      </w:r>
      <w:r>
        <w:rPr>
          <w:rFonts w:hint="eastAsia" w:ascii="方正黑体_GBK" w:eastAsia="方正黑体_GBK"/>
          <w:sz w:val="32"/>
          <w:szCs w:val="32"/>
          <w:lang w:eastAsia="zh-CN"/>
        </w:rPr>
        <w:t>基本情况</w:t>
      </w:r>
    </w:p>
    <w:p w14:paraId="1FF8893D">
      <w:pPr>
        <w:pStyle w:val="2"/>
        <w:spacing w:before="211" w:line="600" w:lineRule="exact"/>
        <w:ind w:firstLine="640" w:firstLineChars="200"/>
        <w:jc w:val="both"/>
        <w:rPr>
          <w:sz w:val="32"/>
          <w:szCs w:val="32"/>
          <w:lang w:eastAsia="zh-CN"/>
        </w:rPr>
      </w:pPr>
      <w:r>
        <w:rPr>
          <w:rFonts w:hint="eastAsia"/>
          <w:sz w:val="32"/>
          <w:szCs w:val="32"/>
          <w:lang w:eastAsia="zh-CN"/>
        </w:rPr>
        <w:t>岳阳县融媒体中心（岳阳县广播电视台）负责宣传贯彻执行党和国家的路线、方针、政策，把握正确的舆论导向，充分发挥党和政府的喉舌作用，围绕县委、县政府中心工作开展新闻宣传；负责完整传输中央、省、市广播电视节目；负责广播电视节目的采、编、播及广播、电视节目交流；负责自办节目的策划、采编、审查、包装以及播出编排和管理工作；负责广播电视对外宣传工作；负责广告和相关创收节目的策划、制作、经营及优质安全播出。</w:t>
      </w:r>
    </w:p>
    <w:p w14:paraId="4F6F8F22">
      <w:pPr>
        <w:pStyle w:val="2"/>
        <w:spacing w:before="211" w:line="600" w:lineRule="exact"/>
        <w:ind w:firstLine="640" w:firstLineChars="200"/>
        <w:jc w:val="both"/>
        <w:rPr>
          <w:sz w:val="32"/>
          <w:szCs w:val="32"/>
          <w:lang w:eastAsia="zh-CN"/>
        </w:rPr>
      </w:pPr>
      <w:r>
        <w:rPr>
          <w:rFonts w:hint="eastAsia"/>
          <w:sz w:val="32"/>
          <w:szCs w:val="32"/>
          <w:lang w:eastAsia="zh-CN"/>
        </w:rPr>
        <w:t>内设职能股室4个：办公室、人事股、财务计划股、技术安全股。下设岳阳县广播电视新闻中心、岳阳县广播电视发射台、岳阳县广播电视技术中心、岳阳县广播电视广告服务中心、岳阳县农村广播服务中心5个二级机构。全台共有干部职工1</w:t>
      </w:r>
      <w:r>
        <w:rPr>
          <w:rFonts w:hint="eastAsia"/>
          <w:sz w:val="32"/>
          <w:szCs w:val="32"/>
          <w:lang w:val="en-US" w:eastAsia="zh-CN"/>
        </w:rPr>
        <w:t>57</w:t>
      </w:r>
      <w:r>
        <w:rPr>
          <w:rFonts w:hint="eastAsia"/>
          <w:sz w:val="32"/>
          <w:szCs w:val="32"/>
          <w:lang w:eastAsia="zh-CN"/>
        </w:rPr>
        <w:t>人，其中在职人员8</w:t>
      </w:r>
      <w:r>
        <w:rPr>
          <w:rFonts w:hint="eastAsia"/>
          <w:sz w:val="32"/>
          <w:szCs w:val="32"/>
          <w:lang w:val="en-US" w:eastAsia="zh-CN"/>
        </w:rPr>
        <w:t>1</w:t>
      </w:r>
      <w:r>
        <w:rPr>
          <w:rFonts w:hint="eastAsia"/>
          <w:sz w:val="32"/>
          <w:szCs w:val="32"/>
          <w:lang w:eastAsia="zh-CN"/>
        </w:rPr>
        <w:t>人，退休人员56人，三性用工人员2</w:t>
      </w:r>
      <w:r>
        <w:rPr>
          <w:rFonts w:hint="eastAsia"/>
          <w:sz w:val="32"/>
          <w:szCs w:val="32"/>
          <w:lang w:val="en-US" w:eastAsia="zh-CN"/>
        </w:rPr>
        <w:t>0</w:t>
      </w:r>
      <w:r>
        <w:rPr>
          <w:rFonts w:hint="eastAsia"/>
          <w:sz w:val="32"/>
          <w:szCs w:val="32"/>
          <w:lang w:eastAsia="zh-CN"/>
        </w:rPr>
        <w:t>人。</w:t>
      </w:r>
    </w:p>
    <w:p w14:paraId="443D0485">
      <w:pPr>
        <w:spacing w:line="60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二、一般公共预算支出情况</w:t>
      </w:r>
    </w:p>
    <w:p w14:paraId="0FE558F6">
      <w:pPr>
        <w:pStyle w:val="13"/>
        <w:spacing w:line="600" w:lineRule="exact"/>
        <w:ind w:firstLine="643"/>
        <w:jc w:val="both"/>
        <w:rPr>
          <w:rFonts w:ascii="Times New Roman" w:hAnsi="Times New Roman" w:eastAsia="仿宋_GB2312"/>
          <w:sz w:val="32"/>
          <w:szCs w:val="32"/>
          <w:lang w:eastAsia="zh-CN"/>
        </w:rPr>
      </w:pPr>
      <w:r>
        <w:rPr>
          <w:rFonts w:hint="eastAsia" w:ascii="Times New Roman" w:hAnsi="Times New Roman" w:eastAsia="楷体_GB2312"/>
          <w:b/>
          <w:sz w:val="32"/>
          <w:szCs w:val="32"/>
          <w:lang w:eastAsia="zh-CN"/>
        </w:rPr>
        <w:t>（一）</w:t>
      </w:r>
      <w:r>
        <w:rPr>
          <w:rFonts w:hint="eastAsia" w:ascii="Times New Roman" w:hAnsi="Times New Roman" w:eastAsia="仿宋_GB2312"/>
          <w:sz w:val="32"/>
          <w:szCs w:val="32"/>
          <w:lang w:eastAsia="zh-CN"/>
        </w:rPr>
        <w:t>基本支出情况</w:t>
      </w:r>
    </w:p>
    <w:p w14:paraId="7754C51C">
      <w:pPr>
        <w:pStyle w:val="13"/>
        <w:spacing w:line="600" w:lineRule="exact"/>
        <w:ind w:firstLine="640"/>
        <w:jc w:val="both"/>
        <w:rPr>
          <w:rFonts w:ascii="仿宋" w:hAnsi="仿宋" w:eastAsia="仿宋" w:cs="仿宋"/>
          <w:sz w:val="32"/>
          <w:szCs w:val="32"/>
          <w:lang w:eastAsia="zh-CN"/>
        </w:rPr>
      </w:pPr>
      <w:r>
        <w:rPr>
          <w:rFonts w:hint="eastAsia" w:ascii="仿宋" w:hAnsi="仿宋" w:eastAsia="仿宋" w:cs="仿宋"/>
          <w:sz w:val="32"/>
          <w:szCs w:val="32"/>
          <w:lang w:eastAsia="zh-CN"/>
        </w:rPr>
        <w:t>2025年基本支出决算数为</w:t>
      </w:r>
      <w:r>
        <w:rPr>
          <w:rFonts w:ascii="仿宋" w:hAnsi="仿宋" w:eastAsia="仿宋" w:cs="仿宋"/>
          <w:sz w:val="32"/>
          <w:szCs w:val="32"/>
          <w:lang w:eastAsia="zh-CN"/>
        </w:rPr>
        <w:t>1202.</w:t>
      </w:r>
      <w:r>
        <w:rPr>
          <w:rFonts w:hint="eastAsia" w:ascii="仿宋" w:hAnsi="仿宋" w:eastAsia="仿宋" w:cs="仿宋"/>
          <w:sz w:val="32"/>
          <w:szCs w:val="32"/>
          <w:lang w:val="en-US" w:eastAsia="zh-CN"/>
        </w:rPr>
        <w:t>60</w:t>
      </w:r>
      <w:r>
        <w:rPr>
          <w:rFonts w:hint="eastAsia" w:ascii="仿宋" w:hAnsi="仿宋" w:eastAsia="仿宋" w:cs="仿宋"/>
          <w:sz w:val="32"/>
          <w:szCs w:val="32"/>
          <w:lang w:eastAsia="zh-CN"/>
        </w:rPr>
        <w:t>万元，是指为保障单位机构正常运转、完成日常工作任务而发生的各项支出，包括用于基本工资、津贴补贴等人员经费以及办公费、印刷费、水电费、差旅费等日常公用经费。</w:t>
      </w:r>
    </w:p>
    <w:p w14:paraId="75759518">
      <w:pPr>
        <w:pStyle w:val="13"/>
        <w:numPr>
          <w:ilvl w:val="0"/>
          <w:numId w:val="2"/>
        </w:numPr>
        <w:spacing w:line="600" w:lineRule="exact"/>
        <w:ind w:firstLine="640"/>
        <w:jc w:val="both"/>
        <w:rPr>
          <w:rFonts w:ascii="Times New Roman" w:hAnsi="Times New Roman" w:eastAsia="仿宋_GB2312"/>
          <w:sz w:val="32"/>
          <w:szCs w:val="32"/>
          <w:lang w:eastAsia="zh-CN"/>
        </w:rPr>
      </w:pPr>
      <w:r>
        <w:rPr>
          <w:rFonts w:hint="eastAsia" w:ascii="Times New Roman" w:hAnsi="Times New Roman" w:eastAsia="仿宋_GB2312"/>
          <w:sz w:val="32"/>
          <w:szCs w:val="32"/>
          <w:lang w:eastAsia="zh-CN"/>
        </w:rPr>
        <w:t>项目支出情况</w:t>
      </w:r>
    </w:p>
    <w:p w14:paraId="58467E1F">
      <w:pPr>
        <w:pStyle w:val="13"/>
        <w:spacing w:line="600" w:lineRule="exact"/>
        <w:ind w:firstLine="640"/>
        <w:jc w:val="both"/>
        <w:rPr>
          <w:rFonts w:hint="default" w:ascii="仿宋" w:hAnsi="仿宋" w:eastAsia="仿宋" w:cs="仿宋"/>
          <w:sz w:val="32"/>
          <w:szCs w:val="32"/>
          <w:lang w:val="en-US" w:eastAsia="zh-CN"/>
        </w:rPr>
      </w:pPr>
      <w:r>
        <w:rPr>
          <w:rFonts w:hint="eastAsia" w:ascii="仿宋" w:hAnsi="仿宋" w:eastAsia="仿宋" w:cs="仿宋"/>
          <w:sz w:val="32"/>
          <w:szCs w:val="32"/>
          <w:lang w:eastAsia="zh-CN"/>
        </w:rPr>
        <w:t>2025年项目支出决算数为</w:t>
      </w:r>
      <w:r>
        <w:rPr>
          <w:rFonts w:hint="eastAsia" w:ascii="仿宋" w:hAnsi="仿宋" w:eastAsia="仿宋" w:cs="仿宋"/>
          <w:sz w:val="32"/>
          <w:szCs w:val="32"/>
          <w:lang w:val="en-US" w:eastAsia="zh-CN"/>
        </w:rPr>
        <w:t>651.12</w:t>
      </w:r>
      <w:r>
        <w:rPr>
          <w:rFonts w:hint="eastAsia" w:ascii="仿宋" w:hAnsi="仿宋" w:eastAsia="仿宋" w:cs="仿宋"/>
          <w:sz w:val="32"/>
          <w:szCs w:val="32"/>
          <w:lang w:eastAsia="zh-CN"/>
        </w:rPr>
        <w:t>元，是指单位为完成特定行政工作任务或事业发展目标而发生的支出，包括有关业务工作经费、运行维护经费等。其中：融媒体中心运行费支出70万元，主要用于单位保障融媒体中心正常运行等方面；新湖南省技术平台运维服务费支出49万元，主要用于湖南日报新湖南APP技术平台的使用费；电视广告及新闻宣传支出107万元，主要用于单位新闻交流与宣传等方面；应急广播建设支出</w:t>
      </w:r>
      <w:r>
        <w:rPr>
          <w:rFonts w:hint="eastAsia" w:ascii="仿宋" w:hAnsi="仿宋" w:eastAsia="仿宋" w:cs="仿宋"/>
          <w:sz w:val="32"/>
          <w:szCs w:val="32"/>
          <w:lang w:val="en-US" w:eastAsia="zh-CN"/>
        </w:rPr>
        <w:t>318</w:t>
      </w:r>
      <w:r>
        <w:rPr>
          <w:rFonts w:hint="eastAsia" w:ascii="仿宋" w:hAnsi="仿宋" w:eastAsia="仿宋" w:cs="仿宋"/>
          <w:sz w:val="32"/>
          <w:szCs w:val="32"/>
          <w:lang w:eastAsia="zh-CN"/>
        </w:rPr>
        <w:t>万元，主要用于保障岳阳县政府应急管理能力。鹰咀山中央无线覆盖运维支出</w:t>
      </w:r>
      <w:r>
        <w:rPr>
          <w:rFonts w:hint="eastAsia" w:ascii="仿宋" w:hAnsi="仿宋" w:eastAsia="仿宋" w:cs="仿宋"/>
          <w:sz w:val="32"/>
          <w:szCs w:val="32"/>
          <w:lang w:val="en-US" w:eastAsia="zh-CN"/>
        </w:rPr>
        <w:t>40万元，</w:t>
      </w:r>
      <w:r>
        <w:rPr>
          <w:rFonts w:hint="eastAsia" w:ascii="仿宋" w:hAnsi="仿宋" w:eastAsia="仿宋" w:cs="仿宋"/>
          <w:sz w:val="32"/>
          <w:szCs w:val="32"/>
          <w:lang w:eastAsia="zh-CN"/>
        </w:rPr>
        <w:t>主要用于保障岳阳县人民收看高清电视等。</w:t>
      </w:r>
    </w:p>
    <w:p w14:paraId="1D95BE73">
      <w:pPr>
        <w:spacing w:line="60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三、政府性基金预算支出情况</w:t>
      </w:r>
    </w:p>
    <w:p w14:paraId="4F8F6622">
      <w:pPr>
        <w:spacing w:line="60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年度本单位无政府性基金安排的支出。</w:t>
      </w:r>
    </w:p>
    <w:p w14:paraId="68CDCEEE">
      <w:pPr>
        <w:spacing w:line="60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四、国有资本经营预算支出情况</w:t>
      </w:r>
    </w:p>
    <w:p w14:paraId="2A011E45">
      <w:pPr>
        <w:spacing w:line="60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年度本单位无国有资本经营预算支出。</w:t>
      </w:r>
    </w:p>
    <w:p w14:paraId="30710ACA">
      <w:pPr>
        <w:spacing w:line="60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五、社会保险基金预算支出情况</w:t>
      </w:r>
    </w:p>
    <w:p w14:paraId="007480FC">
      <w:pPr>
        <w:spacing w:line="60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年度本单位无社会保险基金预算支出。</w:t>
      </w:r>
    </w:p>
    <w:p w14:paraId="06D77634">
      <w:pPr>
        <w:spacing w:line="600" w:lineRule="exact"/>
        <w:ind w:firstLine="640" w:firstLineChars="200"/>
        <w:jc w:val="both"/>
        <w:rPr>
          <w:rFonts w:ascii="方正黑体_GBK" w:eastAsia="方正黑体_GBK"/>
          <w:sz w:val="32"/>
          <w:szCs w:val="32"/>
          <w:lang w:eastAsia="zh-CN"/>
        </w:rPr>
      </w:pPr>
    </w:p>
    <w:p w14:paraId="5B283CF0">
      <w:pPr>
        <w:spacing w:line="600" w:lineRule="exact"/>
        <w:ind w:firstLine="640" w:firstLineChars="200"/>
        <w:jc w:val="both"/>
        <w:rPr>
          <w:rFonts w:ascii="方正黑体_GBK" w:eastAsia="方正黑体_GBK"/>
          <w:sz w:val="32"/>
          <w:szCs w:val="32"/>
          <w:lang w:eastAsia="zh-CN"/>
        </w:rPr>
      </w:pPr>
    </w:p>
    <w:p w14:paraId="3FEB4BA5">
      <w:pPr>
        <w:spacing w:line="60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六、部门整体支出绩效情况</w:t>
      </w:r>
    </w:p>
    <w:p w14:paraId="597BF34B">
      <w:pPr>
        <w:pStyle w:val="6"/>
        <w:shd w:val="clear" w:color="auto" w:fill="FFFFFF"/>
        <w:spacing w:beforeAutospacing="0" w:afterAutospacing="0" w:line="600" w:lineRule="exact"/>
        <w:ind w:firstLine="640" w:firstLineChars="200"/>
        <w:rPr>
          <w:rFonts w:ascii="仿宋" w:hAnsi="仿宋" w:eastAsia="仿宋" w:cs="仿宋"/>
          <w:color w:val="494949"/>
          <w:sz w:val="32"/>
          <w:szCs w:val="32"/>
        </w:rPr>
      </w:pPr>
      <w:r>
        <w:rPr>
          <w:rFonts w:hint="eastAsia" w:ascii="仿宋" w:hAnsi="仿宋" w:eastAsia="仿宋" w:cs="仿宋"/>
          <w:color w:val="494949"/>
          <w:sz w:val="32"/>
          <w:szCs w:val="32"/>
          <w:shd w:val="clear" w:color="auto" w:fill="FFFFFF"/>
        </w:rPr>
        <w:t>（一）投入情况分析</w:t>
      </w:r>
    </w:p>
    <w:p w14:paraId="1094912E">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shd w:val="clear" w:color="auto" w:fill="FFFFFF"/>
        </w:rPr>
        <w:t>结合部门职责职能，设定工作目标，根据工作目标预算部门经费，收入</w:t>
      </w:r>
      <w:r>
        <w:rPr>
          <w:rFonts w:ascii="仿宋" w:hAnsi="仿宋" w:eastAsia="仿宋" w:cs="仿宋"/>
          <w:color w:val="000000" w:themeColor="text1"/>
          <w:sz w:val="32"/>
          <w:szCs w:val="32"/>
          <w:shd w:val="clear" w:color="auto" w:fill="FFFFFF"/>
        </w:rPr>
        <w:t>1</w:t>
      </w:r>
      <w:r>
        <w:rPr>
          <w:rFonts w:hint="eastAsia" w:ascii="仿宋" w:hAnsi="仿宋" w:eastAsia="仿宋" w:cs="仿宋"/>
          <w:color w:val="000000" w:themeColor="text1"/>
          <w:sz w:val="32"/>
          <w:szCs w:val="32"/>
          <w:shd w:val="clear" w:color="auto" w:fill="FFFFFF"/>
          <w:lang w:val="en-US" w:eastAsia="zh-CN"/>
        </w:rPr>
        <w:t>853.72</w:t>
      </w:r>
      <w:r>
        <w:rPr>
          <w:rFonts w:hint="eastAsia" w:ascii="仿宋" w:hAnsi="仿宋" w:eastAsia="仿宋" w:cs="仿宋"/>
          <w:color w:val="000000" w:themeColor="text1"/>
          <w:sz w:val="32"/>
          <w:szCs w:val="32"/>
          <w:shd w:val="clear" w:color="auto" w:fill="FFFFFF"/>
        </w:rPr>
        <w:t>万元，支出</w:t>
      </w:r>
      <w:r>
        <w:rPr>
          <w:rFonts w:ascii="仿宋" w:hAnsi="仿宋" w:eastAsia="仿宋" w:cs="仿宋"/>
          <w:color w:val="000000" w:themeColor="text1"/>
          <w:sz w:val="32"/>
          <w:szCs w:val="32"/>
          <w:shd w:val="clear" w:color="auto" w:fill="FFFFFF"/>
        </w:rPr>
        <w:t>1</w:t>
      </w:r>
      <w:r>
        <w:rPr>
          <w:rFonts w:hint="eastAsia" w:ascii="仿宋" w:hAnsi="仿宋" w:eastAsia="仿宋" w:cs="仿宋"/>
          <w:color w:val="000000" w:themeColor="text1"/>
          <w:sz w:val="32"/>
          <w:szCs w:val="32"/>
          <w:shd w:val="clear" w:color="auto" w:fill="FFFFFF"/>
          <w:lang w:val="en-US" w:eastAsia="zh-CN"/>
        </w:rPr>
        <w:t>853.72</w:t>
      </w:r>
      <w:r>
        <w:rPr>
          <w:rFonts w:hint="eastAsia" w:ascii="仿宋" w:hAnsi="仿宋" w:eastAsia="仿宋" w:cs="仿宋"/>
          <w:color w:val="000000" w:themeColor="text1"/>
          <w:sz w:val="32"/>
          <w:szCs w:val="32"/>
          <w:shd w:val="clear" w:color="auto" w:fill="FFFFFF"/>
        </w:rPr>
        <w:t>万元，其中：工资福利支出1089.43万元、商品和服务支出368.09万元、对个人和家庭补助79.02万元、资本性支出317.18万元，均为保障县融媒体中心干部职工工资及部门正常运转的相关经费支出。</w:t>
      </w:r>
    </w:p>
    <w:p w14:paraId="3AA8F890">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（二）过程情况分析</w:t>
      </w:r>
      <w:bookmarkStart w:id="0" w:name="_GoBack"/>
      <w:bookmarkEnd w:id="0"/>
    </w:p>
    <w:p w14:paraId="0D60D2FE">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我中心严格预算执行，按照岳阳县财政局要求有计划完成资金支付进度，2025年全年预算执行率达99.72%。进一步健全预算管理制度，并严格按照预算管理制度编制、申报、管理预算资金，实行收支两条线管理，做到预算管理公开化。规范资产管理，对固定资产的采购、使用、处置、管理工作进行了规范，实现了资产管理信息化。</w:t>
      </w:r>
    </w:p>
    <w:p w14:paraId="52023D0B">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（三）产出情况分析</w:t>
      </w:r>
    </w:p>
    <w:p w14:paraId="1FCB275E">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1.巩固舆论阵地：在新时代，县级融媒体中心建设是巩固和提升宣传舆论阵地的重要手段。通过增强基层干部群众的吸引力和感染力，县级融媒体中心能够更好地发挥统一思想认识、凝聚社会共识的重要作用。</w:t>
      </w:r>
    </w:p>
    <w:p w14:paraId="1B57990D">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2.提升公共信息服务水平：县级融媒体中心整合了县级广播电视、新媒体等资源，能够提供用得上、用得好的信息服务，使各族群众在共享互联网发展成果上享有更多获得感。</w:t>
      </w:r>
    </w:p>
    <w:p w14:paraId="0CE17EC7">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3.搭建联系群众的桥梁：融媒体中心的建设能够让原本信息不畅通的县域地区的群众拥有快捷、多形式、个性化的信息获取渠道，使党的法规政令在基层干部群众中传达，基层群众的声音通过网络问政和互动服务汇集反映。</w:t>
      </w:r>
    </w:p>
    <w:p w14:paraId="57131A02">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4.适应时代发展：县级融媒体中心建设是时代发展的必然要求。当今社会网络应用迅猛发展，新兴媒体影响巨大。与此同时，各类社交媒体已成为很多民众特别是年轻人的第一信息源。</w:t>
      </w:r>
    </w:p>
    <w:p w14:paraId="01A6B259">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5.推动基层宣传思想工作：县级融媒体中心建设是新时代治国理政的重大举措。通过加强和改进基层宣传思想工作，县级融媒体中心能够打造做群众思想政治工作的重要平台，推动基层宣传思想工作强起来。</w:t>
      </w:r>
    </w:p>
    <w:p w14:paraId="6298AD92">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（四）效果情况分析</w:t>
      </w:r>
    </w:p>
    <w:p w14:paraId="426B7E51">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一年来，县融媒体中心按照预算管理和支出绩效的要求，严格对预算申报、预算评审、资金申请等环节进行审批，确保项目资金预算到位、执行到位、使用到位，充分发挥预算资金效益。同时，在项目实施过程中，加强项目监督，按时、按质、按量完成项目绩效指标，确保了单位内各项工作的正常有序开展。</w:t>
      </w:r>
    </w:p>
    <w:p w14:paraId="746C720F">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七、存在的问题及原因分析</w:t>
      </w:r>
    </w:p>
    <w:p w14:paraId="687ACACD">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1、部门整体支出绩效目标填报需进一步完善</w:t>
      </w:r>
    </w:p>
    <w:p w14:paraId="1A36FE3F">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由于每年申报预算时间基本在10月份左右，对于下一年度绩效目标采取的措施在申报预算时并不能全部计划完成。同时，对于县委临时、突发等不可预见的工作内容也难以计划在内。造成各项任务目标的具体措施在填报计划措施与年终完成情况的对比还不够明确对应。</w:t>
      </w:r>
    </w:p>
    <w:p w14:paraId="2E6B5B26">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2、部门对整体支出绩效评价工作需进一步提高</w:t>
      </w:r>
    </w:p>
    <w:p w14:paraId="11922A52">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开展绩效自评工作对于我部门的资金规范管理、资金使用效率、提高资金使用效益以及部门绩效目标的实现都有很大的促进作用。但目前我中心的整体支出绩效自评工作仍有一些需要进一步完善、提高的地方。同时，对于已有的指标通过修改指标评分标准等方式，进一步提高绩效自评工作。</w:t>
      </w:r>
    </w:p>
    <w:p w14:paraId="08F6DCBC">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下一步改进措施</w:t>
      </w:r>
    </w:p>
    <w:p w14:paraId="15505D37">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为改进和提高财政支出绩效评价工作，保证下一年度的部门整体支出绩效评价结果客观公正，我中心将在下一年度申报年度预算时对于部门整体支出绩效目标措施内容进一步提前计划、完善，力争做到明确对应、详细表述。</w:t>
      </w:r>
    </w:p>
    <w:p w14:paraId="54A4B585">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九、部门整体支出绩效自评结果拟应用和公开情况</w:t>
      </w:r>
    </w:p>
    <w:p w14:paraId="2D48D61A">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1、针对本部门绩效自评中存在的问题，及时调整和优化本部门后续项目和以后年度预算支出的方向和结构，合理配置资源，加强财务管理，完善项目管理办法，切实提高项目管理水平、财政资金使用效益和部门工作效率。</w:t>
      </w:r>
    </w:p>
    <w:p w14:paraId="599F910C">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2、 根据绩效自评情况，不断补充完善绩效评价指标，逐步建立本部门和本行业的绩效评价指标库。</w:t>
      </w:r>
    </w:p>
    <w:p w14:paraId="7909A175">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3、 要针对本部门绩效自评中存在的问题，及时调整和优化本部门后续项目和以后年度预算支出的方向和结构，合理配置资源，加强财务管理，完善项目管理办法，切实提高项目管理水平、财政资金使用效益和部门工作效率。要认真落实整改意见，不断提高预算绩效管理水平。</w:t>
      </w:r>
    </w:p>
    <w:p w14:paraId="27A5637A">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4、按照政务公开的相关规定，将部门整体支出绩效自评报告，以及纳入自评范围的所有项目自评报告（涉密内容除外），通过门户网站向社会公开，接受社会监督。</w:t>
      </w:r>
    </w:p>
    <w:p w14:paraId="11AF0EC2">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十、其他需要说明的情况</w:t>
      </w:r>
    </w:p>
    <w:p w14:paraId="17F041F1">
      <w:pPr>
        <w:pStyle w:val="6"/>
        <w:shd w:val="clear" w:color="auto" w:fill="FFFFFF"/>
        <w:spacing w:beforeAutospacing="0" w:afterAutospacing="0" w:line="600" w:lineRule="exact"/>
        <w:ind w:firstLine="640" w:firstLineChars="200"/>
        <w:rPr>
          <w:rFonts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无需要说明的情况。</w:t>
      </w:r>
    </w:p>
    <w:p w14:paraId="78CF0892">
      <w:pPr>
        <w:spacing w:line="600" w:lineRule="exact"/>
        <w:rPr>
          <w:rFonts w:ascii="仿宋_GB2312" w:hAnsi="仿宋_GB2312" w:eastAsia="仿宋_GB2312" w:cs="仿宋_GB2312"/>
          <w:sz w:val="32"/>
          <w:szCs w:val="32"/>
          <w:lang w:eastAsia="zh-CN"/>
        </w:rPr>
      </w:pPr>
    </w:p>
    <w:sectPr>
      <w:footerReference r:id="rId3" w:type="default"/>
      <w:footerReference r:id="rId4" w:type="even"/>
      <w:pgSz w:w="11907" w:h="16839"/>
      <w:pgMar w:top="2098" w:right="1474" w:bottom="1985" w:left="1588" w:header="0" w:footer="1588" w:gutter="0"/>
      <w:pgNumType w:fmt="numberInDash"/>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altName w:val="Arial Unicode MS"/>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E492">
    <w:pPr>
      <w:pStyle w:val="4"/>
      <w:ind w:firstLine="360"/>
      <w:jc w:val="right"/>
      <w:rPr>
        <w:rFonts w:ascii="仿宋_GB2312" w:eastAsia="仿宋_GB2312"/>
        <w:sz w:val="28"/>
        <w:szCs w:val="28"/>
      </w:rPr>
    </w:pPr>
    <w:r>
      <w:rPr>
        <w:rFonts w:hint="eastAsia" w:asciiTheme="minorEastAsia" w:hAnsiTheme="minorEastAsia" w:eastAsiaTheme="minorEastAsia"/>
        <w:sz w:val="28"/>
        <w:szCs w:val="28"/>
      </w:rPr>
      <w:fldChar w:fldCharType="begin"/>
    </w:r>
    <w:r>
      <w:rPr>
        <w:rFonts w:hint="eastAsia" w:asciiTheme="minorEastAsia" w:hAnsiTheme="minorEastAsia" w:eastAsiaTheme="minorEastAsia"/>
        <w:sz w:val="28"/>
        <w:szCs w:val="28"/>
      </w:rPr>
      <w:instrText xml:space="preserve"> PAGE   \* MERGEFORMAT </w:instrText>
    </w:r>
    <w:r>
      <w:rPr>
        <w:rFonts w:hint="eastAsia"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3 -</w:t>
    </w:r>
    <w:r>
      <w:rPr>
        <w:rFonts w:hint="eastAsia" w:asciiTheme="minorEastAsia" w:hAnsiTheme="minorEastAsia" w:eastAsiaTheme="minorEastAsia"/>
        <w:sz w:val="28"/>
        <w:szCs w:val="28"/>
      </w:rPr>
      <w:fldChar w:fldCharType="end"/>
    </w:r>
  </w:p>
  <w:p w14:paraId="6ED9F584">
    <w:pPr>
      <w:ind w:firstLine="420"/>
    </w:pPr>
  </w:p>
  <w:p w14:paraId="5BDBCD2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80066"/>
    </w:sdtPr>
    <w:sdtEndPr>
      <w:rPr>
        <w:rFonts w:asciiTheme="minorEastAsia" w:hAnsiTheme="minorEastAsia" w:eastAsiaTheme="minorEastAsia"/>
        <w:sz w:val="28"/>
        <w:szCs w:val="28"/>
      </w:rPr>
    </w:sdtEndPr>
    <w:sdtContent>
      <w:p w14:paraId="68865F67">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4 -</w:t>
        </w:r>
        <w:r>
          <w:rPr>
            <w:rFonts w:asciiTheme="minorEastAsia" w:hAnsiTheme="minorEastAsia" w:eastAsiaTheme="minorEastAsia"/>
            <w:sz w:val="28"/>
            <w:szCs w:val="28"/>
          </w:rPr>
          <w:fldChar w:fldCharType="end"/>
        </w:r>
      </w:p>
    </w:sdtContent>
  </w:sdt>
  <w:p w14:paraId="1B9873C4">
    <w:pPr>
      <w:pStyle w:val="4"/>
      <w:rPr>
        <w:rFonts w:eastAsiaTheme="minorEastAsia"/>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DCAF"/>
    <w:multiLevelType w:val="singleLevel"/>
    <w:tmpl w:val="97D5DCAF"/>
    <w:lvl w:ilvl="0" w:tentative="0">
      <w:start w:val="1"/>
      <w:numFmt w:val="chineseCounting"/>
      <w:suff w:val="nothing"/>
      <w:lvlText w:val="%1、"/>
      <w:lvlJc w:val="left"/>
      <w:rPr>
        <w:rFonts w:hint="eastAsia"/>
      </w:rPr>
    </w:lvl>
  </w:abstractNum>
  <w:abstractNum w:abstractNumId="1">
    <w:nsid w:val="FAEEC46B"/>
    <w:multiLevelType w:val="singleLevel"/>
    <w:tmpl w:val="FAEEC46B"/>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isplayBackgroundShape w:val="1"/>
  <w:documentProtection w:enforcement="0"/>
  <w:defaultTabStop w:val="420"/>
  <w:evenAndOddHeaders w:val="1"/>
  <w:drawingGridHorizontalSpacing w:val="105"/>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DBlMDU2ZGJlNDYxZGQ0NDk3Njg0ZDAzYzg2YmJjNWMifQ=="/>
  </w:docVars>
  <w:rsids>
    <w:rsidRoot w:val="000F2365"/>
    <w:rsid w:val="000012B6"/>
    <w:rsid w:val="00071B35"/>
    <w:rsid w:val="000727C6"/>
    <w:rsid w:val="000C6CFE"/>
    <w:rsid w:val="000F2365"/>
    <w:rsid w:val="000F4247"/>
    <w:rsid w:val="0011599C"/>
    <w:rsid w:val="0017207F"/>
    <w:rsid w:val="001B36C3"/>
    <w:rsid w:val="002246E5"/>
    <w:rsid w:val="00225925"/>
    <w:rsid w:val="002535F3"/>
    <w:rsid w:val="00294388"/>
    <w:rsid w:val="0032277A"/>
    <w:rsid w:val="00332410"/>
    <w:rsid w:val="004A12A3"/>
    <w:rsid w:val="004D6192"/>
    <w:rsid w:val="0050589B"/>
    <w:rsid w:val="00545535"/>
    <w:rsid w:val="00546F67"/>
    <w:rsid w:val="005B3427"/>
    <w:rsid w:val="005E4D38"/>
    <w:rsid w:val="006116BA"/>
    <w:rsid w:val="006569FD"/>
    <w:rsid w:val="00706114"/>
    <w:rsid w:val="007570FF"/>
    <w:rsid w:val="007B2398"/>
    <w:rsid w:val="007D7028"/>
    <w:rsid w:val="007F6DFF"/>
    <w:rsid w:val="00827BE6"/>
    <w:rsid w:val="00842D81"/>
    <w:rsid w:val="008721A1"/>
    <w:rsid w:val="00890C0E"/>
    <w:rsid w:val="008E128E"/>
    <w:rsid w:val="008E657E"/>
    <w:rsid w:val="00912D49"/>
    <w:rsid w:val="00922AE1"/>
    <w:rsid w:val="0097670A"/>
    <w:rsid w:val="00A00A84"/>
    <w:rsid w:val="00A13F9A"/>
    <w:rsid w:val="00A22183"/>
    <w:rsid w:val="00AB359B"/>
    <w:rsid w:val="00C12207"/>
    <w:rsid w:val="00D70A3F"/>
    <w:rsid w:val="00DF4F78"/>
    <w:rsid w:val="00E17218"/>
    <w:rsid w:val="00F22085"/>
    <w:rsid w:val="00F32DF4"/>
    <w:rsid w:val="00F72F69"/>
    <w:rsid w:val="00FA78BC"/>
    <w:rsid w:val="00FE5EBB"/>
    <w:rsid w:val="03A41F76"/>
    <w:rsid w:val="042913CB"/>
    <w:rsid w:val="059773ED"/>
    <w:rsid w:val="06252653"/>
    <w:rsid w:val="07AC683C"/>
    <w:rsid w:val="0AD02409"/>
    <w:rsid w:val="0DAD4E1B"/>
    <w:rsid w:val="0E7A2E88"/>
    <w:rsid w:val="0E8D075B"/>
    <w:rsid w:val="0F117BA2"/>
    <w:rsid w:val="104D2390"/>
    <w:rsid w:val="10550706"/>
    <w:rsid w:val="106B61D2"/>
    <w:rsid w:val="10CE680C"/>
    <w:rsid w:val="1198193E"/>
    <w:rsid w:val="12F901BB"/>
    <w:rsid w:val="14E71E16"/>
    <w:rsid w:val="15412B90"/>
    <w:rsid w:val="157B7247"/>
    <w:rsid w:val="171E35E1"/>
    <w:rsid w:val="189A5894"/>
    <w:rsid w:val="18D0711C"/>
    <w:rsid w:val="19456BC6"/>
    <w:rsid w:val="1AF514C4"/>
    <w:rsid w:val="1B7A79F4"/>
    <w:rsid w:val="1CC038E7"/>
    <w:rsid w:val="1D352737"/>
    <w:rsid w:val="1E661C05"/>
    <w:rsid w:val="1F153328"/>
    <w:rsid w:val="1F2A6363"/>
    <w:rsid w:val="20713A86"/>
    <w:rsid w:val="20C31E08"/>
    <w:rsid w:val="23492A98"/>
    <w:rsid w:val="237F295E"/>
    <w:rsid w:val="23D62B00"/>
    <w:rsid w:val="25176E8F"/>
    <w:rsid w:val="25493054"/>
    <w:rsid w:val="27EC2CAD"/>
    <w:rsid w:val="281D65AA"/>
    <w:rsid w:val="285B228C"/>
    <w:rsid w:val="2B490EB4"/>
    <w:rsid w:val="2BA427C8"/>
    <w:rsid w:val="2BCA2BAA"/>
    <w:rsid w:val="2C313826"/>
    <w:rsid w:val="2C3829EF"/>
    <w:rsid w:val="2E082A3D"/>
    <w:rsid w:val="303E2FDA"/>
    <w:rsid w:val="33EC7B9C"/>
    <w:rsid w:val="34D2402D"/>
    <w:rsid w:val="35134303"/>
    <w:rsid w:val="351849C1"/>
    <w:rsid w:val="356130B4"/>
    <w:rsid w:val="365A7CF3"/>
    <w:rsid w:val="36EF4A75"/>
    <w:rsid w:val="37375A74"/>
    <w:rsid w:val="37E1553E"/>
    <w:rsid w:val="37F952C0"/>
    <w:rsid w:val="385604BF"/>
    <w:rsid w:val="385A6222"/>
    <w:rsid w:val="386645A6"/>
    <w:rsid w:val="38F31085"/>
    <w:rsid w:val="39B85DFB"/>
    <w:rsid w:val="3A1F5EA9"/>
    <w:rsid w:val="3AB91E81"/>
    <w:rsid w:val="3AE076BC"/>
    <w:rsid w:val="3BBF1A5F"/>
    <w:rsid w:val="3D037D04"/>
    <w:rsid w:val="3DD455A6"/>
    <w:rsid w:val="3FD50795"/>
    <w:rsid w:val="40055EAA"/>
    <w:rsid w:val="404E0BDA"/>
    <w:rsid w:val="4347756E"/>
    <w:rsid w:val="4472431D"/>
    <w:rsid w:val="4515782D"/>
    <w:rsid w:val="47372F64"/>
    <w:rsid w:val="479B74B7"/>
    <w:rsid w:val="47F0411D"/>
    <w:rsid w:val="48C434ED"/>
    <w:rsid w:val="494D3F91"/>
    <w:rsid w:val="495E522F"/>
    <w:rsid w:val="4A4D3522"/>
    <w:rsid w:val="4BC919E8"/>
    <w:rsid w:val="4E970C2B"/>
    <w:rsid w:val="4FD5108C"/>
    <w:rsid w:val="50460BA8"/>
    <w:rsid w:val="50795403"/>
    <w:rsid w:val="536A021A"/>
    <w:rsid w:val="53772F77"/>
    <w:rsid w:val="5572469F"/>
    <w:rsid w:val="57495CFA"/>
    <w:rsid w:val="58006EC2"/>
    <w:rsid w:val="585D7279"/>
    <w:rsid w:val="5B560125"/>
    <w:rsid w:val="5B7A1A2F"/>
    <w:rsid w:val="5BC903AC"/>
    <w:rsid w:val="5D8026ED"/>
    <w:rsid w:val="5DAF5613"/>
    <w:rsid w:val="5DB42C29"/>
    <w:rsid w:val="5F5720F9"/>
    <w:rsid w:val="5FAB594D"/>
    <w:rsid w:val="5FAD16DE"/>
    <w:rsid w:val="5FB54EB0"/>
    <w:rsid w:val="61681796"/>
    <w:rsid w:val="61813521"/>
    <w:rsid w:val="62FB6C04"/>
    <w:rsid w:val="633C2039"/>
    <w:rsid w:val="65AF0D1D"/>
    <w:rsid w:val="668D2269"/>
    <w:rsid w:val="66B875C1"/>
    <w:rsid w:val="67404FA6"/>
    <w:rsid w:val="67550FD9"/>
    <w:rsid w:val="67B27A6E"/>
    <w:rsid w:val="68AB6164"/>
    <w:rsid w:val="68B8009F"/>
    <w:rsid w:val="6A745C1A"/>
    <w:rsid w:val="6D7E6628"/>
    <w:rsid w:val="700A0487"/>
    <w:rsid w:val="70453D75"/>
    <w:rsid w:val="70A05A5E"/>
    <w:rsid w:val="70AF75DD"/>
    <w:rsid w:val="714003A2"/>
    <w:rsid w:val="720F5C1E"/>
    <w:rsid w:val="72F75AA7"/>
    <w:rsid w:val="74CA6436"/>
    <w:rsid w:val="753A1B1C"/>
    <w:rsid w:val="75573889"/>
    <w:rsid w:val="75FC7E24"/>
    <w:rsid w:val="765775DC"/>
    <w:rsid w:val="77D45F4A"/>
    <w:rsid w:val="7A772BBC"/>
    <w:rsid w:val="7AC072CB"/>
    <w:rsid w:val="7DC4557D"/>
    <w:rsid w:val="7E2A12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semiHidden/>
    <w:qFormat/>
    <w:uiPriority w:val="0"/>
    <w:pPr>
      <w:spacing w:before="20" w:line="222" w:lineRule="auto"/>
    </w:pPr>
    <w:rPr>
      <w:rFonts w:ascii="仿宋" w:hAnsi="仿宋" w:eastAsia="仿宋" w:cs="仿宋"/>
      <w:sz w:val="35"/>
      <w:szCs w:val="35"/>
    </w:rPr>
  </w:style>
  <w:style w:type="paragraph" w:styleId="3">
    <w:name w:val="Balloon Text"/>
    <w:basedOn w:val="1"/>
    <w:link w:val="12"/>
    <w:autoRedefine/>
    <w:qFormat/>
    <w:uiPriority w:val="0"/>
    <w:rPr>
      <w:sz w:val="18"/>
      <w:szCs w:val="18"/>
    </w:rPr>
  </w:style>
  <w:style w:type="paragraph" w:styleId="4">
    <w:name w:val="footer"/>
    <w:basedOn w:val="1"/>
    <w:link w:val="11"/>
    <w:autoRedefine/>
    <w:qFormat/>
    <w:uiPriority w:val="99"/>
    <w:pPr>
      <w:tabs>
        <w:tab w:val="center" w:pos="4153"/>
        <w:tab w:val="right" w:pos="8306"/>
      </w:tabs>
      <w:spacing w:line="560" w:lineRule="exact"/>
    </w:pPr>
    <w:rPr>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uiPriority w:val="0"/>
    <w:pPr>
      <w:spacing w:beforeAutospacing="1" w:afterAutospacing="1"/>
    </w:pPr>
    <w:rPr>
      <w:rFonts w:cs="Times New Roman"/>
      <w:sz w:val="24"/>
      <w:lang w:eastAsia="zh-CN"/>
    </w:rPr>
  </w:style>
  <w:style w:type="table" w:customStyle="1" w:styleId="9">
    <w:name w:val="Table Normal"/>
    <w:autoRedefine/>
    <w:semiHidden/>
    <w:unhideWhenUsed/>
    <w:qFormat/>
    <w:uiPriority w:val="0"/>
    <w:tblPr>
      <w:tblCellMar>
        <w:top w:w="0" w:type="dxa"/>
        <w:left w:w="0" w:type="dxa"/>
        <w:bottom w:w="0" w:type="dxa"/>
        <w:right w:w="0" w:type="dxa"/>
      </w:tblCellMar>
    </w:tblPr>
  </w:style>
  <w:style w:type="paragraph" w:customStyle="1" w:styleId="10">
    <w:name w:val="Table Text"/>
    <w:basedOn w:val="1"/>
    <w:autoRedefine/>
    <w:semiHidden/>
    <w:qFormat/>
    <w:uiPriority w:val="0"/>
  </w:style>
  <w:style w:type="character" w:customStyle="1" w:styleId="11">
    <w:name w:val="页脚 Char"/>
    <w:basedOn w:val="8"/>
    <w:link w:val="4"/>
    <w:autoRedefine/>
    <w:qFormat/>
    <w:uiPriority w:val="99"/>
    <w:rPr>
      <w:rFonts w:eastAsia="Arial"/>
      <w:snapToGrid w:val="0"/>
      <w:color w:val="000000"/>
      <w:sz w:val="18"/>
      <w:szCs w:val="18"/>
      <w:lang w:eastAsia="en-US"/>
    </w:rPr>
  </w:style>
  <w:style w:type="character" w:customStyle="1" w:styleId="12">
    <w:name w:val="批注框文本 Char"/>
    <w:basedOn w:val="8"/>
    <w:link w:val="3"/>
    <w:autoRedefine/>
    <w:qFormat/>
    <w:uiPriority w:val="0"/>
    <w:rPr>
      <w:rFonts w:eastAsia="Arial"/>
      <w:snapToGrid w:val="0"/>
      <w:color w:val="000000"/>
      <w:sz w:val="18"/>
      <w:szCs w:val="18"/>
      <w:lang w:eastAsia="en-US"/>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3475</Words>
  <Characters>3613</Characters>
  <Lines>27</Lines>
  <Paragraphs>7</Paragraphs>
  <TotalTime>7</TotalTime>
  <ScaleCrop>false</ScaleCrop>
  <LinksUpToDate>false</LinksUpToDate>
  <CharactersWithSpaces>3637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2024-03-25T08:56:00Z</dcterms:created>
  <dc:creator>Administrator</dc:creator>
  <cp:lastModifiedBy>杨莎莎</cp:lastModifiedBy>
  <cp:lastPrinted>2024-06-24T08:34:00Z</cp:lastPrinted>
  <dcterms:modified xsi:type="dcterms:W3CDTF">2026-09-16T03:07:45Z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2024-03-21T15:29:30Z</vt:filetime>
  </property>
  <property fmtid="{D5CDD505-2E9C-101B-9397-08002B2CF9AE}" pid="4" name="UsrData">
    <vt:lpwstr>65fbe1d271bc50001f716906wl</vt:lpwstr>
  </property>
  <property fmtid="{D5CDD505-2E9C-101B-9397-08002B2CF9AE}" pid="5" name="KSOProductBuildVer">
    <vt:lpwstr>2052-12.1.0.28505</vt:lpwstr>
  </property>
  <property fmtid="{D5CDD505-2E9C-101B-9397-08002B2CF9AE}" pid="6" name="ICV">
    <vt:lpwstr>7863570836064237B5B0EE3419BAB8E8_13</vt:lpwstr>
  </property>
  <property fmtid="{D5CDD505-2E9C-101B-9397-08002B2CF9AE}" pid="7" name="KSOTemplateDocerSaveRecord">
    <vt:lpwstr>eyJoZGlkIjoiMDBlMDU2ZGJlNDYxZGQ0NDk3Njg0ZDAzYzg2YmJjNWMiLCJ1c2VySWQiOiIxNjkzMzc1MzQ5In0=</vt:lpwstr>
  </property>
</Properties>
</file>