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26D90">
      <w:pPr>
        <w:pStyle w:val="13"/>
        <w:jc w:val="center"/>
        <w:rPr>
          <w:rFonts w:hint="eastAsia" w:ascii="微软雅黑" w:hAnsi="微软雅黑" w:eastAsia="微软雅黑" w:cs="微软雅黑"/>
          <w:sz w:val="56"/>
          <w:szCs w:val="56"/>
        </w:rPr>
      </w:pPr>
    </w:p>
    <w:p w14:paraId="3F2DF07D">
      <w:pPr>
        <w:pStyle w:val="13"/>
        <w:jc w:val="center"/>
        <w:rPr>
          <w:rFonts w:hint="eastAsia" w:ascii="微软雅黑" w:hAnsi="微软雅黑" w:eastAsia="微软雅黑" w:cs="微软雅黑"/>
          <w:sz w:val="56"/>
          <w:szCs w:val="56"/>
        </w:rPr>
      </w:pPr>
    </w:p>
    <w:p w14:paraId="23F564DC">
      <w:pPr>
        <w:pStyle w:val="13"/>
        <w:jc w:val="center"/>
        <w:rPr>
          <w:rFonts w:hint="eastAsia" w:ascii="微软雅黑" w:hAnsi="微软雅黑" w:eastAsia="微软雅黑" w:cs="微软雅黑"/>
          <w:sz w:val="84"/>
          <w:szCs w:val="84"/>
        </w:rPr>
      </w:pPr>
    </w:p>
    <w:p w14:paraId="099E9577">
      <w:pPr>
        <w:pStyle w:val="13"/>
        <w:jc w:val="center"/>
        <w:rPr>
          <w:rFonts w:hint="eastAsia" w:ascii="微软雅黑" w:hAnsi="微软雅黑" w:eastAsia="微软雅黑" w:cs="微软雅黑"/>
          <w:sz w:val="84"/>
          <w:szCs w:val="84"/>
        </w:rPr>
      </w:pPr>
    </w:p>
    <w:p w14:paraId="6CBEC200">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2024</w:t>
      </w:r>
      <w:r>
        <w:rPr>
          <w:rFonts w:ascii="微软雅黑" w:hAnsi="微软雅黑" w:eastAsia="微软雅黑" w:cs="微软雅黑"/>
          <w:b/>
          <w:sz w:val="84"/>
        </w:rPr>
        <w:t>年度</w:t>
      </w:r>
    </w:p>
    <w:p w14:paraId="5C6BEAF6">
      <w:pPr>
        <w:pStyle w:val="13"/>
        <w:jc w:val="center"/>
        <w:rPr>
          <w:rFonts w:hint="eastAsia" w:ascii="微软雅黑" w:hAnsi="微软雅黑" w:eastAsia="微软雅黑" w:cs="微软雅黑"/>
          <w:b/>
          <w:sz w:val="84"/>
          <w:lang w:eastAsia="zh-CN"/>
        </w:rPr>
      </w:pPr>
      <w:r>
        <w:rPr>
          <w:rFonts w:hint="eastAsia" w:ascii="微软雅黑" w:hAnsi="微软雅黑" w:eastAsia="微软雅黑" w:cs="微软雅黑"/>
          <w:b/>
          <w:bCs/>
          <w:sz w:val="84"/>
          <w:szCs w:val="84"/>
        </w:rPr>
        <w:t>岳阳县文化馆</w:t>
      </w:r>
      <w:r>
        <w:rPr>
          <w:rFonts w:hint="eastAsia" w:ascii="微软雅黑" w:hAnsi="微软雅黑" w:eastAsia="微软雅黑" w:cs="微软雅黑"/>
          <w:b/>
          <w:sz w:val="84"/>
          <w:lang w:eastAsia="zh-CN"/>
        </w:rPr>
        <w:t>单位</w:t>
      </w:r>
    </w:p>
    <w:p w14:paraId="63BF3F83">
      <w:pPr>
        <w:pStyle w:val="13"/>
        <w:jc w:val="center"/>
        <w:rPr>
          <w:rFonts w:hint="eastAsia" w:ascii="微软雅黑" w:hAnsi="微软雅黑" w:eastAsia="微软雅黑" w:cs="微软雅黑"/>
          <w:b/>
          <w:bCs/>
          <w:sz w:val="84"/>
          <w:szCs w:val="84"/>
        </w:rPr>
      </w:pPr>
      <w:r>
        <w:rPr>
          <w:rFonts w:ascii="微软雅黑" w:hAnsi="微软雅黑" w:eastAsia="微软雅黑" w:cs="微软雅黑"/>
          <w:b/>
          <w:sz w:val="84"/>
        </w:rPr>
        <w:t>部门决算</w:t>
      </w:r>
    </w:p>
    <w:p w14:paraId="27940431">
      <w:pPr>
        <w:pStyle w:val="13"/>
        <w:jc w:val="center"/>
        <w:rPr>
          <w:rFonts w:hint="eastAsia" w:ascii="微软雅黑" w:hAnsi="微软雅黑" w:eastAsia="微软雅黑" w:cs="微软雅黑"/>
          <w:sz w:val="84"/>
          <w:szCs w:val="84"/>
        </w:rPr>
      </w:pPr>
    </w:p>
    <w:p w14:paraId="3136B32C">
      <w:pPr>
        <w:pStyle w:val="13"/>
        <w:jc w:val="center"/>
        <w:rPr>
          <w:rFonts w:hint="eastAsia" w:ascii="微软雅黑" w:hAnsi="微软雅黑" w:eastAsia="微软雅黑" w:cs="微软雅黑"/>
          <w:sz w:val="84"/>
          <w:szCs w:val="84"/>
        </w:rPr>
      </w:pPr>
    </w:p>
    <w:p w14:paraId="39D0C213">
      <w:pPr>
        <w:pStyle w:val="13"/>
        <w:jc w:val="center"/>
        <w:rPr>
          <w:rFonts w:hint="eastAsia" w:ascii="微软雅黑" w:hAnsi="微软雅黑" w:eastAsia="微软雅黑" w:cs="微软雅黑"/>
          <w:sz w:val="84"/>
          <w:szCs w:val="84"/>
        </w:rPr>
      </w:pPr>
    </w:p>
    <w:p w14:paraId="4C48840B">
      <w:pPr>
        <w:pStyle w:val="13"/>
        <w:jc w:val="center"/>
        <w:rPr>
          <w:rFonts w:hint="eastAsia" w:ascii="微软雅黑" w:hAnsi="微软雅黑" w:eastAsia="微软雅黑" w:cs="微软雅黑"/>
          <w:sz w:val="84"/>
          <w:szCs w:val="84"/>
        </w:rPr>
      </w:pPr>
    </w:p>
    <w:p w14:paraId="0B75A18B">
      <w:pPr>
        <w:bidi w:val="0"/>
        <w:rPr>
          <w:rFonts w:hint="eastAsia" w:ascii="微软雅黑" w:hAnsi="微软雅黑" w:eastAsia="微软雅黑" w:cs="微软雅黑"/>
        </w:rPr>
      </w:pPr>
    </w:p>
    <w:p w14:paraId="3958D8C9">
      <w:pPr>
        <w:pStyle w:val="13"/>
        <w:spacing w:line="500" w:lineRule="exact"/>
        <w:jc w:val="center"/>
        <w:rPr>
          <w:rFonts w:hint="eastAsia" w:ascii="微软雅黑" w:hAnsi="微软雅黑" w:eastAsia="微软雅黑" w:cs="微软雅黑"/>
          <w:b/>
          <w:sz w:val="36"/>
          <w:szCs w:val="28"/>
        </w:rPr>
      </w:pPr>
      <w:r>
        <w:rPr>
          <w:rFonts w:hint="eastAsia" w:ascii="微软雅黑" w:hAnsi="微软雅黑" w:eastAsia="微软雅黑" w:cs="微软雅黑"/>
          <w:b/>
          <w:sz w:val="36"/>
          <w:szCs w:val="28"/>
        </w:rPr>
        <w:t>目录</w:t>
      </w:r>
    </w:p>
    <w:p w14:paraId="292BE786">
      <w:pPr>
        <w:pStyle w:val="13"/>
        <w:spacing w:line="500" w:lineRule="exact"/>
        <w:jc w:val="center"/>
        <w:rPr>
          <w:rFonts w:hint="eastAsia" w:ascii="微软雅黑" w:hAnsi="微软雅黑" w:eastAsia="微软雅黑" w:cs="微软雅黑"/>
          <w:b/>
          <w:sz w:val="36"/>
          <w:szCs w:val="28"/>
        </w:rPr>
      </w:pPr>
    </w:p>
    <w:p w14:paraId="28CB6929">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第一部分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岳阳县文化馆</w:t>
      </w:r>
      <w:r>
        <w:rPr>
          <w:rFonts w:hint="eastAsia" w:ascii="微软雅黑" w:hAnsi="微软雅黑" w:eastAsia="微软雅黑" w:cs="微软雅黑"/>
          <w:b/>
          <w:bCs w:val="0"/>
          <w:sz w:val="28"/>
          <w:szCs w:val="28"/>
          <w:lang w:eastAsia="zh-CN"/>
        </w:rPr>
        <w:t>单位</w:t>
      </w:r>
      <w:r>
        <w:rPr>
          <w:rFonts w:hint="eastAsia" w:ascii="微软雅黑" w:hAnsi="微软雅黑" w:eastAsia="微软雅黑" w:cs="微软雅黑"/>
          <w:b/>
          <w:bCs w:val="0"/>
          <w:sz w:val="28"/>
          <w:szCs w:val="28"/>
        </w:rPr>
        <w:t>概况</w:t>
      </w:r>
    </w:p>
    <w:p w14:paraId="10CF0DA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一、部门职责</w:t>
      </w:r>
    </w:p>
    <w:p w14:paraId="4F12635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二、机构设置及决算单位构成</w:t>
      </w:r>
    </w:p>
    <w:p w14:paraId="5C429606">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第二部分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部门决算表</w:t>
      </w:r>
    </w:p>
    <w:p w14:paraId="3A007FB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一、收入支出决算总表</w:t>
      </w:r>
    </w:p>
    <w:p w14:paraId="6444C55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二、收入决算表</w:t>
      </w:r>
    </w:p>
    <w:p w14:paraId="002C89E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三、支出决算表</w:t>
      </w:r>
    </w:p>
    <w:p w14:paraId="68776A5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四、财政拨款收入支出决算总表</w:t>
      </w:r>
    </w:p>
    <w:p w14:paraId="6EC9386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五、一般公共预算财政拨款支出决算表</w:t>
      </w:r>
    </w:p>
    <w:p w14:paraId="007890F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六、一般公共预算财政拨款基本支出决算明细表</w:t>
      </w:r>
    </w:p>
    <w:p w14:paraId="7692B08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七、政府性基金预算财政拨款收入支出决算表</w:t>
      </w:r>
    </w:p>
    <w:p w14:paraId="1ED76B3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八、国有资本经营预算财政拨款支出决算表</w:t>
      </w:r>
    </w:p>
    <w:p w14:paraId="56CC792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九、财政拨款“三公”经费支出决算表</w:t>
      </w:r>
    </w:p>
    <w:p w14:paraId="1EC3E8ED">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第三部分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部门决算情况说明</w:t>
      </w:r>
    </w:p>
    <w:p w14:paraId="58DC674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一、收入支出决算总体情况说明</w:t>
      </w:r>
    </w:p>
    <w:p w14:paraId="4B5185D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二、收入决算情况说明</w:t>
      </w:r>
    </w:p>
    <w:p w14:paraId="5E2CD09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三、支出决算情况说明</w:t>
      </w:r>
    </w:p>
    <w:p w14:paraId="39D3F08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四、财政拨款收入支出决算总体情况说明</w:t>
      </w:r>
    </w:p>
    <w:p w14:paraId="76980C4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五、一般公共预算财政拨款支出决算情况说明</w:t>
      </w:r>
    </w:p>
    <w:p w14:paraId="1336564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六、一般公共预算财政拨款基本支出决算情况说明</w:t>
      </w:r>
    </w:p>
    <w:p w14:paraId="1AF1C36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七</w:t>
      </w:r>
      <w:r>
        <w:rPr>
          <w:rFonts w:hint="eastAsia" w:ascii="微软雅黑" w:hAnsi="微软雅黑" w:eastAsia="微软雅黑" w:cs="微软雅黑"/>
          <w:sz w:val="28"/>
          <w:szCs w:val="28"/>
        </w:rPr>
        <w:t>、政府性基金预算收入支出决算情况</w:t>
      </w:r>
    </w:p>
    <w:p w14:paraId="0DB8A10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八</w:t>
      </w:r>
      <w:r>
        <w:rPr>
          <w:rFonts w:hint="eastAsia" w:ascii="微软雅黑" w:hAnsi="微软雅黑" w:eastAsia="微软雅黑" w:cs="微软雅黑"/>
          <w:sz w:val="28"/>
          <w:szCs w:val="28"/>
        </w:rPr>
        <w:t>、国有资本经营预算财政拨款支出决算</w:t>
      </w:r>
      <w:r>
        <w:rPr>
          <w:rFonts w:hint="eastAsia" w:ascii="微软雅黑" w:hAnsi="微软雅黑" w:eastAsia="微软雅黑" w:cs="微软雅黑"/>
          <w:sz w:val="28"/>
          <w:szCs w:val="28"/>
          <w:lang w:eastAsia="zh-CN"/>
        </w:rPr>
        <w:t>情况</w:t>
      </w:r>
    </w:p>
    <w:p w14:paraId="146F422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九</w:t>
      </w:r>
      <w:r>
        <w:rPr>
          <w:rFonts w:hint="eastAsia" w:ascii="微软雅黑" w:hAnsi="微软雅黑" w:eastAsia="微软雅黑" w:cs="微软雅黑"/>
          <w:sz w:val="28"/>
          <w:szCs w:val="28"/>
        </w:rPr>
        <w:t>、财政拨款三公经费支出决算情况说明</w:t>
      </w:r>
    </w:p>
    <w:p w14:paraId="6A2D88F8">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十、关于机关运行经费支出说明</w:t>
      </w:r>
    </w:p>
    <w:p w14:paraId="2E54FEA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十一、一般性支出情况说明</w:t>
      </w:r>
    </w:p>
    <w:p w14:paraId="1BD4BF4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十二、关于政府采购支出说明</w:t>
      </w:r>
    </w:p>
    <w:p w14:paraId="5C7A137A">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十三、关于国有资产占用情况说明</w:t>
      </w:r>
    </w:p>
    <w:p w14:paraId="4AF5041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十四、</w:t>
      </w:r>
      <w:r>
        <w:rPr>
          <w:rFonts w:hint="eastAsia" w:ascii="微软雅黑" w:hAnsi="微软雅黑" w:eastAsia="微软雅黑" w:cs="微软雅黑"/>
          <w:sz w:val="28"/>
          <w:szCs w:val="28"/>
        </w:rPr>
        <w:t>关于</w:t>
      </w:r>
      <w:r>
        <w:rPr>
          <w:rFonts w:hint="eastAsia" w:ascii="微软雅黑" w:hAnsi="微软雅黑" w:eastAsia="微软雅黑" w:cs="微软雅黑"/>
          <w:sz w:val="28"/>
          <w:szCs w:val="28"/>
          <w:lang w:val="en-US" w:eastAsia="zh-CN"/>
        </w:rPr>
        <w:t>2024</w:t>
      </w:r>
      <w:r>
        <w:rPr>
          <w:rFonts w:ascii="微软雅黑" w:hAnsi="微软雅黑" w:eastAsia="微软雅黑" w:cs="微软雅黑"/>
          <w:sz w:val="28"/>
        </w:rPr>
        <w:t>年度</w:t>
      </w:r>
      <w:r>
        <w:rPr>
          <w:rFonts w:hint="eastAsia" w:ascii="微软雅黑" w:hAnsi="微软雅黑" w:eastAsia="微软雅黑" w:cs="微软雅黑"/>
          <w:sz w:val="28"/>
          <w:szCs w:val="28"/>
        </w:rPr>
        <w:t>绩效</w:t>
      </w:r>
      <w:r>
        <w:rPr>
          <w:rFonts w:hint="eastAsia" w:ascii="微软雅黑" w:hAnsi="微软雅黑" w:eastAsia="微软雅黑" w:cs="微软雅黑"/>
          <w:sz w:val="28"/>
          <w:szCs w:val="28"/>
          <w:lang w:val="en-US" w:eastAsia="zh-CN"/>
        </w:rPr>
        <w:t>评价</w:t>
      </w:r>
      <w:r>
        <w:rPr>
          <w:rFonts w:hint="eastAsia" w:ascii="微软雅黑" w:hAnsi="微软雅黑" w:eastAsia="微软雅黑" w:cs="微软雅黑"/>
          <w:sz w:val="28"/>
          <w:szCs w:val="28"/>
        </w:rPr>
        <w:t>情况的说明</w:t>
      </w:r>
    </w:p>
    <w:p w14:paraId="21A9E322">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第四部分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名词解释</w:t>
      </w:r>
    </w:p>
    <w:p w14:paraId="76346B2B">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第五部分 附件</w:t>
      </w:r>
    </w:p>
    <w:p w14:paraId="40EC0865">
      <w:pPr>
        <w:pStyle w:val="13"/>
        <w:spacing w:line="500" w:lineRule="exact"/>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br w:type="page"/>
      </w:r>
    </w:p>
    <w:p w14:paraId="486E9C2E">
      <w:pPr>
        <w:jc w:val="center"/>
        <w:rPr>
          <w:rFonts w:hint="eastAsia" w:ascii="微软雅黑" w:hAnsi="微软雅黑" w:eastAsia="微软雅黑" w:cs="微软雅黑"/>
          <w:sz w:val="72"/>
          <w:szCs w:val="72"/>
        </w:rPr>
      </w:pPr>
    </w:p>
    <w:p w14:paraId="67889117">
      <w:pPr>
        <w:jc w:val="center"/>
        <w:rPr>
          <w:rFonts w:hint="eastAsia" w:ascii="微软雅黑" w:hAnsi="微软雅黑" w:eastAsia="微软雅黑" w:cs="微软雅黑"/>
          <w:sz w:val="72"/>
          <w:szCs w:val="72"/>
        </w:rPr>
      </w:pPr>
    </w:p>
    <w:p w14:paraId="2FDBD975">
      <w:pPr>
        <w:jc w:val="center"/>
        <w:rPr>
          <w:rFonts w:hint="eastAsia" w:ascii="微软雅黑" w:hAnsi="微软雅黑" w:eastAsia="微软雅黑" w:cs="微软雅黑"/>
          <w:sz w:val="72"/>
          <w:szCs w:val="72"/>
        </w:rPr>
      </w:pPr>
    </w:p>
    <w:p w14:paraId="5A86FCEE">
      <w:pPr>
        <w:jc w:val="center"/>
        <w:rPr>
          <w:rFonts w:hint="eastAsia" w:ascii="微软雅黑" w:hAnsi="微软雅黑" w:eastAsia="微软雅黑" w:cs="微软雅黑"/>
          <w:sz w:val="72"/>
          <w:szCs w:val="72"/>
        </w:rPr>
      </w:pPr>
    </w:p>
    <w:p w14:paraId="187E03F5">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 xml:space="preserve">第一部分 </w:t>
      </w:r>
    </w:p>
    <w:p w14:paraId="033EDE41">
      <w:pPr>
        <w:pStyle w:val="13"/>
        <w:jc w:val="center"/>
        <w:rPr>
          <w:rFonts w:hint="eastAsia" w:ascii="微软雅黑" w:hAnsi="微软雅黑" w:eastAsia="微软雅黑" w:cs="微软雅黑"/>
          <w:b/>
          <w:bCs/>
          <w:sz w:val="84"/>
          <w:szCs w:val="84"/>
        </w:rPr>
      </w:pPr>
    </w:p>
    <w:p w14:paraId="7B608486">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岳阳县文化馆</w:t>
      </w:r>
      <w:r>
        <w:rPr>
          <w:rFonts w:hint="eastAsia" w:ascii="微软雅黑" w:hAnsi="微软雅黑" w:eastAsia="微软雅黑" w:cs="微软雅黑"/>
          <w:b/>
          <w:bCs/>
          <w:sz w:val="84"/>
          <w:szCs w:val="84"/>
          <w:lang w:eastAsia="zh-CN"/>
        </w:rPr>
        <w:t>单位</w:t>
      </w:r>
      <w:r>
        <w:rPr>
          <w:rFonts w:hint="eastAsia" w:ascii="微软雅黑" w:hAnsi="微软雅黑" w:eastAsia="微软雅黑" w:cs="微软雅黑"/>
          <w:b/>
          <w:bCs/>
          <w:sz w:val="84"/>
          <w:szCs w:val="84"/>
        </w:rPr>
        <w:t>概况</w:t>
      </w:r>
    </w:p>
    <w:p w14:paraId="2640C529">
      <w:pPr>
        <w:jc w:val="center"/>
        <w:rPr>
          <w:rFonts w:hint="eastAsia" w:ascii="微软雅黑" w:hAnsi="微软雅黑" w:eastAsia="微软雅黑" w:cs="微软雅黑"/>
          <w:sz w:val="72"/>
          <w:szCs w:val="72"/>
        </w:rPr>
      </w:pPr>
    </w:p>
    <w:p w14:paraId="41A7EAA0">
      <w:pPr>
        <w:jc w:val="center"/>
        <w:rPr>
          <w:rFonts w:hint="eastAsia" w:ascii="微软雅黑" w:hAnsi="微软雅黑" w:eastAsia="微软雅黑" w:cs="微软雅黑"/>
          <w:sz w:val="72"/>
          <w:szCs w:val="72"/>
        </w:rPr>
      </w:pPr>
    </w:p>
    <w:p w14:paraId="01333CC6">
      <w:pPr>
        <w:jc w:val="center"/>
        <w:rPr>
          <w:rFonts w:hint="eastAsia" w:ascii="微软雅黑" w:hAnsi="微软雅黑" w:eastAsia="微软雅黑" w:cs="微软雅黑"/>
          <w:sz w:val="72"/>
          <w:szCs w:val="72"/>
        </w:rPr>
      </w:pPr>
    </w:p>
    <w:p w14:paraId="4602CD67">
      <w:pPr>
        <w:jc w:val="center"/>
        <w:rPr>
          <w:rFonts w:hint="eastAsia" w:ascii="微软雅黑" w:hAnsi="微软雅黑" w:eastAsia="微软雅黑" w:cs="微软雅黑"/>
          <w:sz w:val="72"/>
          <w:szCs w:val="72"/>
        </w:rPr>
      </w:pPr>
    </w:p>
    <w:p w14:paraId="58738B73">
      <w:pPr>
        <w:jc w:val="center"/>
        <w:rPr>
          <w:rFonts w:hint="eastAsia" w:ascii="微软雅黑" w:hAnsi="微软雅黑" w:eastAsia="微软雅黑" w:cs="微软雅黑"/>
          <w:sz w:val="72"/>
          <w:szCs w:val="72"/>
        </w:rPr>
      </w:pPr>
    </w:p>
    <w:p w14:paraId="0A67A589">
      <w:pPr>
        <w:pStyle w:val="14"/>
        <w:numPr>
          <w:ilvl w:val="0"/>
          <w:numId w:val="0"/>
        </w:numPr>
        <w:ind w:leftChars="0"/>
        <w:jc w:val="left"/>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lang w:val="en-US" w:eastAsia="zh-CN"/>
        </w:rPr>
        <w:t>一、</w:t>
      </w:r>
      <w:r>
        <w:rPr>
          <w:rFonts w:hint="eastAsia" w:ascii="微软雅黑" w:hAnsi="微软雅黑" w:eastAsia="微软雅黑" w:cs="微软雅黑"/>
          <w:b/>
          <w:bCs/>
          <w:sz w:val="32"/>
          <w:szCs w:val="32"/>
        </w:rPr>
        <w:t>部门职责</w:t>
      </w:r>
    </w:p>
    <w:p w14:paraId="36A6A108">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（一）负责宣传国家文化方针、政策和法令，开展文化科学知识的普及宣传。</w:t>
      </w:r>
    </w:p>
    <w:p w14:paraId="6DCC407A">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(二）</w:t>
      </w:r>
      <w:r>
        <w:rPr>
          <w:rFonts w:hint="eastAsia" w:ascii="微软雅黑" w:hAnsi="微软雅黑" w:eastAsia="微软雅黑" w:cs="微软雅黑"/>
          <w:sz w:val="32"/>
          <w:szCs w:val="32"/>
        </w:rPr>
        <w:t>组织开展健康有益、积极向上、丰富多彩的群众文化系列活动，举办各类艺术展览活动和文化下乡活动</w:t>
      </w:r>
    </w:p>
    <w:p w14:paraId="1A0EC32C">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（三）</w:t>
      </w:r>
      <w:r>
        <w:rPr>
          <w:rFonts w:hint="eastAsia" w:ascii="微软雅黑" w:hAnsi="微软雅黑" w:eastAsia="微软雅黑" w:cs="微软雅黑"/>
          <w:sz w:val="32"/>
          <w:szCs w:val="32"/>
        </w:rPr>
        <w:t>繁荣群众业余文化艺术活动，培训各种文化艺术人才，</w:t>
      </w:r>
    </w:p>
    <w:p w14:paraId="2CA7641D">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建立健全群众文化艺术档案。</w:t>
      </w:r>
    </w:p>
    <w:p w14:paraId="0A8012D1">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（四）</w:t>
      </w:r>
      <w:r>
        <w:rPr>
          <w:rFonts w:hint="eastAsia" w:ascii="微软雅黑" w:hAnsi="微软雅黑" w:eastAsia="微软雅黑" w:cs="微软雅黑"/>
          <w:sz w:val="32"/>
          <w:szCs w:val="32"/>
        </w:rPr>
        <w:t>组织全县业余文艺爱好者积极开展社区、广场、企业、</w:t>
      </w:r>
    </w:p>
    <w:p w14:paraId="12276A84">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校园、乡村等各种群众文化演出活动</w:t>
      </w:r>
    </w:p>
    <w:p w14:paraId="0BF1A473">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（五）</w:t>
      </w:r>
      <w:r>
        <w:rPr>
          <w:rFonts w:hint="eastAsia" w:ascii="微软雅黑" w:hAnsi="微软雅黑" w:eastAsia="微软雅黑" w:cs="微软雅黑"/>
          <w:sz w:val="32"/>
          <w:szCs w:val="32"/>
        </w:rPr>
        <w:t>组织音乐、舞蹈、美术、书法、小品、摄影等各种群众文化艺术门类的创作；创作贴近实际、贴近群众、贴近生活的优秀文艺作品，使文化馆成为吸引并满足群众求知、求乐、求美的文化艺术活动中心</w:t>
      </w:r>
    </w:p>
    <w:p w14:paraId="614A78B7">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（六）</w:t>
      </w:r>
      <w:r>
        <w:rPr>
          <w:rFonts w:hint="eastAsia" w:ascii="微软雅黑" w:hAnsi="微软雅黑" w:eastAsia="微软雅黑" w:cs="微软雅黑"/>
          <w:sz w:val="32"/>
          <w:szCs w:val="32"/>
        </w:rPr>
        <w:t>指导乡镇文化站和各基层业余文化组织开展相关业务。</w:t>
      </w:r>
    </w:p>
    <w:p w14:paraId="7F8A67A2">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（七）</w:t>
      </w:r>
      <w:r>
        <w:rPr>
          <w:rFonts w:hint="eastAsia" w:ascii="微软雅黑" w:hAnsi="微软雅黑" w:eastAsia="微软雅黑" w:cs="微软雅黑"/>
          <w:sz w:val="32"/>
          <w:szCs w:val="32"/>
        </w:rPr>
        <w:t>负责区域文物保护与管理，收集、整理、保护民族民间文化遗产资料。</w:t>
      </w:r>
    </w:p>
    <w:p w14:paraId="6D1BA84A">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（八）</w:t>
      </w:r>
      <w:r>
        <w:rPr>
          <w:rFonts w:hint="eastAsia" w:ascii="微软雅黑" w:hAnsi="微软雅黑" w:eastAsia="微软雅黑" w:cs="微软雅黑"/>
          <w:sz w:val="32"/>
          <w:szCs w:val="32"/>
        </w:rPr>
        <w:t>完成主管部门交办的其它工作任务</w:t>
      </w:r>
    </w:p>
    <w:p w14:paraId="4A06C3A6">
      <w:pPr>
        <w:widowControl/>
        <w:spacing w:line="600" w:lineRule="exact"/>
        <w:rPr>
          <w:rFonts w:hint="eastAsia" w:ascii="微软雅黑" w:hAnsi="微软雅黑" w:eastAsia="微软雅黑" w:cs="微软雅黑"/>
          <w:b/>
          <w:bCs w:val="0"/>
          <w:kern w:val="0"/>
          <w:sz w:val="32"/>
          <w:szCs w:val="32"/>
        </w:rPr>
      </w:pPr>
      <w:r>
        <w:rPr>
          <w:rFonts w:hint="eastAsia" w:ascii="微软雅黑" w:hAnsi="微软雅黑" w:eastAsia="微软雅黑" w:cs="微软雅黑"/>
          <w:b/>
          <w:bCs w:val="0"/>
          <w:kern w:val="0"/>
          <w:sz w:val="32"/>
          <w:szCs w:val="32"/>
        </w:rPr>
        <w:t>二、机构设置及决算单位构成</w:t>
      </w:r>
    </w:p>
    <w:p w14:paraId="2DB939A7">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bCs/>
          <w:kern w:val="0"/>
          <w:sz w:val="32"/>
          <w:szCs w:val="32"/>
        </w:rPr>
      </w:pPr>
      <w:r>
        <w:rPr>
          <w:rFonts w:hint="eastAsia" w:ascii="微软雅黑" w:hAnsi="微软雅黑" w:eastAsia="微软雅黑" w:cs="微软雅黑"/>
          <w:bCs/>
          <w:kern w:val="0"/>
          <w:sz w:val="32"/>
          <w:szCs w:val="32"/>
        </w:rPr>
        <w:t>（一）内设机构设置。</w:t>
      </w:r>
      <w:r>
        <w:rPr>
          <w:rFonts w:ascii="微软雅黑" w:hAnsi="微软雅黑" w:eastAsia="微软雅黑" w:cs="微软雅黑"/>
          <w:sz w:val="32"/>
        </w:rPr>
        <w:t>岳阳县文化馆单位内设机构包括：岳阳县文化馆单位内设机构包括：</w:t>
      </w:r>
      <w:r>
        <w:rPr>
          <w:rFonts w:hint="eastAsia" w:ascii="微软雅黑" w:hAnsi="微软雅黑" w:eastAsia="微软雅黑" w:cs="微软雅黑"/>
          <w:sz w:val="32"/>
        </w:rPr>
        <w:t>办公室、财务室、花鼓戏剧团、老年大学、非遗办公室、工会办公室等。</w:t>
      </w:r>
    </w:p>
    <w:p w14:paraId="43FEB9A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i/>
          <w:iCs/>
          <w:color w:val="FF0000"/>
          <w:sz w:val="32"/>
          <w:szCs w:val="24"/>
          <w:highlight w:val="white"/>
          <w:lang w:eastAsia="zh-CN"/>
        </w:rPr>
        <w:sectPr>
          <w:pgSz w:w="11906" w:h="16838"/>
          <w:pgMar w:top="720" w:right="720" w:bottom="720" w:left="720" w:header="851" w:footer="992" w:gutter="0"/>
          <w:cols w:space="720" w:num="1"/>
          <w:docGrid w:type="linesAndChars" w:linePitch="312" w:charSpace="0"/>
        </w:sectPr>
      </w:pPr>
      <w:r>
        <w:rPr>
          <w:rFonts w:hint="eastAsia" w:ascii="微软雅黑" w:hAnsi="微软雅黑" w:eastAsia="微软雅黑" w:cs="微软雅黑"/>
          <w:bCs/>
          <w:kern w:val="0"/>
          <w:sz w:val="32"/>
          <w:szCs w:val="32"/>
        </w:rPr>
        <w:t>（二）决算单位构成。</w:t>
      </w:r>
      <w:r>
        <w:rPr>
          <w:rFonts w:ascii="微软雅黑" w:hAnsi="微软雅黑" w:eastAsia="微软雅黑" w:cs="微软雅黑"/>
          <w:sz w:val="32"/>
        </w:rPr>
        <w:t>岳阳县文化馆单位</w:t>
      </w:r>
      <w:r>
        <w:rPr>
          <w:rFonts w:hint="eastAsia" w:ascii="微软雅黑" w:hAnsi="微软雅黑" w:eastAsia="微软雅黑" w:cs="微软雅黑"/>
          <w:bCs/>
          <w:kern w:val="0"/>
          <w:sz w:val="32"/>
          <w:szCs w:val="32"/>
          <w:lang w:eastAsia="zh-CN"/>
        </w:rPr>
        <w:t>2024</w:t>
      </w:r>
      <w:r>
        <w:rPr>
          <w:rFonts w:hint="eastAsia" w:ascii="微软雅黑" w:hAnsi="微软雅黑" w:eastAsia="微软雅黑" w:cs="微软雅黑"/>
          <w:bCs/>
          <w:kern w:val="0"/>
          <w:sz w:val="32"/>
          <w:szCs w:val="32"/>
        </w:rPr>
        <w:t>年部门决算汇总公开单位构成包括：</w:t>
      </w:r>
      <w:r>
        <w:rPr>
          <w:rFonts w:ascii="微软雅黑" w:hAnsi="微软雅黑" w:eastAsia="微软雅黑" w:cs="微软雅黑"/>
          <w:sz w:val="32"/>
        </w:rPr>
        <w:t>岳阳县文化馆单位本级</w:t>
      </w:r>
      <w:r>
        <w:rPr>
          <w:rFonts w:hint="eastAsia" w:ascii="微软雅黑" w:hAnsi="微软雅黑" w:eastAsia="微软雅黑" w:cs="微软雅黑"/>
          <w:sz w:val="32"/>
          <w:lang w:eastAsia="zh-CN"/>
        </w:rPr>
        <w:t>，我单位没有独立预算和独立核算的下属二级预算单位。</w:t>
      </w:r>
    </w:p>
    <w:p w14:paraId="17D9669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Cs/>
          <w:kern w:val="0"/>
          <w:sz w:val="32"/>
          <w:szCs w:val="32"/>
        </w:rPr>
      </w:pPr>
    </w:p>
    <w:p w14:paraId="77C978A2">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第二部分</w:t>
      </w:r>
    </w:p>
    <w:p w14:paraId="1BB8EB8F">
      <w:pPr>
        <w:pStyle w:val="13"/>
        <w:jc w:val="center"/>
        <w:rPr>
          <w:rFonts w:hint="eastAsia" w:ascii="微软雅黑" w:hAnsi="微软雅黑" w:eastAsia="微软雅黑" w:cs="微软雅黑"/>
          <w:b/>
          <w:bCs/>
          <w:sz w:val="72"/>
          <w:szCs w:val="72"/>
        </w:rPr>
      </w:pPr>
    </w:p>
    <w:p w14:paraId="2487BAF9">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部门决算表</w:t>
      </w:r>
    </w:p>
    <w:p w14:paraId="0C813683">
      <w:pPr>
        <w:jc w:val="center"/>
        <w:rPr>
          <w:rFonts w:hint="eastAsia" w:ascii="微软雅黑" w:hAnsi="微软雅黑" w:eastAsia="微软雅黑" w:cs="微软雅黑"/>
          <w:b/>
          <w:bCs/>
          <w:sz w:val="72"/>
          <w:szCs w:val="72"/>
          <w:lang w:eastAsia="zh-CN"/>
        </w:rPr>
      </w:pPr>
      <w:r>
        <w:rPr>
          <w:rFonts w:hint="eastAsia" w:ascii="微软雅黑" w:hAnsi="微软雅黑" w:eastAsia="微软雅黑" w:cs="微软雅黑"/>
          <w:b/>
          <w:bCs/>
          <w:sz w:val="72"/>
          <w:szCs w:val="72"/>
          <w:lang w:eastAsia="zh-CN"/>
        </w:rPr>
        <w:t>（见附件）</w:t>
      </w:r>
    </w:p>
    <w:p w14:paraId="36D6E240">
      <w:pPr>
        <w:pStyle w:val="13"/>
        <w:jc w:val="center"/>
        <w:rPr>
          <w:rFonts w:hint="eastAsia" w:ascii="微软雅黑" w:hAnsi="微软雅黑" w:eastAsia="微软雅黑" w:cs="微软雅黑"/>
          <w:b/>
          <w:bCs/>
          <w:sz w:val="72"/>
          <w:szCs w:val="72"/>
        </w:rPr>
      </w:pPr>
    </w:p>
    <w:p w14:paraId="23CE02C3">
      <w:pPr>
        <w:pStyle w:val="13"/>
        <w:jc w:val="center"/>
        <w:rPr>
          <w:rFonts w:hint="eastAsia" w:ascii="微软雅黑" w:hAnsi="微软雅黑" w:eastAsia="微软雅黑" w:cs="微软雅黑"/>
          <w:b/>
          <w:bCs/>
          <w:sz w:val="72"/>
          <w:szCs w:val="72"/>
        </w:rPr>
      </w:pPr>
    </w:p>
    <w:p w14:paraId="17CED37D">
      <w:pPr>
        <w:pStyle w:val="13"/>
        <w:jc w:val="center"/>
        <w:rPr>
          <w:rFonts w:hint="eastAsia" w:ascii="微软雅黑" w:hAnsi="微软雅黑" w:eastAsia="微软雅黑" w:cs="微软雅黑"/>
          <w:b/>
          <w:bCs/>
          <w:sz w:val="72"/>
          <w:szCs w:val="72"/>
        </w:rPr>
      </w:pPr>
    </w:p>
    <w:p w14:paraId="25B3B263">
      <w:pPr>
        <w:pStyle w:val="13"/>
        <w:jc w:val="center"/>
        <w:rPr>
          <w:rFonts w:hint="eastAsia" w:ascii="微软雅黑" w:hAnsi="微软雅黑" w:eastAsia="微软雅黑" w:cs="微软雅黑"/>
          <w:b/>
          <w:bCs/>
          <w:sz w:val="72"/>
          <w:szCs w:val="72"/>
        </w:rPr>
      </w:pPr>
    </w:p>
    <w:p w14:paraId="4AA61702">
      <w:pPr>
        <w:pStyle w:val="13"/>
        <w:jc w:val="center"/>
        <w:rPr>
          <w:rFonts w:hint="eastAsia" w:ascii="微软雅黑" w:hAnsi="微软雅黑" w:eastAsia="微软雅黑" w:cs="微软雅黑"/>
          <w:b/>
          <w:bCs/>
          <w:sz w:val="72"/>
          <w:szCs w:val="72"/>
        </w:rPr>
      </w:pPr>
    </w:p>
    <w:p w14:paraId="05D85BE8">
      <w:pPr>
        <w:pStyle w:val="13"/>
        <w:jc w:val="center"/>
        <w:rPr>
          <w:rFonts w:hint="eastAsia" w:ascii="微软雅黑" w:hAnsi="微软雅黑" w:eastAsia="微软雅黑" w:cs="微软雅黑"/>
          <w:b/>
          <w:bCs/>
          <w:sz w:val="72"/>
          <w:szCs w:val="72"/>
        </w:rPr>
      </w:pPr>
    </w:p>
    <w:p w14:paraId="376380CC">
      <w:pPr>
        <w:pStyle w:val="13"/>
        <w:jc w:val="center"/>
        <w:rPr>
          <w:rFonts w:hint="eastAsia" w:ascii="微软雅黑" w:hAnsi="微软雅黑" w:eastAsia="微软雅黑" w:cs="微软雅黑"/>
          <w:b/>
          <w:bCs/>
          <w:sz w:val="72"/>
          <w:szCs w:val="72"/>
        </w:rPr>
      </w:pPr>
    </w:p>
    <w:p w14:paraId="386E9695">
      <w:pPr>
        <w:pStyle w:val="13"/>
        <w:jc w:val="center"/>
        <w:rPr>
          <w:rFonts w:hint="eastAsia" w:ascii="微软雅黑" w:hAnsi="微软雅黑" w:eastAsia="微软雅黑" w:cs="微软雅黑"/>
          <w:b/>
          <w:bCs/>
          <w:sz w:val="70"/>
          <w:szCs w:val="70"/>
        </w:rPr>
      </w:pPr>
      <w:r>
        <w:rPr>
          <w:rFonts w:hint="eastAsia" w:ascii="微软雅黑" w:hAnsi="微软雅黑" w:eastAsia="微软雅黑" w:cs="微软雅黑"/>
          <w:b/>
          <w:bCs/>
          <w:sz w:val="72"/>
          <w:szCs w:val="72"/>
        </w:rPr>
        <w:t>第三部分</w:t>
      </w:r>
    </w:p>
    <w:p w14:paraId="3E58E6CD">
      <w:pPr>
        <w:pStyle w:val="13"/>
        <w:jc w:val="center"/>
        <w:rPr>
          <w:rFonts w:hint="eastAsia" w:ascii="微软雅黑" w:hAnsi="微软雅黑" w:eastAsia="微软雅黑" w:cs="微软雅黑"/>
          <w:sz w:val="70"/>
          <w:szCs w:val="70"/>
        </w:rPr>
      </w:pPr>
      <w:r>
        <w:rPr>
          <w:rFonts w:hint="eastAsia" w:ascii="微软雅黑" w:hAnsi="微软雅黑" w:eastAsia="微软雅黑" w:cs="微软雅黑"/>
          <w:b/>
          <w:bCs/>
          <w:sz w:val="70"/>
          <w:szCs w:val="70"/>
          <w:lang w:eastAsia="zh-CN"/>
        </w:rPr>
        <w:t>2024</w:t>
      </w:r>
      <w:r>
        <w:rPr>
          <w:rFonts w:hint="eastAsia" w:ascii="微软雅黑" w:hAnsi="微软雅黑" w:eastAsia="微软雅黑" w:cs="微软雅黑"/>
          <w:b/>
          <w:bCs/>
          <w:sz w:val="70"/>
          <w:szCs w:val="70"/>
        </w:rPr>
        <w:t>年度部门决算情况说明</w:t>
      </w:r>
    </w:p>
    <w:p w14:paraId="3533CE5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一、收入支出决算总体情况说明</w:t>
      </w:r>
    </w:p>
    <w:p w14:paraId="0B29CBE6">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default"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2024</w:t>
      </w:r>
      <w:r>
        <w:rPr>
          <w:rFonts w:hint="eastAsia" w:ascii="微软雅黑" w:hAnsi="微软雅黑" w:eastAsia="微软雅黑" w:cs="微软雅黑"/>
          <w:sz w:val="32"/>
          <w:szCs w:val="32"/>
        </w:rPr>
        <w:t>年度收、支总计</w:t>
      </w:r>
      <w:r>
        <w:rPr>
          <w:rFonts w:hint="eastAsia" w:ascii="微软雅黑" w:hAnsi="微软雅黑" w:eastAsia="微软雅黑" w:cs="微软雅黑"/>
          <w:sz w:val="32"/>
        </w:rPr>
        <w:t>1,042.93</w:t>
      </w:r>
      <w:r>
        <w:rPr>
          <w:rFonts w:ascii="微软雅黑" w:hAnsi="微软雅黑" w:eastAsia="微软雅黑" w:cs="微软雅黑"/>
          <w:sz w:val="32"/>
        </w:rPr>
        <w:t>万元。与上年</w:t>
      </w:r>
      <w:r>
        <w:rPr>
          <w:rFonts w:hint="eastAsia" w:ascii="微软雅黑" w:hAnsi="微软雅黑" w:eastAsia="微软雅黑" w:cs="微软雅黑"/>
          <w:sz w:val="32"/>
          <w:szCs w:val="32"/>
          <w:lang w:val="en-US" w:eastAsia="zh-CN"/>
        </w:rPr>
        <w:t>相</w:t>
      </w:r>
      <w:r>
        <w:rPr>
          <w:rFonts w:hint="eastAsia" w:ascii="微软雅黑" w:hAnsi="微软雅黑" w:eastAsia="微软雅黑" w:cs="微软雅黑"/>
          <w:sz w:val="32"/>
          <w:szCs w:val="32"/>
        </w:rPr>
        <w:t>比</w:t>
      </w:r>
      <w:r>
        <w:rPr>
          <w:rFonts w:hint="eastAsia" w:ascii="微软雅黑" w:hAnsi="微软雅黑" w:eastAsia="微软雅黑" w:cs="微软雅黑"/>
          <w:sz w:val="32"/>
          <w:szCs w:val="32"/>
          <w:lang w:eastAsia="zh-CN"/>
        </w:rPr>
        <w:t>，增加</w:t>
      </w:r>
      <w:r>
        <w:rPr>
          <w:rFonts w:hint="eastAsia" w:ascii="微软雅黑" w:hAnsi="微软雅黑" w:eastAsia="微软雅黑" w:cs="微软雅黑"/>
          <w:sz w:val="32"/>
          <w:szCs w:val="32"/>
          <w:lang w:val="en-US" w:eastAsia="zh-CN"/>
        </w:rPr>
        <w:t>68.88</w:t>
      </w:r>
      <w:r>
        <w:rPr>
          <w:rFonts w:ascii="微软雅黑" w:hAnsi="微软雅黑" w:eastAsia="微软雅黑" w:cs="微软雅黑"/>
          <w:sz w:val="32"/>
        </w:rPr>
        <w:t>万元，</w:t>
      </w:r>
      <w:r>
        <w:rPr>
          <w:rFonts w:hint="eastAsia" w:ascii="微软雅黑" w:hAnsi="微软雅黑" w:eastAsia="微软雅黑" w:cs="微软雅黑"/>
          <w:sz w:val="32"/>
          <w:lang w:eastAsia="zh-CN"/>
        </w:rPr>
        <w:t>增长</w:t>
      </w:r>
      <w:r>
        <w:rPr>
          <w:rFonts w:hint="eastAsia" w:ascii="微软雅黑" w:hAnsi="微软雅黑" w:eastAsia="微软雅黑" w:cs="微软雅黑"/>
          <w:sz w:val="32"/>
          <w:lang w:val="en-US" w:eastAsia="zh-CN"/>
        </w:rPr>
        <w:t>7.01</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本年度国家加大了对非物质文化遗产保护的投入，本年度项目支出增加幅度较大。</w:t>
      </w:r>
    </w:p>
    <w:p w14:paraId="28575EB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二、收入决算情况说明</w:t>
      </w:r>
    </w:p>
    <w:p w14:paraId="0FB36431">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年度收入合计</w:t>
      </w:r>
      <w:r>
        <w:rPr>
          <w:rFonts w:hint="eastAsia" w:ascii="微软雅黑" w:hAnsi="微软雅黑" w:eastAsia="微软雅黑" w:cs="微软雅黑"/>
          <w:sz w:val="32"/>
          <w:szCs w:val="32"/>
          <w:lang w:val="en-US" w:eastAsia="zh-CN"/>
        </w:rPr>
        <w:t>1,028.09</w:t>
      </w:r>
      <w:r>
        <w:rPr>
          <w:rFonts w:hint="eastAsia" w:ascii="微软雅黑" w:hAnsi="微软雅黑" w:eastAsia="微软雅黑" w:cs="微软雅黑"/>
          <w:sz w:val="32"/>
          <w:szCs w:val="32"/>
          <w:lang w:eastAsia="zh-CN"/>
        </w:rPr>
        <w:t>万元，其中：财政拨款收入</w:t>
      </w:r>
      <w:r>
        <w:rPr>
          <w:rFonts w:ascii="微软雅黑" w:hAnsi="微软雅黑" w:eastAsia="微软雅黑" w:cs="微软雅黑"/>
          <w:sz w:val="32"/>
        </w:rPr>
        <w:t>798.71</w:t>
      </w:r>
      <w:r>
        <w:rPr>
          <w:rFonts w:hint="eastAsia" w:ascii="微软雅黑" w:hAnsi="微软雅黑" w:eastAsia="微软雅黑" w:cs="微软雅黑"/>
          <w:sz w:val="32"/>
          <w:szCs w:val="32"/>
          <w:lang w:eastAsia="zh-CN"/>
        </w:rPr>
        <w:t>万元，占77.69%；上级补助收入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%；事业收入</w:t>
      </w:r>
      <w:r>
        <w:rPr>
          <w:rFonts w:ascii="微软雅黑" w:hAnsi="微软雅黑" w:eastAsia="微软雅黑" w:cs="微软雅黑"/>
          <w:sz w:val="32"/>
        </w:rPr>
        <w:t>67.12万元，占6.53</w:t>
      </w:r>
      <w:r>
        <w:rPr>
          <w:rFonts w:hint="eastAsia" w:ascii="微软雅黑" w:hAnsi="微软雅黑" w:eastAsia="微软雅黑" w:cs="微软雅黑"/>
          <w:sz w:val="32"/>
          <w:szCs w:val="32"/>
          <w:lang w:eastAsia="zh-CN"/>
        </w:rPr>
        <w:t>%；经营收入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%；附属单位上缴收入</w:t>
      </w:r>
      <w:r>
        <w:rPr>
          <w:rFonts w:ascii="微软雅黑" w:hAnsi="微软雅黑" w:eastAsia="微软雅黑" w:cs="微软雅黑"/>
          <w:sz w:val="32"/>
        </w:rPr>
        <w:t>0万元，占0</w:t>
      </w:r>
      <w:r>
        <w:rPr>
          <w:rFonts w:hint="eastAsia" w:ascii="微软雅黑" w:hAnsi="微软雅黑" w:eastAsia="微软雅黑" w:cs="微软雅黑"/>
          <w:sz w:val="32"/>
          <w:szCs w:val="32"/>
          <w:lang w:eastAsia="zh-CN"/>
        </w:rPr>
        <w:t>%；其他收入</w:t>
      </w:r>
      <w:r>
        <w:rPr>
          <w:rFonts w:ascii="微软雅黑" w:hAnsi="微软雅黑" w:eastAsia="微软雅黑" w:cs="微软雅黑"/>
          <w:sz w:val="32"/>
        </w:rPr>
        <w:t>162.26万元，占</w:t>
      </w:r>
      <w:r>
        <w:rPr>
          <w:rFonts w:hint="eastAsia" w:ascii="微软雅黑" w:hAnsi="微软雅黑" w:eastAsia="微软雅黑" w:cs="微软雅黑"/>
          <w:sz w:val="32"/>
          <w:szCs w:val="32"/>
          <w:lang w:val="en-US" w:eastAsia="zh-CN"/>
        </w:rPr>
        <w:t>15.78</w:t>
      </w:r>
      <w:r>
        <w:rPr>
          <w:rFonts w:hint="eastAsia" w:ascii="微软雅黑" w:hAnsi="微软雅黑" w:eastAsia="微软雅黑" w:cs="微软雅黑"/>
          <w:sz w:val="32"/>
          <w:szCs w:val="32"/>
          <w:lang w:eastAsia="zh-CN"/>
        </w:rPr>
        <w:t>%。</w:t>
      </w:r>
    </w:p>
    <w:p w14:paraId="4DAC856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三、支出决算情况说明</w:t>
      </w:r>
    </w:p>
    <w:p w14:paraId="00CCC1F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年度支出合计1,042.93万元，其中：基本支出780.29万元，占74.82%；项目支出262.64万元，占25.18%；上缴上级支出0万元，占0%；经营支出0万元，占0%；对附属单位补助支出0万元，占0%。</w:t>
      </w:r>
    </w:p>
    <w:p w14:paraId="79E15A9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四、财政拨款收入支出决算总体情况说明</w:t>
      </w:r>
    </w:p>
    <w:p w14:paraId="675A5D9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年度财政拨款收、支总计798.71万元，与上年相比，增长95.90万元,增长13.65%，主要是因为</w:t>
      </w:r>
      <w:r>
        <w:rPr>
          <w:rFonts w:hint="eastAsia" w:ascii="微软雅黑" w:hAnsi="微软雅黑" w:eastAsia="微软雅黑" w:cs="微软雅黑"/>
          <w:sz w:val="32"/>
          <w:lang w:eastAsia="zh-CN"/>
        </w:rPr>
        <w:t>本年度国家加大了对非物质文化遗产保护的投入，本年度项目支出增加幅度较大。</w:t>
      </w:r>
    </w:p>
    <w:p w14:paraId="2A5B35A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val="0"/>
          <w:bCs/>
          <w:sz w:val="32"/>
          <w:szCs w:val="32"/>
        </w:rPr>
      </w:pPr>
      <w:r>
        <w:rPr>
          <w:rFonts w:hint="eastAsia" w:ascii="微软雅黑" w:hAnsi="微软雅黑" w:eastAsia="微软雅黑" w:cs="微软雅黑"/>
          <w:b/>
          <w:bCs w:val="0"/>
          <w:sz w:val="32"/>
          <w:szCs w:val="32"/>
        </w:rPr>
        <w:t>五、一般公共预算财政拨款支出决算情况说明</w:t>
      </w:r>
    </w:p>
    <w:p w14:paraId="6F77D8D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（一）财政拨款支出决算总体情况</w:t>
      </w:r>
    </w:p>
    <w:p w14:paraId="0E73F2C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年度财政拨款支出798.71万元，占本年支出合计的76.58</w:t>
      </w:r>
      <w:r>
        <w:rPr>
          <w:rFonts w:hint="eastAsia" w:ascii="微软雅黑" w:hAnsi="微软雅黑" w:eastAsia="微软雅黑" w:cs="微软雅黑"/>
          <w:sz w:val="32"/>
          <w:szCs w:val="32"/>
          <w:lang w:eastAsia="zh-CN"/>
        </w:rPr>
        <w:t>%，与上年相比，财政拨款支出</w:t>
      </w:r>
      <w:r>
        <w:rPr>
          <w:rFonts w:ascii="微软雅黑" w:hAnsi="微软雅黑" w:eastAsia="微软雅黑" w:cs="微软雅黑"/>
          <w:sz w:val="32"/>
        </w:rPr>
        <w:t>增长95.90万元，增长13.65%，主要是因为</w:t>
      </w:r>
      <w:r>
        <w:rPr>
          <w:rFonts w:hint="eastAsia" w:ascii="微软雅黑" w:hAnsi="微软雅黑" w:eastAsia="微软雅黑" w:cs="微软雅黑"/>
          <w:sz w:val="32"/>
          <w:lang w:eastAsia="zh-CN"/>
        </w:rPr>
        <w:t>本年度国家加大了对非物质文化遗产保护的投入，本年度项目支出增加幅度较大。</w:t>
      </w:r>
    </w:p>
    <w:p w14:paraId="2E2D02D4">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（二）财政拨款支出决算结构情况</w:t>
      </w:r>
    </w:p>
    <w:p w14:paraId="714FA7E9">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年度财政拨款支出798.71万元，主要用于以下方面：</w:t>
      </w:r>
      <w:r>
        <w:rPr>
          <w:rFonts w:hint="eastAsia" w:ascii="微软雅黑" w:hAnsi="微软雅黑" w:eastAsia="微软雅黑" w:cs="微软雅黑"/>
          <w:sz w:val="32"/>
        </w:rPr>
        <w:t>文化旅游体育与传媒（类）支出705.12万元，占88.28%；社会保障和就业（类）支出47.35万元，占5.93%；卫生健康（类）支出20.43万元，占2.56%；住房保障（类）支出25.81万元，占3.23%</w:t>
      </w:r>
      <w:r>
        <w:rPr>
          <w:rFonts w:hint="eastAsia" w:ascii="微软雅黑" w:hAnsi="微软雅黑" w:eastAsia="微软雅黑" w:cs="微软雅黑"/>
          <w:sz w:val="32"/>
          <w:lang w:eastAsia="zh-CN"/>
        </w:rPr>
        <w:t>。</w:t>
      </w:r>
      <w:bookmarkStart w:id="0" w:name="_GoBack"/>
      <w:bookmarkEnd w:id="0"/>
    </w:p>
    <w:p w14:paraId="3E7431EE">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（三）财政拨款支出决算具体情况</w:t>
      </w:r>
    </w:p>
    <w:p w14:paraId="1ED586A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年度财政拨款支出年初预算数为</w:t>
      </w:r>
      <w:r>
        <w:rPr>
          <w:rFonts w:hint="eastAsia" w:ascii="微软雅黑" w:hAnsi="微软雅黑" w:eastAsia="微软雅黑" w:cs="微软雅黑"/>
          <w:sz w:val="32"/>
          <w:lang w:val="en-US" w:eastAsia="zh-CN"/>
        </w:rPr>
        <w:t>738.68</w:t>
      </w:r>
      <w:r>
        <w:rPr>
          <w:rFonts w:ascii="微软雅黑" w:hAnsi="微软雅黑" w:eastAsia="微软雅黑" w:cs="微软雅黑"/>
          <w:sz w:val="32"/>
        </w:rPr>
        <w:t>万元，支出决算数为798.71</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color w:val="auto"/>
          <w:sz w:val="32"/>
          <w:szCs w:val="32"/>
          <w:lang w:val="en-US" w:eastAsia="zh-CN"/>
        </w:rPr>
        <w:t>108.13</w:t>
      </w:r>
      <w:r>
        <w:rPr>
          <w:rFonts w:hint="eastAsia" w:ascii="微软雅黑" w:hAnsi="微软雅黑" w:eastAsia="微软雅黑" w:cs="微软雅黑"/>
          <w:color w:val="auto"/>
          <w:sz w:val="32"/>
          <w:szCs w:val="32"/>
          <w:lang w:eastAsia="zh-CN"/>
        </w:rPr>
        <w:t>%</w:t>
      </w:r>
      <w:r>
        <w:rPr>
          <w:rFonts w:hint="eastAsia" w:ascii="微软雅黑" w:hAnsi="微软雅黑" w:eastAsia="微软雅黑" w:cs="微软雅黑"/>
          <w:sz w:val="32"/>
          <w:szCs w:val="32"/>
          <w:lang w:eastAsia="zh-CN"/>
        </w:rPr>
        <w:t>，其中：</w:t>
      </w:r>
    </w:p>
    <w:p w14:paraId="5F49045E">
      <w:pPr>
        <w:pStyle w:val="13"/>
        <w:numPr>
          <w:ilvl w:val="0"/>
          <w:numId w:val="1"/>
        </w:numPr>
        <w:ind w:firstLine="800" w:firstLineChars="25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文化旅游体育与传媒支出（类）文化和旅游（款）行政运行（项）年初预算为35.98万元，支出决算为35.98万元，完成年初预算的100.00%， 决算数与预算数一致，我单位严格按预算执行决算。</w:t>
      </w:r>
    </w:p>
    <w:p w14:paraId="49A7D618">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2、</w:t>
      </w:r>
      <w:r>
        <w:rPr>
          <w:rFonts w:hint="eastAsia" w:ascii="微软雅黑" w:hAnsi="微软雅黑" w:eastAsia="微软雅黑" w:cs="微软雅黑"/>
          <w:sz w:val="32"/>
          <w:szCs w:val="32"/>
          <w:lang w:eastAsia="zh-CN"/>
        </w:rPr>
        <w:t>文化旅游体育与传媒支出（类）文化和旅游（款）文化活动（项）年初预算为264.77万元，支出决算为321.91万元，完成年初预算的</w:t>
      </w:r>
      <w:r>
        <w:rPr>
          <w:rFonts w:hint="eastAsia" w:ascii="微软雅黑" w:hAnsi="微软雅黑" w:eastAsia="微软雅黑" w:cs="微软雅黑"/>
          <w:sz w:val="32"/>
          <w:szCs w:val="32"/>
          <w:lang w:val="en-US" w:eastAsia="zh-CN"/>
        </w:rPr>
        <w:t>121.58</w:t>
      </w:r>
      <w:r>
        <w:rPr>
          <w:rFonts w:hint="eastAsia" w:ascii="微软雅黑" w:hAnsi="微软雅黑" w:eastAsia="微软雅黑" w:cs="微软雅黑"/>
          <w:sz w:val="32"/>
          <w:szCs w:val="32"/>
          <w:lang w:eastAsia="zh-CN"/>
        </w:rPr>
        <w:t>%， 决算数大于预算数的主要原因是</w:t>
      </w:r>
      <w:r>
        <w:rPr>
          <w:rFonts w:hint="eastAsia" w:ascii="微软雅黑" w:hAnsi="微软雅黑" w:eastAsia="微软雅黑" w:cs="微软雅黑"/>
          <w:sz w:val="32"/>
          <w:lang w:eastAsia="zh-CN"/>
        </w:rPr>
        <w:t>本年度国家加大了对文化活动的投入，本科目支出增加幅度较大。</w:t>
      </w:r>
      <w:r>
        <w:rPr>
          <w:rFonts w:hint="eastAsia" w:ascii="微软雅黑" w:hAnsi="微软雅黑" w:eastAsia="微软雅黑" w:cs="微软雅黑"/>
          <w:sz w:val="32"/>
          <w:szCs w:val="32"/>
          <w:lang w:eastAsia="zh-CN"/>
        </w:rPr>
        <w:t xml:space="preserve">    </w:t>
      </w:r>
    </w:p>
    <w:p w14:paraId="4544D63A">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3、</w:t>
      </w:r>
      <w:r>
        <w:rPr>
          <w:rFonts w:hint="eastAsia" w:ascii="微软雅黑" w:hAnsi="微软雅黑" w:eastAsia="微软雅黑" w:cs="微软雅黑"/>
          <w:sz w:val="32"/>
          <w:szCs w:val="32"/>
          <w:lang w:eastAsia="zh-CN"/>
        </w:rPr>
        <w:t>文化旅游体育与传媒支出（类）文化和旅游（款）文化创作与保护（项）</w:t>
      </w:r>
    </w:p>
    <w:p w14:paraId="6D85C2FF">
      <w:pPr>
        <w:pStyle w:val="13"/>
        <w:numPr>
          <w:ilvl w:val="0"/>
          <w:numId w:val="0"/>
        </w:numPr>
        <w:ind w:firstLine="320" w:firstLineChars="1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年初预算为243.58万元，支出决算为243.58万元，</w:t>
      </w:r>
      <w:r>
        <w:rPr>
          <w:rFonts w:hint="eastAsia" w:ascii="微软雅黑" w:hAnsi="微软雅黑" w:eastAsia="微软雅黑" w:cs="微软雅黑"/>
          <w:sz w:val="32"/>
          <w:szCs w:val="32"/>
          <w:lang w:val="en-US" w:eastAsia="zh-CN"/>
        </w:rPr>
        <w:t>完成年初预算的100.00%， 决算数与预算数一致，我单位严格按预算执行决算。</w:t>
      </w:r>
    </w:p>
    <w:p w14:paraId="4EFEED48">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4、</w:t>
      </w:r>
      <w:r>
        <w:rPr>
          <w:rFonts w:hint="eastAsia" w:ascii="微软雅黑" w:hAnsi="微软雅黑" w:eastAsia="微软雅黑" w:cs="微软雅黑"/>
          <w:sz w:val="32"/>
          <w:szCs w:val="32"/>
          <w:lang w:eastAsia="zh-CN"/>
        </w:rPr>
        <w:t>文化旅游体育与传媒支出（类）文化和旅游（款）其他文化和旅游支出（项）</w:t>
      </w:r>
    </w:p>
    <w:p w14:paraId="6A985824">
      <w:pPr>
        <w:pStyle w:val="13"/>
        <w:numPr>
          <w:ilvl w:val="0"/>
          <w:numId w:val="0"/>
        </w:numPr>
        <w:ind w:firstLine="320" w:firstLineChars="1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年初预算为64.44万元，支出决算为64.44万元，</w:t>
      </w:r>
      <w:r>
        <w:rPr>
          <w:rFonts w:hint="eastAsia" w:ascii="微软雅黑" w:hAnsi="微软雅黑" w:eastAsia="微软雅黑" w:cs="微软雅黑"/>
          <w:sz w:val="32"/>
          <w:szCs w:val="32"/>
          <w:lang w:val="en-US" w:eastAsia="zh-CN"/>
        </w:rPr>
        <w:t>完成年初预算的100.00%， 决算数与预算数一致，我单位严格按预算执行决算。</w:t>
      </w:r>
    </w:p>
    <w:p w14:paraId="32C0DD48">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文化旅游体育与传媒支出（类）其他文化旅游体育与传媒支出（款）其他文化旅游体育与传媒支出（项）</w:t>
      </w:r>
    </w:p>
    <w:p w14:paraId="4EA8643F">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年初预算为39.21万元，支出决算为39.21万元，完成年初预算的100.00%， 决算数与预算数一致，我单位严格按预算执行决算。</w:t>
      </w:r>
    </w:p>
    <w:p w14:paraId="07105F2A">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社会保障和就业支出（类）行政事业单位养老支出（款）机关事业单位基本养老保险缴费支出（项）</w:t>
      </w:r>
    </w:p>
    <w:p w14:paraId="772712D7">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年初预算为34.41万元，支出决算为34.41万元，完成年初预算的100%。决算数与预算数一致，我单位严格按预算执行决算。</w:t>
      </w:r>
    </w:p>
    <w:p w14:paraId="5516F3A4">
      <w:pPr>
        <w:pStyle w:val="13"/>
        <w:numPr>
          <w:ilvl w:val="0"/>
          <w:numId w:val="2"/>
        </w:numPr>
        <w:ind w:left="0" w:leftChars="0"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社会保障和就业支出（类）行政事业单位养老支出（款）机关事业单位职业年金缴费支出（项）</w:t>
      </w:r>
    </w:p>
    <w:p w14:paraId="7C0C9346">
      <w:pPr>
        <w:pStyle w:val="13"/>
        <w:numPr>
          <w:ilvl w:val="0"/>
          <w:numId w:val="0"/>
        </w:numPr>
        <w:ind w:left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年初预算为7.91万元，支出决算为7.91万元，完成年初预算的100%。决算数与预算数一致，我单位严格按预算执行决算。</w:t>
      </w:r>
    </w:p>
    <w:p w14:paraId="16924108">
      <w:pPr>
        <w:pStyle w:val="13"/>
        <w:ind w:firstLine="800" w:firstLineChars="25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8、</w:t>
      </w:r>
      <w:r>
        <w:rPr>
          <w:rFonts w:hint="eastAsia" w:ascii="微软雅黑" w:hAnsi="微软雅黑" w:eastAsia="微软雅黑" w:cs="微软雅黑"/>
          <w:sz w:val="32"/>
          <w:szCs w:val="32"/>
          <w:lang w:eastAsia="zh-CN"/>
        </w:rPr>
        <w:t>社会保障和就业支出（类）抚恤（款）死亡抚恤（项）</w:t>
      </w:r>
    </w:p>
    <w:p w14:paraId="48B01094">
      <w:pPr>
        <w:pStyle w:val="13"/>
        <w:numPr>
          <w:ilvl w:val="0"/>
          <w:numId w:val="0"/>
        </w:numPr>
        <w:ind w:firstLine="640" w:firstLineChars="200"/>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lang w:eastAsia="zh-CN"/>
        </w:rPr>
        <w:t>万元，支出决算为2.88万元，因年初预算为</w:t>
      </w:r>
      <w:r>
        <w:rPr>
          <w:rFonts w:hint="eastAsia" w:ascii="微软雅黑" w:hAnsi="微软雅黑" w:eastAsia="微软雅黑" w:cs="微软雅黑"/>
          <w:sz w:val="32"/>
          <w:szCs w:val="32"/>
          <w:lang w:val="en-US" w:eastAsia="zh-CN"/>
        </w:rPr>
        <w:t>0，无法计算预算完成率</w:t>
      </w:r>
      <w:r>
        <w:rPr>
          <w:rFonts w:hint="eastAsia" w:ascii="微软雅黑" w:hAnsi="微软雅黑" w:eastAsia="微软雅黑" w:cs="微软雅黑"/>
          <w:sz w:val="32"/>
          <w:szCs w:val="32"/>
          <w:lang w:eastAsia="zh-CN"/>
        </w:rPr>
        <w:t xml:space="preserve">，决算数大于预算数的主要原因是我单位年中有退休人员去世，财政据实追加了部分预算指标。  </w:t>
      </w:r>
    </w:p>
    <w:p w14:paraId="03637924">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9、</w:t>
      </w:r>
      <w:r>
        <w:rPr>
          <w:rFonts w:hint="eastAsia" w:ascii="微软雅黑" w:hAnsi="微软雅黑" w:eastAsia="微软雅黑" w:cs="微软雅黑"/>
          <w:sz w:val="32"/>
          <w:szCs w:val="32"/>
          <w:lang w:eastAsia="zh-CN"/>
        </w:rPr>
        <w:t>社会保障和就业支出（类）其他社会保障和就业支出（款）其他社会保障和就业支出（项）</w:t>
      </w:r>
    </w:p>
    <w:p w14:paraId="4364207E">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 xml:space="preserve">年初预算为2.15万元，支出决算为2.15万元，完成年初预算的100%，决算数与预算数一致，我单位严格按预算执行决算。    </w:t>
      </w:r>
    </w:p>
    <w:p w14:paraId="4D4B0109">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10、</w:t>
      </w:r>
      <w:r>
        <w:rPr>
          <w:rFonts w:hint="eastAsia" w:ascii="微软雅黑" w:hAnsi="微软雅黑" w:eastAsia="微软雅黑" w:cs="微软雅黑"/>
          <w:sz w:val="32"/>
          <w:szCs w:val="32"/>
          <w:lang w:eastAsia="zh-CN"/>
        </w:rPr>
        <w:t xml:space="preserve">卫生健康支出（类）行政事业单位医疗（款）事业单位医疗（项）年初预算为18.28万元，支出决算为18.28万元，完成年初预算的100%。决算数与预算数一致，我单位严格按预算执行决算。 </w:t>
      </w:r>
    </w:p>
    <w:p w14:paraId="74086A7D">
      <w:pPr>
        <w:pStyle w:val="13"/>
        <w:numPr>
          <w:ilvl w:val="0"/>
          <w:numId w:val="0"/>
        </w:numPr>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11、</w:t>
      </w:r>
      <w:r>
        <w:rPr>
          <w:rFonts w:hint="eastAsia" w:ascii="微软雅黑" w:hAnsi="微软雅黑" w:eastAsia="微软雅黑" w:cs="微软雅黑"/>
          <w:sz w:val="32"/>
          <w:szCs w:val="32"/>
          <w:lang w:eastAsia="zh-CN"/>
        </w:rPr>
        <w:t>卫生健康支出（类）行政事业单位医疗（款）公务员医疗补助（项）年初预算为2.15万元，支出决算为2.15万元，完成年初预算的100%。决算数与预算数一致，我单位严格按预算执行决算。</w:t>
      </w:r>
    </w:p>
    <w:p w14:paraId="79D22E1B">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12、</w:t>
      </w:r>
      <w:r>
        <w:rPr>
          <w:rFonts w:hint="eastAsia" w:ascii="微软雅黑" w:hAnsi="微软雅黑" w:eastAsia="微软雅黑" w:cs="微软雅黑"/>
          <w:sz w:val="32"/>
          <w:szCs w:val="32"/>
          <w:lang w:eastAsia="zh-CN"/>
        </w:rPr>
        <w:t>住房保障支出（类）住房改革支出（款）住房公积金（项）</w:t>
      </w:r>
    </w:p>
    <w:p w14:paraId="78F37B2A">
      <w:pPr>
        <w:pStyle w:val="13"/>
        <w:ind w:firstLine="800" w:firstLineChars="25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年初预算为25.81万元，支出决算为25.81万元，完成年初预算的100%。  决算数与预算数一致，我单位严格按预算执行决算。</w:t>
      </w:r>
    </w:p>
    <w:p w14:paraId="422F846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六、一般公共预算财政拨款基本支出决算情况说明</w:t>
      </w:r>
    </w:p>
    <w:p w14:paraId="33AD057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年度财政拨款基本支出536.07万元，其中：</w:t>
      </w:r>
    </w:p>
    <w:p w14:paraId="0C47B950">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人员经费</w:t>
      </w:r>
      <w:r>
        <w:rPr>
          <w:rFonts w:ascii="微软雅黑" w:hAnsi="微软雅黑" w:eastAsia="微软雅黑" w:cs="微软雅黑"/>
          <w:sz w:val="32"/>
        </w:rPr>
        <w:t>485.12万元，占基本支出的90.50%,主要包括</w:t>
      </w:r>
      <w:r>
        <w:rPr>
          <w:rFonts w:hint="eastAsia" w:ascii="微软雅黑" w:hAnsi="微软雅黑" w:eastAsia="微软雅黑" w:cs="微软雅黑"/>
          <w:sz w:val="32"/>
        </w:rPr>
        <w:t>基本工资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津贴补贴</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奖金</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绩效工资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机关事业单位基本养老保险缴费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职业年金缴费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 xml:space="preserve"> 职工基本医疗保险缴费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公务员医疗补助缴费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其他社会保障缴费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住房公积金</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其他工资福利支出</w:t>
      </w:r>
      <w:r>
        <w:rPr>
          <w:rFonts w:hint="eastAsia" w:ascii="微软雅黑" w:hAnsi="微软雅黑" w:eastAsia="微软雅黑" w:cs="微软雅黑"/>
          <w:sz w:val="32"/>
          <w:lang w:eastAsia="zh-CN"/>
        </w:rPr>
        <w:t>、生活补助、其他对个人和家庭的补助</w:t>
      </w:r>
      <w:r>
        <w:rPr>
          <w:rFonts w:ascii="微软雅黑" w:hAnsi="微软雅黑" w:eastAsia="微软雅黑" w:cs="微软雅黑"/>
          <w:sz w:val="32"/>
        </w:rPr>
        <w:t>。</w:t>
      </w:r>
    </w:p>
    <w:p w14:paraId="7606404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公用经费</w:t>
      </w:r>
      <w:r>
        <w:rPr>
          <w:rFonts w:ascii="微软雅黑" w:hAnsi="微软雅黑" w:eastAsia="微软雅黑" w:cs="微软雅黑"/>
          <w:sz w:val="32"/>
        </w:rPr>
        <w:t>50.95万元，占基本支出的</w:t>
      </w:r>
      <w:r>
        <w:rPr>
          <w:rFonts w:hint="eastAsia" w:ascii="微软雅黑" w:hAnsi="微软雅黑" w:eastAsia="微软雅黑" w:cs="微软雅黑"/>
          <w:sz w:val="32"/>
          <w:szCs w:val="32"/>
          <w:lang w:val="en-US" w:eastAsia="zh-CN"/>
        </w:rPr>
        <w:t>9.50</w:t>
      </w:r>
      <w:r>
        <w:rPr>
          <w:rFonts w:hint="eastAsia" w:ascii="微软雅黑" w:hAnsi="微软雅黑" w:eastAsia="微软雅黑" w:cs="微软雅黑"/>
          <w:sz w:val="32"/>
          <w:szCs w:val="32"/>
          <w:lang w:eastAsia="zh-CN"/>
        </w:rPr>
        <w:t>%，主要包括办公费、印刷费、  水费、电费、邮电费、差旅费、维修（护）费、培训费、公务接待费、专用材料费、劳务费、其他交通费用、其他商品和服务支出、办公设备购置。</w:t>
      </w:r>
    </w:p>
    <w:p w14:paraId="598028C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lang w:eastAsia="zh-CN"/>
        </w:rPr>
        <w:t>七</w:t>
      </w:r>
      <w:r>
        <w:rPr>
          <w:rFonts w:hint="eastAsia" w:ascii="微软雅黑" w:hAnsi="微软雅黑" w:eastAsia="微软雅黑" w:cs="微软雅黑"/>
          <w:b/>
          <w:bCs w:val="0"/>
          <w:sz w:val="32"/>
          <w:szCs w:val="32"/>
        </w:rPr>
        <w:t>、政府性基金预算收入支出决算情况</w:t>
      </w:r>
    </w:p>
    <w:p w14:paraId="3BCA3CDA">
      <w:pPr>
        <w:pStyle w:val="13"/>
        <w:ind w:firstLine="640" w:firstLineChars="200"/>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w:t>
      </w:r>
      <w:r>
        <w:rPr>
          <w:rFonts w:hint="eastAsia" w:ascii="微软雅黑" w:hAnsi="微软雅黑" w:eastAsia="微软雅黑" w:cs="微软雅黑"/>
          <w:sz w:val="32"/>
        </w:rPr>
        <w:t>本单位无政府性基金收支。</w:t>
      </w:r>
    </w:p>
    <w:p w14:paraId="7198D50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lang w:eastAsia="zh-CN"/>
        </w:rPr>
      </w:pPr>
      <w:r>
        <w:rPr>
          <w:rFonts w:hint="eastAsia" w:ascii="微软雅黑" w:hAnsi="微软雅黑" w:eastAsia="微软雅黑" w:cs="微软雅黑"/>
          <w:b/>
          <w:bCs w:val="0"/>
          <w:sz w:val="32"/>
          <w:szCs w:val="32"/>
          <w:lang w:eastAsia="zh-CN"/>
        </w:rPr>
        <w:t>八</w:t>
      </w:r>
      <w:r>
        <w:rPr>
          <w:rFonts w:hint="eastAsia" w:ascii="微软雅黑" w:hAnsi="微软雅黑" w:eastAsia="微软雅黑" w:cs="微软雅黑"/>
          <w:b/>
          <w:bCs w:val="0"/>
          <w:sz w:val="32"/>
          <w:szCs w:val="32"/>
        </w:rPr>
        <w:t>、国有资本经营预算财政拨款支出决算</w:t>
      </w:r>
      <w:r>
        <w:rPr>
          <w:rFonts w:hint="eastAsia" w:ascii="微软雅黑" w:hAnsi="微软雅黑" w:eastAsia="微软雅黑" w:cs="微软雅黑"/>
          <w:b/>
          <w:bCs w:val="0"/>
          <w:sz w:val="32"/>
          <w:szCs w:val="32"/>
          <w:lang w:eastAsia="zh-CN"/>
        </w:rPr>
        <w:t>情况</w:t>
      </w:r>
    </w:p>
    <w:p w14:paraId="28910C0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2024</w:t>
      </w:r>
      <w:r>
        <w:rPr>
          <w:rFonts w:ascii="微软雅黑" w:hAnsi="微软雅黑" w:eastAsia="微软雅黑" w:cs="微软雅黑"/>
          <w:sz w:val="32"/>
        </w:rPr>
        <w:t>年度</w:t>
      </w:r>
      <w:r>
        <w:rPr>
          <w:rFonts w:hint="eastAsia" w:ascii="微软雅黑" w:hAnsi="微软雅黑" w:eastAsia="微软雅黑" w:cs="微软雅黑"/>
          <w:sz w:val="32"/>
        </w:rPr>
        <w:t>本单位无国有资本经营预算财政拨款支出。</w:t>
      </w:r>
    </w:p>
    <w:p w14:paraId="12EBF089">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highlight w:val="none"/>
          <w:lang w:eastAsia="zh-CN"/>
        </w:rPr>
        <w:t>九、</w:t>
      </w:r>
      <w:r>
        <w:rPr>
          <w:rFonts w:hint="eastAsia" w:ascii="微软雅黑" w:hAnsi="微软雅黑" w:eastAsia="微软雅黑" w:cs="微软雅黑"/>
          <w:b/>
          <w:bCs w:val="0"/>
          <w:sz w:val="32"/>
          <w:szCs w:val="32"/>
        </w:rPr>
        <w:t>财政拨款三公经费支出决算情况说明</w:t>
      </w:r>
    </w:p>
    <w:p w14:paraId="1963285D">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（一）“三公”经费财政拨款支出决算总体情况说明</w:t>
      </w:r>
    </w:p>
    <w:p w14:paraId="4466BC87">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“三公”经费财政拨款支出预算为</w:t>
      </w:r>
      <w:r>
        <w:rPr>
          <w:rFonts w:ascii="微软雅黑" w:hAnsi="微软雅黑" w:eastAsia="微软雅黑" w:cs="微软雅黑"/>
          <w:sz w:val="32"/>
        </w:rPr>
        <w:t>1.48</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1.48</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100.00</w:t>
      </w:r>
      <w:r>
        <w:rPr>
          <w:rFonts w:hint="eastAsia" w:ascii="微软雅黑" w:hAnsi="微软雅黑" w:eastAsia="微软雅黑" w:cs="微软雅黑"/>
          <w:sz w:val="32"/>
          <w:szCs w:val="32"/>
        </w:rPr>
        <w:t>%，其中：</w:t>
      </w:r>
    </w:p>
    <w:p w14:paraId="0074486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sz w:val="32"/>
          <w:szCs w:val="32"/>
        </w:rPr>
        <w:t>因公出国（境）费支出预算为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345F4705">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公务接待费支出预算为</w:t>
      </w:r>
      <w:r>
        <w:rPr>
          <w:rFonts w:ascii="微软雅黑" w:hAnsi="微软雅黑" w:eastAsia="微软雅黑" w:cs="微软雅黑"/>
          <w:color w:val="auto"/>
          <w:sz w:val="32"/>
        </w:rPr>
        <w:t>1.48</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1.48</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100.00</w:t>
      </w:r>
      <w:r>
        <w:rPr>
          <w:rFonts w:hint="eastAsia" w:ascii="微软雅黑" w:hAnsi="微软雅黑" w:eastAsia="微软雅黑" w:cs="微软雅黑"/>
          <w:color w:val="auto"/>
          <w:sz w:val="32"/>
          <w:szCs w:val="32"/>
        </w:rPr>
        <w:t>%，决算数与预算数一致，我单位严格按预算执行决算，与上年相比增长</w:t>
      </w:r>
      <w:r>
        <w:rPr>
          <w:rFonts w:hint="eastAsia" w:ascii="微软雅黑" w:hAnsi="微软雅黑" w:eastAsia="微软雅黑" w:cs="微软雅黑"/>
          <w:color w:val="auto"/>
          <w:sz w:val="32"/>
          <w:szCs w:val="32"/>
          <w:lang w:val="en-US" w:eastAsia="zh-CN"/>
        </w:rPr>
        <w:t>0.73</w:t>
      </w:r>
      <w:r>
        <w:rPr>
          <w:rFonts w:hint="eastAsia" w:ascii="微软雅黑" w:hAnsi="微软雅黑" w:eastAsia="微软雅黑" w:cs="微软雅黑"/>
          <w:color w:val="auto"/>
          <w:sz w:val="32"/>
          <w:szCs w:val="32"/>
        </w:rPr>
        <w:t>万元，增长</w:t>
      </w:r>
      <w:r>
        <w:rPr>
          <w:rFonts w:hint="eastAsia" w:ascii="微软雅黑" w:hAnsi="微软雅黑" w:eastAsia="微软雅黑" w:cs="微软雅黑"/>
          <w:color w:val="auto"/>
          <w:sz w:val="32"/>
          <w:szCs w:val="32"/>
          <w:lang w:val="en-US" w:eastAsia="zh-CN"/>
        </w:rPr>
        <w:t>97.33%</w:t>
      </w:r>
      <w:r>
        <w:rPr>
          <w:rFonts w:hint="eastAsia" w:ascii="微软雅黑" w:hAnsi="微软雅黑" w:eastAsia="微软雅黑" w:cs="微软雅黑"/>
          <w:color w:val="auto"/>
          <w:sz w:val="32"/>
          <w:szCs w:val="32"/>
        </w:rPr>
        <w:t>,增长的主要原因是本年度业务活动增加，相应接待任务增加，但公务接待费严格按预算执行，总量很小。</w:t>
      </w:r>
    </w:p>
    <w:p w14:paraId="015056DB">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公务用车购置费支出预算为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24FD7D2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公务用车运行维护费支出预算为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14:paraId="6E9C6C2D">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（二）“三公”经费财政拨款支出决算具体情况说明</w:t>
      </w:r>
    </w:p>
    <w:p w14:paraId="0A4F1AAA">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lang w:eastAsia="zh-CN"/>
        </w:rPr>
        <w:t>2024</w:t>
      </w:r>
      <w:r>
        <w:rPr>
          <w:rFonts w:hint="eastAsia" w:ascii="微软雅黑" w:hAnsi="微软雅黑" w:eastAsia="微软雅黑" w:cs="微软雅黑"/>
          <w:color w:val="auto"/>
          <w:sz w:val="32"/>
          <w:szCs w:val="32"/>
        </w:rPr>
        <w:t>年度“三公”经费财政拨款支出决算中，公务接待费支出决算</w:t>
      </w:r>
      <w:r>
        <w:rPr>
          <w:rFonts w:ascii="微软雅黑" w:hAnsi="微软雅黑" w:eastAsia="微软雅黑" w:cs="微软雅黑"/>
          <w:color w:val="auto"/>
          <w:sz w:val="32"/>
        </w:rPr>
        <w:t>1.48</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100.00</w:t>
      </w:r>
      <w:r>
        <w:rPr>
          <w:rFonts w:hint="eastAsia" w:ascii="微软雅黑" w:hAnsi="微软雅黑" w:eastAsia="微软雅黑" w:cs="微软雅黑"/>
          <w:color w:val="auto"/>
          <w:sz w:val="32"/>
          <w:szCs w:val="32"/>
        </w:rPr>
        <w:t>%,因公出国（境）费支出决算</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%,公务用车购置费及运行维护费支出决算</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万元，占</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%。其中：</w:t>
      </w:r>
    </w:p>
    <w:p w14:paraId="492F4CA1">
      <w:pPr>
        <w:pStyle w:val="13"/>
        <w:keepNext w:val="0"/>
        <w:keepLines w:val="0"/>
        <w:pageBreakBefore w:val="0"/>
        <w:widowControl w:val="0"/>
        <w:numPr>
          <w:ilvl w:val="0"/>
          <w:numId w:val="0"/>
        </w:numPr>
        <w:kinsoku/>
        <w:wordWrap/>
        <w:overflowPunct/>
        <w:topLinePunct w:val="0"/>
        <w:bidi w:val="0"/>
        <w:snapToGrid/>
        <w:spacing w:line="360" w:lineRule="auto"/>
        <w:ind w:firstLine="960" w:firstLineChars="300"/>
        <w:textAlignment w:val="auto"/>
        <w:rPr>
          <w:rFonts w:hint="eastAsia" w:ascii="微软雅黑" w:hAnsi="微软雅黑" w:eastAsia="微软雅黑" w:cs="微软雅黑"/>
          <w:b/>
          <w:bCs/>
          <w:i/>
          <w:color w:val="auto"/>
          <w:sz w:val="32"/>
          <w:szCs w:val="32"/>
          <w:lang w:eastAsia="zh-CN"/>
        </w:rPr>
      </w:pPr>
      <w:r>
        <w:rPr>
          <w:rFonts w:hint="eastAsia" w:ascii="微软雅黑" w:hAnsi="微软雅黑" w:eastAsia="微软雅黑" w:cs="微软雅黑"/>
          <w:color w:val="auto"/>
          <w:sz w:val="32"/>
          <w:szCs w:val="32"/>
          <w:lang w:val="en-US" w:eastAsia="zh-CN"/>
        </w:rPr>
        <w:t>1、</w:t>
      </w:r>
      <w:r>
        <w:rPr>
          <w:rFonts w:hint="eastAsia" w:ascii="微软雅黑" w:hAnsi="微软雅黑" w:eastAsia="微软雅黑" w:cs="微软雅黑"/>
          <w:color w:val="auto"/>
          <w:sz w:val="32"/>
          <w:szCs w:val="32"/>
        </w:rPr>
        <w:t>因公出国（境）费支出决算为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万元，全年安排因公出国（境）团组</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个，累计</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人次</w:t>
      </w:r>
      <w:r>
        <w:rPr>
          <w:rFonts w:hint="eastAsia" w:ascii="微软雅黑" w:hAnsi="微软雅黑" w:eastAsia="微软雅黑" w:cs="微软雅黑"/>
          <w:b/>
          <w:bCs/>
          <w:i/>
          <w:color w:val="auto"/>
          <w:sz w:val="32"/>
          <w:szCs w:val="32"/>
        </w:rPr>
        <w:t>,</w:t>
      </w:r>
      <w:r>
        <w:rPr>
          <w:rFonts w:hint="eastAsia" w:ascii="微软雅黑" w:hAnsi="微软雅黑" w:eastAsia="微软雅黑" w:cs="微软雅黑"/>
          <w:color w:val="auto"/>
          <w:sz w:val="32"/>
          <w:szCs w:val="32"/>
        </w:rPr>
        <w:t>开支内容包括：</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支出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万元，主要用于</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b/>
          <w:bCs/>
          <w:i/>
          <w:color w:val="auto"/>
          <w:sz w:val="32"/>
          <w:szCs w:val="32"/>
        </w:rPr>
        <w:t xml:space="preserve"> </w:t>
      </w:r>
      <w:r>
        <w:rPr>
          <w:rFonts w:hint="eastAsia" w:ascii="微软雅黑" w:hAnsi="微软雅黑" w:eastAsia="微软雅黑" w:cs="微软雅黑"/>
          <w:b/>
          <w:bCs/>
          <w:i/>
          <w:color w:val="auto"/>
          <w:sz w:val="32"/>
          <w:szCs w:val="32"/>
          <w:lang w:eastAsia="zh-CN"/>
        </w:rPr>
        <w:t>。</w:t>
      </w:r>
    </w:p>
    <w:p w14:paraId="22816A35">
      <w:pPr>
        <w:pStyle w:val="13"/>
        <w:keepNext w:val="0"/>
        <w:keepLines w:val="0"/>
        <w:pageBreakBefore w:val="0"/>
        <w:widowControl w:val="0"/>
        <w:numPr>
          <w:ilvl w:val="0"/>
          <w:numId w:val="0"/>
        </w:numPr>
        <w:kinsoku/>
        <w:wordWrap/>
        <w:overflowPunct/>
        <w:topLinePunct w:val="0"/>
        <w:bidi w:val="0"/>
        <w:snapToGrid/>
        <w:spacing w:line="360" w:lineRule="auto"/>
        <w:ind w:firstLine="960" w:firstLineChars="3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2、公务接待费支出决算为</w:t>
      </w:r>
      <w:r>
        <w:rPr>
          <w:rFonts w:ascii="微软雅黑" w:hAnsi="微软雅黑" w:eastAsia="微软雅黑" w:cs="微软雅黑"/>
          <w:color w:val="auto"/>
          <w:sz w:val="32"/>
        </w:rPr>
        <w:t>1.48</w:t>
      </w:r>
      <w:r>
        <w:rPr>
          <w:rFonts w:hint="eastAsia" w:ascii="微软雅黑" w:hAnsi="微软雅黑" w:eastAsia="微软雅黑" w:cs="微软雅黑"/>
          <w:color w:val="auto"/>
          <w:sz w:val="32"/>
          <w:szCs w:val="32"/>
        </w:rPr>
        <w:t>万元，全年共接待来访团组</w:t>
      </w:r>
      <w:r>
        <w:rPr>
          <w:rFonts w:hint="eastAsia" w:ascii="微软雅黑" w:hAnsi="微软雅黑" w:eastAsia="微软雅黑" w:cs="微软雅黑"/>
          <w:color w:val="auto"/>
          <w:sz w:val="32"/>
          <w:szCs w:val="32"/>
          <w:lang w:val="en-US" w:eastAsia="zh-CN"/>
        </w:rPr>
        <w:t>20</w:t>
      </w:r>
      <w:r>
        <w:rPr>
          <w:rFonts w:hint="eastAsia" w:ascii="微软雅黑" w:hAnsi="微软雅黑" w:eastAsia="微软雅黑" w:cs="微软雅黑"/>
          <w:color w:val="auto"/>
          <w:sz w:val="32"/>
          <w:szCs w:val="32"/>
        </w:rPr>
        <w:t>个、来宾</w:t>
      </w:r>
      <w:r>
        <w:rPr>
          <w:rFonts w:hint="eastAsia" w:ascii="微软雅黑" w:hAnsi="微软雅黑" w:eastAsia="微软雅黑" w:cs="微软雅黑"/>
          <w:color w:val="auto"/>
          <w:sz w:val="32"/>
          <w:szCs w:val="32"/>
          <w:lang w:val="en-US" w:eastAsia="zh-CN"/>
        </w:rPr>
        <w:t>200</w:t>
      </w:r>
      <w:r>
        <w:rPr>
          <w:rFonts w:hint="eastAsia" w:ascii="微软雅黑" w:hAnsi="微软雅黑" w:eastAsia="微软雅黑" w:cs="微软雅黑"/>
          <w:color w:val="auto"/>
          <w:sz w:val="32"/>
          <w:szCs w:val="32"/>
        </w:rPr>
        <w:t>人次，主要是用于与有关单位交流工作情况及接受相关部门检查指导工作发生的接待支出。</w:t>
      </w:r>
    </w:p>
    <w:p w14:paraId="7630625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i/>
          <w:iCs w:val="0"/>
          <w:color w:val="auto"/>
          <w:sz w:val="32"/>
          <w:szCs w:val="32"/>
          <w:lang w:eastAsia="zh-CN"/>
        </w:rPr>
      </w:pPr>
      <w:r>
        <w:rPr>
          <w:rFonts w:hint="eastAsia" w:ascii="微软雅黑" w:hAnsi="微软雅黑" w:eastAsia="微软雅黑" w:cs="微软雅黑"/>
          <w:color w:val="auto"/>
          <w:sz w:val="32"/>
          <w:szCs w:val="32"/>
        </w:rPr>
        <w:t>3、公务用车购置费及运行维护费支出决算为</w:t>
      </w:r>
      <w:r>
        <w:rPr>
          <w:rFonts w:ascii="微软雅黑" w:hAnsi="微软雅黑" w:eastAsia="微软雅黑" w:cs="微软雅黑"/>
          <w:color w:val="auto"/>
          <w:sz w:val="32"/>
        </w:rPr>
        <w:t>0.00</w:t>
      </w:r>
      <w:r>
        <w:rPr>
          <w:rFonts w:hint="eastAsia" w:ascii="微软雅黑" w:hAnsi="微软雅黑" w:eastAsia="微软雅黑" w:cs="微软雅黑"/>
          <w:color w:val="auto"/>
          <w:sz w:val="32"/>
          <w:szCs w:val="32"/>
        </w:rPr>
        <w:t>万元，其中：公务用车购置费</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岳阳县文化馆（单位本级）更新公务用车</w:t>
      </w:r>
      <w:r>
        <w:rPr>
          <w:rFonts w:hint="eastAsia" w:ascii="微软雅黑" w:hAnsi="微软雅黑" w:eastAsia="微软雅黑" w:cs="微软雅黑"/>
          <w:color w:val="auto"/>
          <w:sz w:val="32"/>
          <w:lang w:val="en-US" w:eastAsia="zh-CN"/>
        </w:rPr>
        <w:t>0</w:t>
      </w:r>
      <w:r>
        <w:rPr>
          <w:rFonts w:ascii="微软雅黑" w:hAnsi="微软雅黑" w:eastAsia="微软雅黑" w:cs="微软雅黑"/>
          <w:color w:val="auto"/>
          <w:sz w:val="32"/>
        </w:rPr>
        <w:t>辆</w:t>
      </w:r>
      <w:r>
        <w:rPr>
          <w:rFonts w:hint="eastAsia" w:ascii="微软雅黑" w:hAnsi="微软雅黑" w:eastAsia="微软雅黑" w:cs="微软雅黑"/>
          <w:color w:val="auto"/>
          <w:sz w:val="32"/>
          <w:szCs w:val="32"/>
        </w:rPr>
        <w:t>。公务用车运行维护费</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万元，主要是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，截</w:t>
      </w:r>
      <w:r>
        <w:rPr>
          <w:rFonts w:hint="eastAsia" w:ascii="微软雅黑" w:hAnsi="微软雅黑" w:eastAsia="微软雅黑" w:cs="微软雅黑"/>
          <w:color w:val="auto"/>
          <w:sz w:val="32"/>
          <w:szCs w:val="32"/>
          <w:lang w:val="en-US" w:eastAsia="zh-CN"/>
        </w:rPr>
        <w:t>至</w:t>
      </w:r>
      <w:r>
        <w:rPr>
          <w:rFonts w:hint="eastAsia" w:ascii="微软雅黑" w:hAnsi="微软雅黑" w:eastAsia="微软雅黑" w:cs="微软雅黑"/>
          <w:color w:val="auto"/>
          <w:sz w:val="32"/>
          <w:szCs w:val="32"/>
          <w:lang w:eastAsia="zh-CN"/>
        </w:rPr>
        <w:t>2024</w:t>
      </w:r>
      <w:r>
        <w:rPr>
          <w:rFonts w:hint="eastAsia" w:ascii="微软雅黑" w:hAnsi="微软雅黑" w:eastAsia="微软雅黑" w:cs="微软雅黑"/>
          <w:color w:val="auto"/>
          <w:sz w:val="32"/>
          <w:szCs w:val="32"/>
        </w:rPr>
        <w:t>年12月31日，我单位开支财政拨款的公务用车保有量为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w:t>
      </w:r>
    </w:p>
    <w:p w14:paraId="709B5D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color w:val="auto"/>
          <w:sz w:val="32"/>
          <w:szCs w:val="32"/>
        </w:rPr>
      </w:pPr>
      <w:r>
        <w:rPr>
          <w:rFonts w:hint="eastAsia" w:ascii="微软雅黑" w:hAnsi="微软雅黑" w:eastAsia="微软雅黑" w:cs="微软雅黑"/>
          <w:b/>
          <w:color w:val="auto"/>
          <w:sz w:val="32"/>
          <w:szCs w:val="32"/>
          <w:lang w:eastAsia="zh-CN"/>
        </w:rPr>
        <w:t>十、</w:t>
      </w:r>
      <w:r>
        <w:rPr>
          <w:rFonts w:hint="eastAsia" w:ascii="微软雅黑" w:hAnsi="微软雅黑" w:eastAsia="微软雅黑" w:cs="微软雅黑"/>
          <w:b/>
          <w:color w:val="auto"/>
          <w:sz w:val="32"/>
          <w:szCs w:val="32"/>
        </w:rPr>
        <w:t>关于机关运行经费支出说明</w:t>
      </w:r>
    </w:p>
    <w:p w14:paraId="2C419EC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本单位为事业单位，按照机关运行经费的口径，本年度机关运行经费为0。</w:t>
      </w:r>
    </w:p>
    <w:p w14:paraId="24CC4BE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一</w:t>
      </w:r>
      <w:r>
        <w:rPr>
          <w:rFonts w:hint="eastAsia" w:ascii="微软雅黑" w:hAnsi="微软雅黑" w:eastAsia="微软雅黑" w:cs="微软雅黑"/>
          <w:b/>
          <w:bCs w:val="0"/>
          <w:color w:val="auto"/>
          <w:sz w:val="32"/>
          <w:szCs w:val="32"/>
        </w:rPr>
        <w:t>、一般性支出情况说明</w:t>
      </w:r>
    </w:p>
    <w:p w14:paraId="472052AC">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lang w:eastAsia="zh-CN"/>
        </w:rPr>
        <w:t>2024</w:t>
      </w:r>
      <w:r>
        <w:rPr>
          <w:rFonts w:hint="eastAsia" w:ascii="微软雅黑" w:hAnsi="微软雅黑" w:eastAsia="微软雅黑" w:cs="微软雅黑"/>
          <w:color w:val="auto"/>
          <w:sz w:val="32"/>
          <w:szCs w:val="32"/>
        </w:rPr>
        <w:t>年本部门开支会议费</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万元，用于召开</w:t>
      </w:r>
      <w:r>
        <w:rPr>
          <w:rFonts w:hint="eastAsia" w:ascii="微软雅黑" w:hAnsi="微软雅黑" w:eastAsia="微软雅黑" w:cs="微软雅黑"/>
          <w:color w:val="auto"/>
          <w:sz w:val="32"/>
          <w:szCs w:val="32"/>
          <w:lang w:val="en-US" w:eastAsia="zh-CN"/>
        </w:rPr>
        <w:t>0次</w:t>
      </w:r>
      <w:r>
        <w:rPr>
          <w:rFonts w:hint="eastAsia" w:ascii="微软雅黑" w:hAnsi="微软雅黑" w:eastAsia="微软雅黑" w:cs="微软雅黑"/>
          <w:color w:val="auto"/>
          <w:sz w:val="32"/>
          <w:szCs w:val="32"/>
        </w:rPr>
        <w:t>会议，人数</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人，内容为</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；开支培训费</w:t>
      </w:r>
      <w:r>
        <w:rPr>
          <w:rFonts w:ascii="微软雅黑" w:hAnsi="微软雅黑" w:eastAsia="微软雅黑" w:cs="微软雅黑"/>
          <w:color w:val="auto"/>
          <w:sz w:val="32"/>
        </w:rPr>
        <w:t>1.70万元，用于开展</w:t>
      </w:r>
      <w:r>
        <w:rPr>
          <w:rFonts w:hint="eastAsia" w:ascii="微软雅黑" w:hAnsi="微软雅黑" w:eastAsia="微软雅黑" w:cs="微软雅黑"/>
          <w:color w:val="auto"/>
          <w:sz w:val="32"/>
        </w:rPr>
        <w:t>开展</w:t>
      </w:r>
      <w:r>
        <w:rPr>
          <w:rFonts w:hint="eastAsia" w:ascii="微软雅黑" w:hAnsi="微软雅黑" w:eastAsia="微软雅黑" w:cs="微软雅黑"/>
          <w:color w:val="auto"/>
          <w:sz w:val="32"/>
          <w:lang w:val="en-US" w:eastAsia="zh-CN"/>
        </w:rPr>
        <w:t>3</w:t>
      </w:r>
      <w:r>
        <w:rPr>
          <w:rFonts w:hint="eastAsia" w:ascii="微软雅黑" w:hAnsi="微软雅黑" w:eastAsia="微软雅黑" w:cs="微软雅黑"/>
          <w:color w:val="auto"/>
          <w:sz w:val="32"/>
        </w:rPr>
        <w:t>次培训，人数</w:t>
      </w:r>
      <w:r>
        <w:rPr>
          <w:rFonts w:hint="eastAsia" w:ascii="微软雅黑" w:hAnsi="微软雅黑" w:eastAsia="微软雅黑" w:cs="微软雅黑"/>
          <w:color w:val="auto"/>
          <w:sz w:val="32"/>
          <w:lang w:val="en-US" w:eastAsia="zh-CN"/>
        </w:rPr>
        <w:t>28</w:t>
      </w:r>
      <w:r>
        <w:rPr>
          <w:rFonts w:hint="eastAsia" w:ascii="微软雅黑" w:hAnsi="微软雅黑" w:eastAsia="微软雅黑" w:cs="微软雅黑"/>
          <w:color w:val="auto"/>
          <w:sz w:val="32"/>
        </w:rPr>
        <w:t>人，内容为干部职工职业能力晋升培训；</w:t>
      </w:r>
      <w:r>
        <w:rPr>
          <w:rFonts w:ascii="微软雅黑" w:hAnsi="微软雅黑" w:eastAsia="微软雅黑" w:cs="微软雅黑"/>
          <w:color w:val="auto"/>
          <w:sz w:val="32"/>
        </w:rPr>
        <w:t>举办</w:t>
      </w:r>
      <w:r>
        <w:rPr>
          <w:rFonts w:hint="eastAsia" w:ascii="微软雅黑" w:hAnsi="微软雅黑" w:eastAsia="微软雅黑" w:cs="微软雅黑"/>
          <w:color w:val="auto"/>
          <w:sz w:val="32"/>
          <w:lang w:val="en-US" w:eastAsia="zh-CN"/>
        </w:rPr>
        <w:t>0次</w:t>
      </w:r>
      <w:r>
        <w:rPr>
          <w:rFonts w:ascii="微软雅黑" w:hAnsi="微软雅黑" w:eastAsia="微软雅黑" w:cs="微软雅黑"/>
          <w:color w:val="auto"/>
          <w:sz w:val="32"/>
        </w:rPr>
        <w:t>节庆、晚会、论坛、赛事活动，开支</w:t>
      </w:r>
      <w:r>
        <w:rPr>
          <w:rFonts w:hint="eastAsia" w:ascii="微软雅黑" w:hAnsi="微软雅黑" w:eastAsia="微软雅黑" w:cs="微软雅黑"/>
          <w:color w:val="auto"/>
          <w:sz w:val="32"/>
          <w:lang w:eastAsia="zh-CN"/>
        </w:rPr>
        <w:t>0</w:t>
      </w:r>
      <w:r>
        <w:rPr>
          <w:rFonts w:ascii="微软雅黑" w:hAnsi="微软雅黑" w:eastAsia="微软雅黑" w:cs="微软雅黑"/>
          <w:color w:val="auto"/>
          <w:sz w:val="32"/>
        </w:rPr>
        <w:t>万元，主要是</w:t>
      </w:r>
      <w:r>
        <w:rPr>
          <w:rFonts w:hint="eastAsia" w:ascii="微软雅黑" w:hAnsi="微软雅黑" w:eastAsia="微软雅黑" w:cs="微软雅黑"/>
          <w:color w:val="auto"/>
          <w:sz w:val="32"/>
          <w:lang w:eastAsia="zh-CN"/>
        </w:rPr>
        <w:t>无</w:t>
      </w:r>
      <w:r>
        <w:rPr>
          <w:rFonts w:ascii="微软雅黑" w:hAnsi="微软雅黑" w:eastAsia="微软雅黑" w:cs="微软雅黑"/>
          <w:color w:val="auto"/>
          <w:sz w:val="32"/>
        </w:rPr>
        <w:t>。</w:t>
      </w:r>
    </w:p>
    <w:p w14:paraId="3680165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二</w:t>
      </w:r>
      <w:r>
        <w:rPr>
          <w:rFonts w:hint="eastAsia" w:ascii="微软雅黑" w:hAnsi="微软雅黑" w:eastAsia="微软雅黑" w:cs="微软雅黑"/>
          <w:b/>
          <w:bCs w:val="0"/>
          <w:color w:val="auto"/>
          <w:sz w:val="32"/>
          <w:szCs w:val="32"/>
        </w:rPr>
        <w:t>、关于政府采购支出说明</w:t>
      </w:r>
    </w:p>
    <w:p w14:paraId="46B3519F">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本部门</w:t>
      </w:r>
      <w:r>
        <w:rPr>
          <w:rFonts w:hint="eastAsia" w:ascii="微软雅黑" w:hAnsi="微软雅黑" w:eastAsia="微软雅黑" w:cs="微软雅黑"/>
          <w:color w:val="auto"/>
          <w:sz w:val="32"/>
          <w:szCs w:val="32"/>
          <w:lang w:eastAsia="zh-CN"/>
        </w:rPr>
        <w:t>2024</w:t>
      </w:r>
      <w:r>
        <w:rPr>
          <w:rFonts w:hint="eastAsia" w:ascii="微软雅黑" w:hAnsi="微软雅黑" w:eastAsia="微软雅黑" w:cs="微软雅黑"/>
          <w:color w:val="auto"/>
          <w:sz w:val="32"/>
          <w:szCs w:val="32"/>
        </w:rPr>
        <w:t>年度政府采购支出总额</w:t>
      </w:r>
      <w:r>
        <w:rPr>
          <w:rFonts w:hint="eastAsia" w:ascii="微软雅黑" w:hAnsi="微软雅黑" w:eastAsia="微软雅黑" w:cs="微软雅黑"/>
          <w:color w:val="auto"/>
          <w:sz w:val="32"/>
          <w:szCs w:val="32"/>
          <w:lang w:val="en-US" w:eastAsia="zh-CN"/>
        </w:rPr>
        <w:t>50.23</w:t>
      </w:r>
      <w:r>
        <w:rPr>
          <w:rFonts w:hint="eastAsia" w:ascii="微软雅黑" w:hAnsi="微软雅黑" w:eastAsia="微软雅黑" w:cs="微软雅黑"/>
          <w:color w:val="auto"/>
          <w:sz w:val="32"/>
          <w:szCs w:val="32"/>
        </w:rPr>
        <w:t>万元，其中：政府采购货物支出</w:t>
      </w:r>
      <w:r>
        <w:rPr>
          <w:rFonts w:hint="eastAsia" w:ascii="微软雅黑" w:hAnsi="微软雅黑" w:eastAsia="微软雅黑" w:cs="微软雅黑"/>
          <w:color w:val="auto"/>
          <w:sz w:val="32"/>
          <w:szCs w:val="32"/>
          <w:lang w:val="en-US" w:eastAsia="zh-CN"/>
        </w:rPr>
        <w:t>21.49</w:t>
      </w:r>
      <w:r>
        <w:rPr>
          <w:rFonts w:hint="eastAsia" w:ascii="微软雅黑" w:hAnsi="微软雅黑" w:eastAsia="微软雅黑" w:cs="微软雅黑"/>
          <w:color w:val="auto"/>
          <w:sz w:val="32"/>
          <w:szCs w:val="32"/>
        </w:rPr>
        <w:t>万元、政府采购工程支出</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万元、政府采购服务支出</w:t>
      </w:r>
      <w:r>
        <w:rPr>
          <w:rFonts w:hint="eastAsia" w:ascii="微软雅黑" w:hAnsi="微软雅黑" w:eastAsia="微软雅黑" w:cs="微软雅黑"/>
          <w:color w:val="auto"/>
          <w:sz w:val="32"/>
          <w:szCs w:val="32"/>
          <w:lang w:val="en-US" w:eastAsia="zh-CN"/>
        </w:rPr>
        <w:t>28.75</w:t>
      </w:r>
      <w:r>
        <w:rPr>
          <w:rFonts w:hint="eastAsia" w:ascii="微软雅黑" w:hAnsi="微软雅黑" w:eastAsia="微软雅黑" w:cs="微软雅黑"/>
          <w:color w:val="auto"/>
          <w:sz w:val="32"/>
          <w:szCs w:val="32"/>
        </w:rPr>
        <w:t>万元。授予中小企业合同金额</w:t>
      </w:r>
      <w:r>
        <w:rPr>
          <w:rFonts w:hint="eastAsia" w:ascii="微软雅黑" w:hAnsi="微软雅黑" w:eastAsia="微软雅黑" w:cs="微软雅黑"/>
          <w:color w:val="auto"/>
          <w:sz w:val="32"/>
          <w:szCs w:val="32"/>
          <w:lang w:val="en-US" w:eastAsia="zh-CN"/>
        </w:rPr>
        <w:t>50.23</w:t>
      </w:r>
      <w:r>
        <w:rPr>
          <w:rFonts w:hint="eastAsia" w:ascii="微软雅黑" w:hAnsi="微软雅黑" w:eastAsia="微软雅黑" w:cs="微软雅黑"/>
          <w:color w:val="auto"/>
          <w:sz w:val="32"/>
          <w:szCs w:val="32"/>
        </w:rPr>
        <w:t>万元，占政府采购支出总额的</w:t>
      </w:r>
      <w:r>
        <w:rPr>
          <w:rFonts w:hint="eastAsia" w:ascii="微软雅黑" w:hAnsi="微软雅黑" w:eastAsia="微软雅黑" w:cs="微软雅黑"/>
          <w:color w:val="auto"/>
          <w:sz w:val="32"/>
          <w:szCs w:val="32"/>
          <w:lang w:val="en-US" w:eastAsia="zh-CN"/>
        </w:rPr>
        <w:t>100</w:t>
      </w:r>
      <w:r>
        <w:rPr>
          <w:rFonts w:hint="eastAsia" w:ascii="微软雅黑" w:hAnsi="微软雅黑" w:eastAsia="微软雅黑" w:cs="微软雅黑"/>
          <w:color w:val="auto"/>
          <w:sz w:val="32"/>
          <w:szCs w:val="32"/>
        </w:rPr>
        <w:t>%，其中：授予小微企业合同金额</w:t>
      </w:r>
      <w:r>
        <w:rPr>
          <w:rFonts w:hint="eastAsia" w:ascii="微软雅黑" w:hAnsi="微软雅黑" w:eastAsia="微软雅黑" w:cs="微软雅黑"/>
          <w:color w:val="auto"/>
          <w:sz w:val="32"/>
          <w:szCs w:val="32"/>
          <w:lang w:val="en-US" w:eastAsia="zh-CN"/>
        </w:rPr>
        <w:t>50.23</w:t>
      </w:r>
      <w:r>
        <w:rPr>
          <w:rFonts w:hint="eastAsia" w:ascii="微软雅黑" w:hAnsi="微软雅黑" w:eastAsia="微软雅黑" w:cs="微软雅黑"/>
          <w:color w:val="auto"/>
          <w:sz w:val="32"/>
          <w:szCs w:val="32"/>
        </w:rPr>
        <w:t>万元，占授予中小企业合同金额的</w:t>
      </w:r>
      <w:r>
        <w:rPr>
          <w:rFonts w:hint="eastAsia" w:ascii="微软雅黑" w:hAnsi="微软雅黑" w:eastAsia="微软雅黑" w:cs="微软雅黑"/>
          <w:color w:val="auto"/>
          <w:sz w:val="32"/>
          <w:szCs w:val="32"/>
          <w:lang w:val="en-US" w:eastAsia="zh-CN"/>
        </w:rPr>
        <w:t>10</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%。货物采购授予中小企业合同金额占货物支出金额的</w:t>
      </w:r>
      <w:r>
        <w:rPr>
          <w:rFonts w:hint="eastAsia" w:ascii="微软雅黑" w:hAnsi="微软雅黑" w:eastAsia="微软雅黑" w:cs="微软雅黑"/>
          <w:color w:val="auto"/>
          <w:sz w:val="32"/>
          <w:szCs w:val="32"/>
          <w:lang w:val="en-US" w:eastAsia="zh-CN"/>
        </w:rPr>
        <w:t>100</w:t>
      </w:r>
      <w:r>
        <w:rPr>
          <w:rFonts w:hint="eastAsia" w:ascii="微软雅黑" w:hAnsi="微软雅黑" w:eastAsia="微软雅黑" w:cs="微软雅黑"/>
          <w:color w:val="auto"/>
          <w:sz w:val="32"/>
          <w:szCs w:val="32"/>
        </w:rPr>
        <w:t>%，工程采购授予中小企业合同金额占工程支出金额的</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%，服务采购授予中小企业合同金额占服务支出金额的</w:t>
      </w:r>
      <w:r>
        <w:rPr>
          <w:rFonts w:hint="eastAsia" w:ascii="微软雅黑" w:hAnsi="微软雅黑" w:eastAsia="微软雅黑" w:cs="微软雅黑"/>
          <w:color w:val="auto"/>
          <w:sz w:val="32"/>
          <w:szCs w:val="32"/>
          <w:lang w:val="en-US" w:eastAsia="zh-CN"/>
        </w:rPr>
        <w:t>10</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w:t>
      </w:r>
    </w:p>
    <w:p w14:paraId="276B689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color w:val="auto"/>
          <w:sz w:val="32"/>
          <w:szCs w:val="32"/>
        </w:rPr>
      </w:pPr>
      <w:r>
        <w:rPr>
          <w:rFonts w:hint="eastAsia" w:ascii="微软雅黑" w:hAnsi="微软雅黑" w:eastAsia="微软雅黑" w:cs="微软雅黑"/>
          <w:b/>
          <w:bCs w:val="0"/>
          <w:color w:val="auto"/>
          <w:sz w:val="32"/>
          <w:szCs w:val="32"/>
        </w:rPr>
        <w:t>十</w:t>
      </w:r>
      <w:r>
        <w:rPr>
          <w:rFonts w:hint="eastAsia" w:ascii="微软雅黑" w:hAnsi="微软雅黑" w:eastAsia="微软雅黑" w:cs="微软雅黑"/>
          <w:b/>
          <w:bCs w:val="0"/>
          <w:color w:val="auto"/>
          <w:sz w:val="32"/>
          <w:szCs w:val="32"/>
          <w:lang w:eastAsia="zh-CN"/>
        </w:rPr>
        <w:t>三</w:t>
      </w:r>
      <w:r>
        <w:rPr>
          <w:rFonts w:hint="eastAsia" w:ascii="微软雅黑" w:hAnsi="微软雅黑" w:eastAsia="微软雅黑" w:cs="微软雅黑"/>
          <w:b/>
          <w:bCs w:val="0"/>
          <w:color w:val="auto"/>
          <w:sz w:val="32"/>
          <w:szCs w:val="32"/>
        </w:rPr>
        <w:t>、关于国有资产占用情况说明</w:t>
      </w:r>
    </w:p>
    <w:p w14:paraId="38827D5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color w:val="auto"/>
          <w:sz w:val="32"/>
          <w:szCs w:val="32"/>
        </w:rPr>
        <w:t>截至</w:t>
      </w:r>
      <w:r>
        <w:rPr>
          <w:rFonts w:hint="eastAsia" w:ascii="微软雅黑" w:hAnsi="微软雅黑" w:eastAsia="微软雅黑" w:cs="微软雅黑"/>
          <w:color w:val="auto"/>
          <w:sz w:val="32"/>
          <w:szCs w:val="32"/>
          <w:lang w:eastAsia="zh-CN"/>
        </w:rPr>
        <w:t>2024</w:t>
      </w:r>
      <w:r>
        <w:rPr>
          <w:rFonts w:hint="eastAsia" w:ascii="微软雅黑" w:hAnsi="微软雅黑" w:eastAsia="微软雅黑" w:cs="微软雅黑"/>
          <w:color w:val="auto"/>
          <w:sz w:val="32"/>
          <w:szCs w:val="32"/>
        </w:rPr>
        <w:t>年12月31日，本单位共有车辆</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辆，其中，主要领导干部用车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辆，机要通信用车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辆、应急保障用车</w:t>
      </w:r>
      <w:r>
        <w:rPr>
          <w:rFonts w:hint="eastAsia" w:ascii="微软雅黑" w:hAnsi="微软雅黑" w:eastAsia="微软雅黑" w:cs="微软雅黑"/>
          <w:color w:val="auto"/>
          <w:sz w:val="32"/>
          <w:szCs w:val="32"/>
          <w:lang w:eastAsia="zh-CN"/>
        </w:rPr>
        <w:t>0</w:t>
      </w:r>
      <w:r>
        <w:rPr>
          <w:rFonts w:hint="eastAsia" w:ascii="微软雅黑" w:hAnsi="微软雅黑" w:eastAsia="微软雅黑" w:cs="微软雅黑"/>
          <w:color w:val="auto"/>
          <w:sz w:val="32"/>
          <w:szCs w:val="32"/>
        </w:rPr>
        <w:t>辆、执法</w:t>
      </w:r>
      <w:r>
        <w:rPr>
          <w:rFonts w:hint="eastAsia" w:ascii="微软雅黑" w:hAnsi="微软雅黑" w:eastAsia="微软雅黑" w:cs="微软雅黑"/>
          <w:sz w:val="32"/>
          <w:szCs w:val="32"/>
        </w:rPr>
        <w:t>执勤用车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辆、特种专业技术用车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辆，其他用车主要是</w:t>
      </w:r>
      <w:r>
        <w:rPr>
          <w:rFonts w:hint="eastAsia" w:ascii="微软雅黑" w:hAnsi="微软雅黑" w:eastAsia="微软雅黑" w:cs="微软雅黑"/>
          <w:sz w:val="32"/>
          <w:szCs w:val="32"/>
          <w:lang w:eastAsia="zh-CN"/>
        </w:rPr>
        <w:t>无</w:t>
      </w:r>
      <w:r>
        <w:rPr>
          <w:rFonts w:hint="eastAsia" w:ascii="微软雅黑" w:hAnsi="微软雅黑" w:eastAsia="微软雅黑" w:cs="微软雅黑"/>
          <w:sz w:val="32"/>
          <w:szCs w:val="32"/>
        </w:rPr>
        <w:t>；单位价值50万元以上通用设备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台（套）；单位价值100万元以上专用设备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w:t>
      </w:r>
    </w:p>
    <w:p w14:paraId="61DD65D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四</w:t>
      </w:r>
      <w:r>
        <w:rPr>
          <w:rFonts w:hint="eastAsia" w:ascii="微软雅黑" w:hAnsi="微软雅黑" w:eastAsia="微软雅黑" w:cs="微软雅黑"/>
          <w:b/>
          <w:bCs w:val="0"/>
          <w:sz w:val="32"/>
          <w:szCs w:val="32"/>
        </w:rPr>
        <w:t>、关于</w:t>
      </w:r>
      <w:r>
        <w:rPr>
          <w:rFonts w:hint="eastAsia" w:ascii="微软雅黑" w:hAnsi="微软雅黑" w:eastAsia="微软雅黑" w:cs="微软雅黑"/>
          <w:b/>
          <w:bCs w:val="0"/>
          <w:sz w:val="32"/>
          <w:szCs w:val="32"/>
          <w:lang w:eastAsia="zh-CN"/>
        </w:rPr>
        <w:t>2024</w:t>
      </w:r>
      <w:r>
        <w:rPr>
          <w:rFonts w:hint="eastAsia" w:ascii="微软雅黑" w:hAnsi="微软雅黑" w:eastAsia="微软雅黑" w:cs="微软雅黑"/>
          <w:b/>
          <w:bCs w:val="0"/>
          <w:sz w:val="32"/>
          <w:szCs w:val="32"/>
        </w:rPr>
        <w:t>年度绩效</w:t>
      </w:r>
      <w:r>
        <w:rPr>
          <w:rFonts w:hint="eastAsia" w:ascii="微软雅黑" w:hAnsi="微软雅黑" w:eastAsia="微软雅黑" w:cs="微软雅黑"/>
          <w:b/>
          <w:bCs w:val="0"/>
          <w:sz w:val="32"/>
          <w:szCs w:val="32"/>
          <w:lang w:val="en-US" w:eastAsia="zh-CN"/>
        </w:rPr>
        <w:t>评价</w:t>
      </w:r>
      <w:r>
        <w:rPr>
          <w:rFonts w:hint="eastAsia" w:ascii="微软雅黑" w:hAnsi="微软雅黑" w:eastAsia="微软雅黑" w:cs="微软雅黑"/>
          <w:b/>
          <w:bCs w:val="0"/>
          <w:sz w:val="32"/>
          <w:szCs w:val="32"/>
        </w:rPr>
        <w:t>情况的说明</w:t>
      </w:r>
    </w:p>
    <w:p w14:paraId="620FCA5B">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（1）绩效管理评价工作开展情况</w:t>
      </w:r>
      <w:r>
        <w:rPr>
          <w:rFonts w:hint="eastAsia" w:ascii="微软雅黑" w:hAnsi="微软雅黑" w:eastAsia="微软雅黑" w:cs="微软雅黑"/>
          <w:color w:val="000000"/>
          <w:kern w:val="0"/>
          <w:sz w:val="32"/>
          <w:szCs w:val="32"/>
        </w:rPr>
        <w:t>。</w:t>
      </w:r>
    </w:p>
    <w:p w14:paraId="507B434A">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根据预算绩效管理要求，我单位组织对</w:t>
      </w:r>
      <w:r>
        <w:rPr>
          <w:rFonts w:hint="eastAsia" w:ascii="微软雅黑" w:hAnsi="微软雅黑" w:eastAsia="微软雅黑" w:cs="微软雅黑"/>
          <w:color w:val="000000"/>
          <w:sz w:val="32"/>
          <w:lang w:eastAsia="zh-CN"/>
        </w:rPr>
        <w:t>2024年度</w:t>
      </w:r>
      <w:r>
        <w:rPr>
          <w:rFonts w:ascii="微软雅黑" w:hAnsi="微软雅黑" w:eastAsia="微软雅黑" w:cs="微软雅黑"/>
          <w:color w:val="000000"/>
          <w:sz w:val="32"/>
        </w:rPr>
        <w:t>一般公共预算项目支出全面开展绩效自评，其中，一级项目</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个，二级项目</w:t>
      </w:r>
      <w:r>
        <w:rPr>
          <w:rFonts w:hint="eastAsia" w:ascii="微软雅黑" w:hAnsi="微软雅黑" w:eastAsia="微软雅黑" w:cs="微软雅黑"/>
          <w:color w:val="000000"/>
          <w:sz w:val="32"/>
          <w:lang w:val="en-US" w:eastAsia="zh-CN"/>
        </w:rPr>
        <w:t>3</w:t>
      </w:r>
      <w:r>
        <w:rPr>
          <w:rFonts w:ascii="微软雅黑" w:hAnsi="微软雅黑" w:eastAsia="微软雅黑" w:cs="微软雅黑"/>
          <w:color w:val="000000"/>
          <w:sz w:val="32"/>
        </w:rPr>
        <w:t>个，共涉及资金</w:t>
      </w:r>
      <w:r>
        <w:rPr>
          <w:rFonts w:hint="eastAsia" w:ascii="微软雅黑" w:hAnsi="微软雅黑" w:eastAsia="微软雅黑" w:cs="微软雅黑"/>
          <w:color w:val="000000"/>
          <w:sz w:val="32"/>
          <w:lang w:val="en-US" w:eastAsia="zh-CN"/>
        </w:rPr>
        <w:t>262.64</w:t>
      </w:r>
      <w:r>
        <w:rPr>
          <w:rFonts w:ascii="微软雅黑" w:hAnsi="微软雅黑" w:eastAsia="微软雅黑" w:cs="微软雅黑"/>
          <w:color w:val="000000"/>
          <w:sz w:val="32"/>
        </w:rPr>
        <w:t xml:space="preserve"> 万元，占一般公共预算项目支出总额的</w:t>
      </w:r>
      <w:r>
        <w:rPr>
          <w:rFonts w:hint="eastAsia" w:ascii="微软雅黑" w:hAnsi="微软雅黑" w:eastAsia="微软雅黑" w:cs="微软雅黑"/>
          <w:color w:val="000000"/>
          <w:sz w:val="32"/>
          <w:lang w:val="en-US" w:eastAsia="zh-CN"/>
        </w:rPr>
        <w:t>100.00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2024年度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个政府性基金预算项目支出开展绩效自评，共涉及资金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万元，占政府性基金预算项目支出总额的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2024年度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个国有资本经营预算项目支出开展绩效自评，共涉及资金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万元，占国有资本经营预算项目支出总额的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w:t>
      </w:r>
    </w:p>
    <w:p w14:paraId="1A04DFEB">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非物质文化遗产传承保护”“送戏下乡惠民活动”“一元剧场”等3个项目开展了部门评价，涉及一般公共预算支出262.64万元，政府性基金预算支出0万元，国有资本经营预算支出0万元。从评价情况来看，我单位专项资金实行专款专用、专项核算，费用支出严格按财务审批程序和项目进度等进行支付，确保资金充分发挥效益。</w:t>
      </w:r>
    </w:p>
    <w:p w14:paraId="0B02E9C9">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岳阳县文化馆”等1个单位开展整体支出绩效评价，涉及一般公共预算支出798.71万元，政府性基金预算支出0万元。从评价情况来看，部门整体支出达到了预期工作成果，实现了预期工作目标，通过部门整体评价，特别是专项项目的实施，一元剧场、送戏下乡惠民活动、非物质文化遗产保护项目，为保护和传承非物质文化遗产，扩大了社会主义文艺的影响力，丰富市民精神文化生活提供了坚实保障。</w:t>
      </w:r>
    </w:p>
    <w:p w14:paraId="78D8BA03">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color w:val="000000"/>
          <w:kern w:val="0"/>
          <w:sz w:val="32"/>
          <w:szCs w:val="32"/>
        </w:rPr>
      </w:pPr>
      <w:r>
        <w:rPr>
          <w:rFonts w:hint="eastAsia" w:ascii="微软雅黑" w:hAnsi="微软雅黑" w:eastAsia="微软雅黑" w:cs="微软雅黑"/>
          <w:b/>
          <w:color w:val="000000"/>
          <w:kern w:val="0"/>
          <w:sz w:val="32"/>
          <w:szCs w:val="32"/>
        </w:rPr>
        <w:t>（2）部门决算中项目绩效自评结果</w:t>
      </w:r>
    </w:p>
    <w:p w14:paraId="04EF69DE">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非遗传承保护利用工作经费项目绩效自评综述：根据年初设定的绩效目标，项目绩效自评得分为100分。项目全年预算数为242.64万元，执行数为242.64万元，完成预算的100%。项目绩效目标完成情况：非物质文化遗产保护工作成效显著。发现的主要问题及原因：无。下一步改进措施：无。</w:t>
      </w:r>
    </w:p>
    <w:p w14:paraId="3270C792">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送戏下乡惠民活动项目绩效自评综述：根据年初设定的绩效目标，项目绩效自评得分为100分。项目全年预算数为15万元，执行数为15万元，完成预算的100%。项目绩效目标完成情况：完满完成全年送戏下乡任务，扩大了社会主义文艺的影响力。发现的主要问题及原因：无。下一步改进措施：无。</w:t>
      </w:r>
    </w:p>
    <w:p w14:paraId="119C4567">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一元剧场项目绩效自评综述：根据年初设定的绩效目标，项目绩效自评得分为100分。项目全年预算数为5万元，执行数为5万元，完成预算的100%。项目绩效目标完成情况：一元剧场活动的开展，丰富市民精神文化生活，取得了市民一致好评。发现的主要问题及原因：无。下一步改进措施：无。</w:t>
      </w:r>
    </w:p>
    <w:p w14:paraId="6398505A">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（3）部门评价项目绩效评价结果。</w:t>
      </w:r>
    </w:p>
    <w:p w14:paraId="3F3B25F1">
      <w:pPr>
        <w:ind w:firstLine="960" w:firstLineChars="300"/>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color w:val="000000"/>
          <w:kern w:val="0"/>
          <w:sz w:val="32"/>
          <w:szCs w:val="32"/>
          <w:lang w:val="en-US" w:eastAsia="zh-CN" w:bidi="ar-SA"/>
        </w:rPr>
        <w:t>无</w:t>
      </w:r>
    </w:p>
    <w:p w14:paraId="7C02CDCB">
      <w:pPr>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b w:val="0"/>
          <w:bCs w:val="0"/>
          <w:i/>
          <w:iCs/>
          <w:color w:val="FF0000"/>
          <w:sz w:val="32"/>
          <w:szCs w:val="32"/>
          <w:lang w:eastAsia="zh-CN"/>
        </w:rPr>
        <w:br w:type="page"/>
      </w:r>
    </w:p>
    <w:p w14:paraId="533D0BD2">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p>
    <w:p w14:paraId="1AC3990D">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第四部分</w:t>
      </w:r>
    </w:p>
    <w:p w14:paraId="5B2A6160">
      <w:pPr>
        <w:jc w:val="center"/>
        <w:rPr>
          <w:rFonts w:hint="eastAsia" w:ascii="微软雅黑" w:hAnsi="微软雅黑" w:eastAsia="微软雅黑" w:cs="微软雅黑"/>
          <w:b/>
          <w:bCs/>
          <w:color w:val="000000"/>
          <w:kern w:val="0"/>
          <w:sz w:val="70"/>
          <w:szCs w:val="70"/>
        </w:rPr>
      </w:pPr>
    </w:p>
    <w:p w14:paraId="2335C137">
      <w:pPr>
        <w:jc w:val="center"/>
        <w:rPr>
          <w:rFonts w:hint="eastAsia" w:ascii="微软雅黑" w:hAnsi="微软雅黑" w:eastAsia="微软雅黑" w:cs="微软雅黑"/>
          <w:b/>
          <w:bCs/>
          <w:color w:val="000000"/>
          <w:kern w:val="0"/>
          <w:sz w:val="70"/>
          <w:szCs w:val="70"/>
        </w:rPr>
      </w:pPr>
      <w:r>
        <w:rPr>
          <w:rFonts w:hint="eastAsia" w:ascii="微软雅黑" w:hAnsi="微软雅黑" w:eastAsia="微软雅黑" w:cs="微软雅黑"/>
          <w:b/>
          <w:bCs/>
          <w:color w:val="000000"/>
          <w:kern w:val="0"/>
          <w:sz w:val="70"/>
          <w:szCs w:val="70"/>
        </w:rPr>
        <w:t>名词解释</w:t>
      </w:r>
    </w:p>
    <w:p w14:paraId="5BF2B2B2">
      <w:pPr>
        <w:widowControl/>
        <w:jc w:val="left"/>
        <w:rPr>
          <w:rFonts w:hint="eastAsia" w:ascii="微软雅黑" w:hAnsi="微软雅黑" w:eastAsia="微软雅黑" w:cs="微软雅黑"/>
          <w:color w:val="000000"/>
          <w:kern w:val="0"/>
          <w:sz w:val="32"/>
          <w:szCs w:val="32"/>
        </w:rPr>
      </w:pPr>
    </w:p>
    <w:p w14:paraId="22E68B37">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B33C819">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二、机关运行经费</w:t>
      </w: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060F31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i/>
          <w:color w:val="FF0000"/>
          <w:kern w:val="0"/>
          <w:sz w:val="32"/>
          <w:szCs w:val="32"/>
          <w:lang w:val="en-US" w:eastAsia="zh-CN" w:bidi="ar-SA"/>
        </w:rPr>
      </w:pPr>
    </w:p>
    <w:p w14:paraId="4559FD5A">
      <w:pPr>
        <w:rPr>
          <w:rFonts w:hint="eastAsia" w:ascii="微软雅黑" w:hAnsi="微软雅黑" w:eastAsia="微软雅黑" w:cs="微软雅黑"/>
          <w:sz w:val="72"/>
          <w:szCs w:val="72"/>
        </w:rPr>
      </w:pPr>
      <w:r>
        <w:rPr>
          <w:rFonts w:hint="eastAsia" w:ascii="微软雅黑" w:hAnsi="微软雅黑" w:eastAsia="微软雅黑" w:cs="微软雅黑"/>
          <w:sz w:val="72"/>
          <w:szCs w:val="72"/>
        </w:rPr>
        <w:br w:type="page"/>
      </w:r>
    </w:p>
    <w:p w14:paraId="70009BAA">
      <w:pPr>
        <w:pStyle w:val="13"/>
        <w:jc w:val="center"/>
        <w:rPr>
          <w:rFonts w:hint="eastAsia" w:ascii="微软雅黑" w:hAnsi="微软雅黑" w:eastAsia="微软雅黑" w:cs="微软雅黑"/>
          <w:sz w:val="72"/>
          <w:szCs w:val="72"/>
        </w:rPr>
      </w:pPr>
    </w:p>
    <w:p w14:paraId="10D4EE84">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第五部分</w:t>
      </w:r>
    </w:p>
    <w:p w14:paraId="1BAA3E76">
      <w:pPr>
        <w:jc w:val="center"/>
        <w:rPr>
          <w:rFonts w:hint="eastAsia" w:ascii="微软雅黑" w:hAnsi="微软雅黑" w:eastAsia="微软雅黑" w:cs="微软雅黑"/>
          <w:b/>
          <w:bCs/>
          <w:color w:val="000000"/>
          <w:kern w:val="0"/>
          <w:sz w:val="70"/>
          <w:szCs w:val="70"/>
        </w:rPr>
      </w:pPr>
    </w:p>
    <w:p w14:paraId="05C1FD31">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color w:val="000000"/>
          <w:kern w:val="0"/>
          <w:sz w:val="70"/>
          <w:szCs w:val="70"/>
        </w:rPr>
        <w:t>附件</w:t>
      </w:r>
    </w:p>
    <w:p w14:paraId="5A48AEA6">
      <w:pPr>
        <w:ind w:firstLine="640" w:firstLineChars="200"/>
        <w:jc w:val="left"/>
        <w:rPr>
          <w:rFonts w:hint="eastAsia" w:ascii="微软雅黑" w:hAnsi="微软雅黑" w:eastAsia="微软雅黑" w:cs="微软雅黑"/>
          <w:b/>
          <w:bCs/>
          <w:color w:val="000000"/>
          <w:kern w:val="0"/>
          <w:sz w:val="32"/>
          <w:szCs w:val="32"/>
          <w:lang w:val="en-US" w:eastAsia="zh-CN"/>
        </w:rPr>
      </w:pPr>
    </w:p>
    <w:p w14:paraId="353E400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1、</w:t>
      </w:r>
      <w:r>
        <w:rPr>
          <w:rFonts w:ascii="微软雅黑" w:hAnsi="微软雅黑" w:eastAsia="微软雅黑" w:cs="微软雅黑"/>
          <w:b/>
          <w:color w:val="000000"/>
          <w:sz w:val="32"/>
        </w:rPr>
        <w:t>2024年部门决算公开表格</w:t>
      </w:r>
    </w:p>
    <w:p w14:paraId="62F525D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2、</w:t>
      </w:r>
      <w:r>
        <w:rPr>
          <w:rFonts w:hint="eastAsia" w:ascii="微软雅黑" w:hAnsi="微软雅黑" w:eastAsia="微软雅黑" w:cs="微软雅黑"/>
          <w:b/>
          <w:bCs/>
          <w:color w:val="000000"/>
          <w:kern w:val="0"/>
          <w:sz w:val="32"/>
          <w:szCs w:val="32"/>
          <w:lang w:eastAsia="zh-CN"/>
        </w:rPr>
        <w:t>2024</w:t>
      </w:r>
      <w:r>
        <w:rPr>
          <w:rFonts w:hint="eastAsia" w:ascii="微软雅黑" w:hAnsi="微软雅黑" w:eastAsia="微软雅黑" w:cs="微软雅黑"/>
          <w:b/>
          <w:bCs/>
          <w:color w:val="000000"/>
          <w:kern w:val="0"/>
          <w:sz w:val="32"/>
          <w:szCs w:val="32"/>
        </w:rPr>
        <w:t>年度部门整体支出绩效评价报告</w:t>
      </w: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B31AC"/>
    <w:multiLevelType w:val="singleLevel"/>
    <w:tmpl w:val="B69B31AC"/>
    <w:lvl w:ilvl="0" w:tentative="0">
      <w:start w:val="5"/>
      <w:numFmt w:val="decimal"/>
      <w:suff w:val="nothing"/>
      <w:lvlText w:val="%1、"/>
      <w:lvlJc w:val="left"/>
    </w:lvl>
  </w:abstractNum>
  <w:abstractNum w:abstractNumId="1">
    <w:nsid w:val="110479CA"/>
    <w:multiLevelType w:val="singleLevel"/>
    <w:tmpl w:val="110479C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4ODk0NzM2ZTlhZmRjMmU3YmRjN2NiZDIwYmYyMjIifQ=="/>
    <w:docVar w:name="KSO_WPS_MARK_KEY" w:val="aeeac8e3-f466-426f-889f-364d7213eb81"/>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603"/>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B3D7E"/>
    <w:rsid w:val="041B6CAE"/>
    <w:rsid w:val="050339CA"/>
    <w:rsid w:val="05482261"/>
    <w:rsid w:val="074309F6"/>
    <w:rsid w:val="07966D78"/>
    <w:rsid w:val="07E04F3D"/>
    <w:rsid w:val="096227F5"/>
    <w:rsid w:val="0AC57974"/>
    <w:rsid w:val="0B98557C"/>
    <w:rsid w:val="0F0230C5"/>
    <w:rsid w:val="0F9016DB"/>
    <w:rsid w:val="0FE268D2"/>
    <w:rsid w:val="101D5079"/>
    <w:rsid w:val="10A73DA4"/>
    <w:rsid w:val="11A63AC3"/>
    <w:rsid w:val="12E7492B"/>
    <w:rsid w:val="13135140"/>
    <w:rsid w:val="13201BEB"/>
    <w:rsid w:val="134641EF"/>
    <w:rsid w:val="136B7D14"/>
    <w:rsid w:val="13B2733A"/>
    <w:rsid w:val="157E7260"/>
    <w:rsid w:val="1590305F"/>
    <w:rsid w:val="15986B0A"/>
    <w:rsid w:val="15A64981"/>
    <w:rsid w:val="16E440C5"/>
    <w:rsid w:val="17D85E72"/>
    <w:rsid w:val="186662F2"/>
    <w:rsid w:val="191A1185"/>
    <w:rsid w:val="192A37C4"/>
    <w:rsid w:val="1A4B623A"/>
    <w:rsid w:val="1D554B87"/>
    <w:rsid w:val="1D7B7BDC"/>
    <w:rsid w:val="1E5B441F"/>
    <w:rsid w:val="1FC95512"/>
    <w:rsid w:val="21680401"/>
    <w:rsid w:val="22F10EAE"/>
    <w:rsid w:val="237C4FE1"/>
    <w:rsid w:val="244F2355"/>
    <w:rsid w:val="2492405A"/>
    <w:rsid w:val="27B766F6"/>
    <w:rsid w:val="29701875"/>
    <w:rsid w:val="29E057D9"/>
    <w:rsid w:val="29E20B18"/>
    <w:rsid w:val="2ACE37E7"/>
    <w:rsid w:val="2B6568DD"/>
    <w:rsid w:val="2CA32B27"/>
    <w:rsid w:val="2F026361"/>
    <w:rsid w:val="2F5729E1"/>
    <w:rsid w:val="305B3E0B"/>
    <w:rsid w:val="306F0E15"/>
    <w:rsid w:val="30E449B8"/>
    <w:rsid w:val="31765CD0"/>
    <w:rsid w:val="31B77767"/>
    <w:rsid w:val="31BE6691"/>
    <w:rsid w:val="328A04BF"/>
    <w:rsid w:val="33E12879"/>
    <w:rsid w:val="34095384"/>
    <w:rsid w:val="34913157"/>
    <w:rsid w:val="34E24AFB"/>
    <w:rsid w:val="35E51C22"/>
    <w:rsid w:val="36681ABA"/>
    <w:rsid w:val="36E96615"/>
    <w:rsid w:val="37D87DC2"/>
    <w:rsid w:val="3954171E"/>
    <w:rsid w:val="3BC62A80"/>
    <w:rsid w:val="3C86519C"/>
    <w:rsid w:val="3D0855FF"/>
    <w:rsid w:val="3E4A49E8"/>
    <w:rsid w:val="3FD348C7"/>
    <w:rsid w:val="407F4018"/>
    <w:rsid w:val="40C80669"/>
    <w:rsid w:val="416E2F19"/>
    <w:rsid w:val="41940D6D"/>
    <w:rsid w:val="42415557"/>
    <w:rsid w:val="42FC322C"/>
    <w:rsid w:val="446A3BE4"/>
    <w:rsid w:val="44AC435F"/>
    <w:rsid w:val="451C5E07"/>
    <w:rsid w:val="46172422"/>
    <w:rsid w:val="487D493C"/>
    <w:rsid w:val="493A4AAE"/>
    <w:rsid w:val="4C76404F"/>
    <w:rsid w:val="4D542DAB"/>
    <w:rsid w:val="4DBD267D"/>
    <w:rsid w:val="4EC70B92"/>
    <w:rsid w:val="512C2F2E"/>
    <w:rsid w:val="515626A1"/>
    <w:rsid w:val="51BC1AEA"/>
    <w:rsid w:val="526D213A"/>
    <w:rsid w:val="52E579D6"/>
    <w:rsid w:val="54DA7145"/>
    <w:rsid w:val="55C63EE6"/>
    <w:rsid w:val="570F5142"/>
    <w:rsid w:val="57193F55"/>
    <w:rsid w:val="5777D4F5"/>
    <w:rsid w:val="57A45FA7"/>
    <w:rsid w:val="57D94F90"/>
    <w:rsid w:val="58E22459"/>
    <w:rsid w:val="59130AF7"/>
    <w:rsid w:val="59743537"/>
    <w:rsid w:val="597B546F"/>
    <w:rsid w:val="59853B23"/>
    <w:rsid w:val="59B516D6"/>
    <w:rsid w:val="5B4F3FC2"/>
    <w:rsid w:val="5B6149FC"/>
    <w:rsid w:val="5C3C5495"/>
    <w:rsid w:val="5C480E38"/>
    <w:rsid w:val="5D2E44D2"/>
    <w:rsid w:val="5DA84284"/>
    <w:rsid w:val="5DB1138B"/>
    <w:rsid w:val="5DD661F4"/>
    <w:rsid w:val="5E026FEC"/>
    <w:rsid w:val="5FC6BB1E"/>
    <w:rsid w:val="5FF720F1"/>
    <w:rsid w:val="613D2006"/>
    <w:rsid w:val="625D388F"/>
    <w:rsid w:val="62865D5A"/>
    <w:rsid w:val="62A212A2"/>
    <w:rsid w:val="62FD25D9"/>
    <w:rsid w:val="63892CD6"/>
    <w:rsid w:val="63930AB7"/>
    <w:rsid w:val="643C1282"/>
    <w:rsid w:val="645753D4"/>
    <w:rsid w:val="64743126"/>
    <w:rsid w:val="65A11F6F"/>
    <w:rsid w:val="65B05FE0"/>
    <w:rsid w:val="65C224B1"/>
    <w:rsid w:val="660109D5"/>
    <w:rsid w:val="6720463D"/>
    <w:rsid w:val="67B81568"/>
    <w:rsid w:val="690F4C8C"/>
    <w:rsid w:val="6BD30F4C"/>
    <w:rsid w:val="6C3B753A"/>
    <w:rsid w:val="6CC77FD4"/>
    <w:rsid w:val="6D036DE1"/>
    <w:rsid w:val="6D15603E"/>
    <w:rsid w:val="6D1D2BA3"/>
    <w:rsid w:val="6D340BE9"/>
    <w:rsid w:val="6D6C02BA"/>
    <w:rsid w:val="6E4E0530"/>
    <w:rsid w:val="6E6B2E90"/>
    <w:rsid w:val="6FA82D18"/>
    <w:rsid w:val="702121CA"/>
    <w:rsid w:val="70AA2B12"/>
    <w:rsid w:val="71866DCF"/>
    <w:rsid w:val="71B615C9"/>
    <w:rsid w:val="72853156"/>
    <w:rsid w:val="72D57472"/>
    <w:rsid w:val="73653335"/>
    <w:rsid w:val="737D59BA"/>
    <w:rsid w:val="73D15FE7"/>
    <w:rsid w:val="743957DE"/>
    <w:rsid w:val="746E24AF"/>
    <w:rsid w:val="74C668ED"/>
    <w:rsid w:val="75063912"/>
    <w:rsid w:val="752501E6"/>
    <w:rsid w:val="75335E64"/>
    <w:rsid w:val="772C33D8"/>
    <w:rsid w:val="776B5ABC"/>
    <w:rsid w:val="776D2CE2"/>
    <w:rsid w:val="77C37683"/>
    <w:rsid w:val="78180F6A"/>
    <w:rsid w:val="78F81A1D"/>
    <w:rsid w:val="790068CB"/>
    <w:rsid w:val="795344B3"/>
    <w:rsid w:val="797F5A41"/>
    <w:rsid w:val="79DA536E"/>
    <w:rsid w:val="79FF515B"/>
    <w:rsid w:val="7AA51821"/>
    <w:rsid w:val="7AB32FAA"/>
    <w:rsid w:val="7B7B65C3"/>
    <w:rsid w:val="7C4D3A17"/>
    <w:rsid w:val="7E08722F"/>
    <w:rsid w:val="7E1C2865"/>
    <w:rsid w:val="7E9F11B4"/>
    <w:rsid w:val="7EFC4F29"/>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21"/>
    <w:basedOn w:val="6"/>
    <w:qFormat/>
    <w:uiPriority w:val="0"/>
    <w:rPr>
      <w:rFonts w:hint="eastAsia" w:ascii="宋体" w:hAnsi="宋体" w:eastAsia="宋体" w:cs="宋体"/>
      <w:color w:val="000000"/>
      <w:sz w:val="24"/>
      <w:szCs w:val="24"/>
      <w:u w:val="none"/>
    </w:rPr>
  </w:style>
  <w:style w:type="character" w:customStyle="1" w:styleId="12">
    <w:name w:val="font01"/>
    <w:basedOn w:val="6"/>
    <w:qFormat/>
    <w:uiPriority w:val="0"/>
    <w:rPr>
      <w:rFonts w:hint="eastAsia" w:ascii="宋体" w:hAnsi="宋体" w:eastAsia="宋体" w:cs="宋体"/>
      <w:color w:val="000000"/>
      <w:sz w:val="22"/>
      <w:szCs w:val="22"/>
      <w:u w:val="none"/>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5572</Words>
  <Characters>6167</Characters>
  <Lines>63</Lines>
  <Paragraphs>18</Paragraphs>
  <TotalTime>40</TotalTime>
  <ScaleCrop>false</ScaleCrop>
  <LinksUpToDate>false</LinksUpToDate>
  <CharactersWithSpaces>6196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悬剑</cp:lastModifiedBy>
  <cp:lastPrinted>2023-08-15T09:28:00Z</cp:lastPrinted>
  <dcterms:modified xsi:type="dcterms:W3CDTF">2026-09-17T00:39:41Z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5DC580EB57B24F56B28B3509B2C47DF1_13</vt:lpwstr>
  </property>
</Properties>
</file>