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C63B2">
      <w:pPr>
        <w:spacing w:before="166" w:line="290" w:lineRule="auto"/>
        <w:ind w:left="3585" w:right="550" w:hanging="1909"/>
        <w:rPr>
          <w:rFonts w:ascii="宋体" w:hAnsi="宋体" w:eastAsia="宋体" w:cs="宋体"/>
          <w:b/>
          <w:bCs/>
          <w:spacing w:val="1"/>
          <w:sz w:val="42"/>
          <w:szCs w:val="42"/>
        </w:rPr>
      </w:pPr>
    </w:p>
    <w:p w14:paraId="2A7D835A">
      <w:pPr>
        <w:spacing w:before="166" w:line="290" w:lineRule="auto"/>
        <w:ind w:left="3585" w:right="550" w:hanging="1909"/>
        <w:rPr>
          <w:rFonts w:ascii="宋体" w:hAnsi="宋体" w:eastAsia="宋体" w:cs="宋体"/>
          <w:sz w:val="42"/>
          <w:szCs w:val="42"/>
        </w:rPr>
      </w:pPr>
      <w:r>
        <w:rPr>
          <w:rFonts w:ascii="宋体" w:hAnsi="宋体" w:eastAsia="宋体" w:cs="宋体"/>
          <w:b/>
          <w:bCs/>
          <w:spacing w:val="1"/>
          <w:sz w:val="42"/>
          <w:szCs w:val="42"/>
        </w:rPr>
        <w:t>202</w:t>
      </w:r>
      <w:r>
        <w:rPr>
          <w:rFonts w:hint="eastAsia" w:ascii="宋体" w:hAnsi="宋体" w:eastAsia="宋体" w:cs="宋体"/>
          <w:b/>
          <w:bCs/>
          <w:spacing w:val="1"/>
          <w:sz w:val="42"/>
          <w:szCs w:val="42"/>
          <w:lang w:val="en-US" w:eastAsia="zh-CN"/>
        </w:rPr>
        <w:t>5</w:t>
      </w:r>
      <w:r>
        <w:rPr>
          <w:rFonts w:ascii="宋体" w:hAnsi="宋体" w:eastAsia="宋体" w:cs="宋体"/>
          <w:b/>
          <w:bCs/>
          <w:spacing w:val="1"/>
          <w:sz w:val="42"/>
          <w:szCs w:val="42"/>
        </w:rPr>
        <w:t>年度</w:t>
      </w:r>
      <w:r>
        <w:rPr>
          <w:rFonts w:hint="eastAsia" w:ascii="宋体" w:hAnsi="宋体" w:eastAsia="宋体" w:cs="宋体"/>
          <w:b/>
          <w:bCs/>
          <w:spacing w:val="1"/>
          <w:sz w:val="42"/>
          <w:szCs w:val="42"/>
          <w:lang w:eastAsia="zh-CN"/>
        </w:rPr>
        <w:t>新开镇人民政府</w:t>
      </w:r>
      <w:r>
        <w:rPr>
          <w:rFonts w:ascii="宋体" w:hAnsi="宋体" w:eastAsia="宋体" w:cs="宋体"/>
          <w:b/>
          <w:bCs/>
          <w:spacing w:val="1"/>
          <w:sz w:val="42"/>
          <w:szCs w:val="42"/>
        </w:rPr>
        <w:t>整体支出</w:t>
      </w:r>
      <w:r>
        <w:rPr>
          <w:rFonts w:ascii="宋体" w:hAnsi="宋体" w:eastAsia="宋体" w:cs="宋体"/>
          <w:b/>
          <w:bCs/>
          <w:spacing w:val="8"/>
          <w:sz w:val="42"/>
          <w:szCs w:val="42"/>
        </w:rPr>
        <w:t>绩效自评报告</w:t>
      </w:r>
    </w:p>
    <w:p w14:paraId="3D6A61B4">
      <w:pPr>
        <w:spacing w:line="247" w:lineRule="auto"/>
        <w:rPr>
          <w:rFonts w:ascii="Arial"/>
          <w:sz w:val="21"/>
        </w:rPr>
      </w:pPr>
    </w:p>
    <w:p w14:paraId="59E39D21">
      <w:pPr>
        <w:spacing w:line="247" w:lineRule="auto"/>
        <w:rPr>
          <w:rFonts w:ascii="Arial"/>
          <w:sz w:val="21"/>
        </w:rPr>
      </w:pPr>
    </w:p>
    <w:p w14:paraId="63F019F3">
      <w:pPr>
        <w:spacing w:line="247" w:lineRule="auto"/>
        <w:rPr>
          <w:rFonts w:ascii="Arial"/>
          <w:sz w:val="21"/>
        </w:rPr>
      </w:pPr>
    </w:p>
    <w:p w14:paraId="48DD8D2A">
      <w:pPr>
        <w:spacing w:line="247" w:lineRule="auto"/>
        <w:rPr>
          <w:rFonts w:ascii="Arial"/>
          <w:sz w:val="21"/>
        </w:rPr>
      </w:pPr>
    </w:p>
    <w:p w14:paraId="1B4EF8A7">
      <w:pPr>
        <w:spacing w:line="247" w:lineRule="auto"/>
        <w:rPr>
          <w:rFonts w:ascii="Arial"/>
          <w:sz w:val="21"/>
        </w:rPr>
      </w:pPr>
    </w:p>
    <w:p w14:paraId="107D60A6">
      <w:pPr>
        <w:spacing w:line="247" w:lineRule="auto"/>
        <w:rPr>
          <w:rFonts w:ascii="Arial"/>
          <w:sz w:val="21"/>
        </w:rPr>
      </w:pPr>
    </w:p>
    <w:p w14:paraId="42166E24">
      <w:pPr>
        <w:spacing w:line="247" w:lineRule="auto"/>
        <w:rPr>
          <w:rFonts w:ascii="Arial"/>
          <w:sz w:val="21"/>
        </w:rPr>
      </w:pPr>
    </w:p>
    <w:p w14:paraId="4609DDEB">
      <w:pPr>
        <w:spacing w:line="247" w:lineRule="auto"/>
        <w:rPr>
          <w:rFonts w:ascii="Arial"/>
          <w:sz w:val="21"/>
        </w:rPr>
      </w:pPr>
    </w:p>
    <w:p w14:paraId="6C1CBB4E">
      <w:pPr>
        <w:spacing w:line="247" w:lineRule="auto"/>
        <w:rPr>
          <w:rFonts w:ascii="Arial"/>
          <w:sz w:val="21"/>
        </w:rPr>
      </w:pPr>
    </w:p>
    <w:p w14:paraId="1212C8AC">
      <w:pPr>
        <w:spacing w:line="247" w:lineRule="auto"/>
        <w:rPr>
          <w:rFonts w:ascii="Arial"/>
          <w:sz w:val="21"/>
        </w:rPr>
      </w:pPr>
    </w:p>
    <w:p w14:paraId="3E5A6AA8">
      <w:pPr>
        <w:spacing w:line="247" w:lineRule="auto"/>
        <w:rPr>
          <w:rFonts w:ascii="Arial"/>
          <w:sz w:val="21"/>
        </w:rPr>
      </w:pPr>
    </w:p>
    <w:p w14:paraId="6F353359">
      <w:pPr>
        <w:spacing w:line="247" w:lineRule="auto"/>
        <w:rPr>
          <w:rFonts w:ascii="Arial"/>
          <w:sz w:val="21"/>
        </w:rPr>
      </w:pPr>
    </w:p>
    <w:p w14:paraId="37CD7F35">
      <w:pPr>
        <w:spacing w:line="247" w:lineRule="auto"/>
        <w:rPr>
          <w:rFonts w:ascii="Arial"/>
          <w:sz w:val="21"/>
        </w:rPr>
      </w:pPr>
    </w:p>
    <w:p w14:paraId="3ECDA8D0">
      <w:pPr>
        <w:spacing w:line="247" w:lineRule="auto"/>
        <w:rPr>
          <w:rFonts w:ascii="Arial"/>
          <w:sz w:val="21"/>
        </w:rPr>
      </w:pPr>
    </w:p>
    <w:p w14:paraId="159FCB0E">
      <w:pPr>
        <w:spacing w:line="247" w:lineRule="auto"/>
        <w:rPr>
          <w:rFonts w:ascii="Arial"/>
          <w:sz w:val="21"/>
        </w:rPr>
      </w:pPr>
    </w:p>
    <w:p w14:paraId="0CC2124E">
      <w:pPr>
        <w:spacing w:line="247" w:lineRule="auto"/>
        <w:rPr>
          <w:rFonts w:ascii="Arial"/>
          <w:sz w:val="21"/>
        </w:rPr>
      </w:pPr>
    </w:p>
    <w:p w14:paraId="7BE6146B">
      <w:pPr>
        <w:spacing w:line="247" w:lineRule="auto"/>
        <w:rPr>
          <w:rFonts w:ascii="Arial"/>
          <w:sz w:val="21"/>
        </w:rPr>
      </w:pPr>
    </w:p>
    <w:p w14:paraId="3CB380D9">
      <w:pPr>
        <w:spacing w:line="247" w:lineRule="auto"/>
        <w:rPr>
          <w:rFonts w:ascii="Arial"/>
          <w:sz w:val="21"/>
        </w:rPr>
      </w:pPr>
    </w:p>
    <w:p w14:paraId="2587DC79">
      <w:pPr>
        <w:spacing w:line="247" w:lineRule="auto"/>
        <w:rPr>
          <w:rFonts w:ascii="Arial"/>
          <w:sz w:val="21"/>
        </w:rPr>
      </w:pPr>
    </w:p>
    <w:p w14:paraId="2DF7A6B0">
      <w:pPr>
        <w:spacing w:line="247" w:lineRule="auto"/>
        <w:rPr>
          <w:rFonts w:ascii="Arial"/>
          <w:sz w:val="21"/>
        </w:rPr>
      </w:pPr>
    </w:p>
    <w:p w14:paraId="478CFC54">
      <w:pPr>
        <w:spacing w:line="247" w:lineRule="auto"/>
        <w:rPr>
          <w:rFonts w:ascii="Arial"/>
          <w:sz w:val="21"/>
        </w:rPr>
      </w:pPr>
    </w:p>
    <w:p w14:paraId="73252898">
      <w:pPr>
        <w:spacing w:line="247" w:lineRule="auto"/>
        <w:rPr>
          <w:rFonts w:ascii="Arial"/>
          <w:sz w:val="21"/>
        </w:rPr>
      </w:pPr>
    </w:p>
    <w:p w14:paraId="399C36C5">
      <w:pPr>
        <w:spacing w:line="247" w:lineRule="auto"/>
        <w:rPr>
          <w:rFonts w:ascii="Arial"/>
          <w:sz w:val="21"/>
        </w:rPr>
      </w:pPr>
    </w:p>
    <w:p w14:paraId="6E7E667A">
      <w:pPr>
        <w:spacing w:line="247" w:lineRule="auto"/>
        <w:rPr>
          <w:rFonts w:ascii="Arial"/>
          <w:sz w:val="21"/>
        </w:rPr>
      </w:pPr>
    </w:p>
    <w:p w14:paraId="7281AEF2">
      <w:pPr>
        <w:spacing w:line="248" w:lineRule="auto"/>
        <w:rPr>
          <w:rFonts w:ascii="Arial"/>
          <w:sz w:val="21"/>
        </w:rPr>
      </w:pPr>
    </w:p>
    <w:p w14:paraId="4DDFF4B4">
      <w:pPr>
        <w:spacing w:line="248" w:lineRule="auto"/>
        <w:rPr>
          <w:rFonts w:ascii="Arial"/>
          <w:sz w:val="21"/>
        </w:rPr>
      </w:pPr>
    </w:p>
    <w:p w14:paraId="06F59AFF">
      <w:pPr>
        <w:spacing w:line="248" w:lineRule="auto"/>
        <w:rPr>
          <w:rFonts w:ascii="Arial"/>
          <w:sz w:val="21"/>
        </w:rPr>
      </w:pPr>
    </w:p>
    <w:p w14:paraId="437963AA">
      <w:pPr>
        <w:spacing w:line="248" w:lineRule="auto"/>
        <w:rPr>
          <w:rFonts w:ascii="Arial"/>
          <w:sz w:val="21"/>
        </w:rPr>
      </w:pPr>
    </w:p>
    <w:p w14:paraId="2FC819AC">
      <w:pPr>
        <w:spacing w:line="248" w:lineRule="auto"/>
        <w:rPr>
          <w:rFonts w:ascii="Arial"/>
          <w:sz w:val="21"/>
        </w:rPr>
      </w:pPr>
    </w:p>
    <w:p w14:paraId="6ACDEACD">
      <w:pPr>
        <w:spacing w:line="248" w:lineRule="auto"/>
        <w:rPr>
          <w:rFonts w:ascii="Arial"/>
          <w:sz w:val="21"/>
        </w:rPr>
      </w:pPr>
    </w:p>
    <w:p w14:paraId="22A2B6C1">
      <w:pPr>
        <w:spacing w:line="248" w:lineRule="auto"/>
        <w:rPr>
          <w:rFonts w:ascii="Arial"/>
          <w:sz w:val="21"/>
        </w:rPr>
      </w:pPr>
    </w:p>
    <w:p w14:paraId="198729E1">
      <w:pPr>
        <w:spacing w:before="91" w:line="224" w:lineRule="auto"/>
        <w:ind w:firstLine="2169" w:firstLineChars="800"/>
        <w:rPr>
          <w:rFonts w:hint="eastAsia" w:ascii="楷体" w:hAnsi="楷体" w:eastAsia="楷体" w:cs="楷体"/>
          <w:sz w:val="28"/>
          <w:szCs w:val="28"/>
          <w:lang w:eastAsia="zh-CN"/>
        </w:rPr>
      </w:pPr>
      <w:r>
        <w:rPr>
          <w:rFonts w:ascii="楷体" w:hAnsi="楷体" w:eastAsia="楷体" w:cs="楷体"/>
          <w:b/>
          <w:bCs/>
          <w:spacing w:val="-5"/>
          <w:sz w:val="28"/>
          <w:szCs w:val="28"/>
        </w:rPr>
        <w:t>部门(单位)名称：</w:t>
      </w:r>
      <w:r>
        <w:rPr>
          <w:rFonts w:hint="eastAsia" w:ascii="楷体" w:hAnsi="楷体" w:eastAsia="楷体" w:cs="楷体"/>
          <w:b/>
          <w:bCs/>
          <w:spacing w:val="-5"/>
          <w:sz w:val="28"/>
          <w:szCs w:val="28"/>
          <w:u w:val="single" w:color="auto"/>
          <w:lang w:eastAsia="zh-CN"/>
        </w:rPr>
        <w:t>岳阳县新开镇人民政府</w:t>
      </w:r>
    </w:p>
    <w:p w14:paraId="734872C0">
      <w:pPr>
        <w:spacing w:before="290" w:line="225" w:lineRule="auto"/>
        <w:ind w:left="3754"/>
        <w:rPr>
          <w:rFonts w:ascii="楷体" w:hAnsi="楷体" w:eastAsia="楷体" w:cs="楷体"/>
          <w:sz w:val="28"/>
          <w:szCs w:val="28"/>
        </w:rPr>
        <w:sectPr>
          <w:headerReference r:id="rId5" w:type="default"/>
          <w:footerReference r:id="rId6" w:type="default"/>
          <w:pgSz w:w="11900" w:h="16830"/>
          <w:pgMar w:top="2445" w:right="1785" w:bottom="2000" w:left="1480" w:header="2014" w:footer="1637" w:gutter="0"/>
          <w:cols w:equalWidth="0" w:num="1">
            <w:col w:w="8635"/>
          </w:cols>
        </w:sectPr>
      </w:pPr>
      <w:r>
        <w:rPr>
          <w:rFonts w:hint="eastAsia" w:ascii="楷体" w:hAnsi="楷体" w:eastAsia="楷体" w:cs="楷体"/>
          <w:b/>
          <w:bCs/>
          <w:spacing w:val="-15"/>
          <w:sz w:val="28"/>
          <w:szCs w:val="28"/>
          <w:lang w:val="en-US" w:eastAsia="zh-CN"/>
        </w:rPr>
        <w:t>2026年05月25日</w:t>
      </w:r>
    </w:p>
    <w:p w14:paraId="51DBCF6E">
      <w:pPr>
        <w:spacing w:line="269" w:lineRule="auto"/>
        <w:rPr>
          <w:rFonts w:ascii="Arial"/>
          <w:sz w:val="21"/>
        </w:rPr>
      </w:pPr>
    </w:p>
    <w:p w14:paraId="77853BBA">
      <w:pPr>
        <w:spacing w:line="269" w:lineRule="auto"/>
        <w:rPr>
          <w:rFonts w:ascii="Arial"/>
          <w:sz w:val="21"/>
        </w:rPr>
      </w:pPr>
    </w:p>
    <w:p w14:paraId="4E2DF20F">
      <w:pPr>
        <w:spacing w:line="269" w:lineRule="auto"/>
        <w:rPr>
          <w:rFonts w:ascii="Arial"/>
          <w:sz w:val="21"/>
        </w:rPr>
      </w:pPr>
    </w:p>
    <w:p w14:paraId="69FE0F8E">
      <w:pPr>
        <w:keepNext w:val="0"/>
        <w:keepLines w:val="0"/>
        <w:pageBreakBefore w:val="0"/>
        <w:widowControl/>
        <w:kinsoku w:val="0"/>
        <w:wordWrap/>
        <w:overflowPunct/>
        <w:topLinePunct w:val="0"/>
        <w:autoSpaceDE w:val="0"/>
        <w:autoSpaceDN w:val="0"/>
        <w:bidi w:val="0"/>
        <w:adjustRightInd w:val="0"/>
        <w:snapToGrid w:val="0"/>
        <w:spacing w:before="100" w:line="500" w:lineRule="exact"/>
        <w:ind w:left="679"/>
        <w:rPr>
          <w:rFonts w:ascii="SimHei" w:hAnsi="SimHei" w:eastAsia="SimHei" w:cs="SimHei"/>
          <w:spacing w:val="-9"/>
          <w:sz w:val="31"/>
          <w:szCs w:val="31"/>
        </w:rPr>
      </w:pPr>
      <w:r>
        <w:rPr>
          <w:rFonts w:ascii="SimHei" w:hAnsi="SimHei" w:eastAsia="SimHei" w:cs="SimHei"/>
          <w:spacing w:val="-9"/>
          <w:sz w:val="31"/>
          <w:szCs w:val="31"/>
        </w:rPr>
        <w:t>一、部门(单位)基本情况</w:t>
      </w:r>
    </w:p>
    <w:p w14:paraId="372A667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ascii="仿宋_GB2312" w:hAnsi="宋体" w:eastAsia="仿宋_GB2312"/>
          <w:color w:val="333333"/>
          <w:sz w:val="32"/>
          <w:szCs w:val="32"/>
          <w:shd w:val="clear" w:color="auto" w:fill="FFFFFF"/>
        </w:rPr>
      </w:pPr>
      <w:r>
        <w:rPr>
          <w:rFonts w:hint="eastAsia" w:ascii="仿宋_GB2312" w:hAnsi="宋体" w:eastAsia="仿宋_GB2312" w:cs="仿宋_GB2312"/>
          <w:color w:val="333333"/>
          <w:sz w:val="32"/>
          <w:szCs w:val="32"/>
          <w:shd w:val="clear" w:color="auto" w:fill="FFFFFF"/>
        </w:rPr>
        <w:t>岳阳县新开镇政府在编人员</w:t>
      </w:r>
      <w:r>
        <w:rPr>
          <w:rFonts w:hint="eastAsia" w:ascii="仿宋_GB2312" w:hAnsi="宋体" w:eastAsia="仿宋_GB2312" w:cs="仿宋_GB2312"/>
          <w:color w:val="333333"/>
          <w:sz w:val="32"/>
          <w:szCs w:val="32"/>
          <w:shd w:val="clear" w:color="auto" w:fill="FFFFFF"/>
          <w:lang w:val="en-US" w:eastAsia="zh-CN"/>
        </w:rPr>
        <w:t>118</w:t>
      </w:r>
      <w:r>
        <w:rPr>
          <w:rFonts w:hint="eastAsia" w:ascii="仿宋_GB2312" w:hAnsi="宋体" w:eastAsia="仿宋_GB2312" w:cs="仿宋_GB2312"/>
          <w:color w:val="333333"/>
          <w:sz w:val="32"/>
          <w:szCs w:val="32"/>
          <w:shd w:val="clear" w:color="auto" w:fill="FFFFFF"/>
        </w:rPr>
        <w:t>人，实有人员</w:t>
      </w:r>
      <w:r>
        <w:rPr>
          <w:rFonts w:hint="eastAsia" w:ascii="仿宋_GB2312" w:hAnsi="宋体" w:eastAsia="仿宋_GB2312" w:cs="仿宋_GB2312"/>
          <w:color w:val="333333"/>
          <w:sz w:val="32"/>
          <w:szCs w:val="32"/>
          <w:shd w:val="clear" w:color="auto" w:fill="FFFFFF"/>
          <w:lang w:val="en-US" w:eastAsia="zh-CN"/>
        </w:rPr>
        <w:t>118</w:t>
      </w:r>
      <w:r>
        <w:rPr>
          <w:rFonts w:hint="eastAsia" w:ascii="仿宋_GB2312" w:hAnsi="宋体" w:eastAsia="仿宋_GB2312" w:cs="仿宋_GB2312"/>
          <w:color w:val="333333"/>
          <w:sz w:val="32"/>
          <w:szCs w:val="32"/>
          <w:shd w:val="clear" w:color="auto" w:fill="FFFFFF"/>
        </w:rPr>
        <w:t>人，主要职责为依法管理本级财政，执行本级预算，领导乡镇机关和群众组织为辖区内村、社区、企业、社团、群众提供指导及服务。岳阳县新开镇政府内设机构包括：政府机关及</w:t>
      </w:r>
      <w:r>
        <w:rPr>
          <w:rFonts w:hint="eastAsia" w:ascii="仿宋_GB2312" w:hAnsi="宋体" w:eastAsia="仿宋_GB2312" w:cs="仿宋_GB2312"/>
          <w:color w:val="333333"/>
          <w:sz w:val="32"/>
          <w:szCs w:val="32"/>
          <w:shd w:val="clear" w:color="auto" w:fill="FFFFFF"/>
          <w:lang w:eastAsia="zh-CN"/>
        </w:rPr>
        <w:t>社会事业综合服务中心</w:t>
      </w:r>
      <w:r>
        <w:rPr>
          <w:rFonts w:hint="eastAsia" w:ascii="仿宋_GB2312" w:hAnsi="宋体" w:eastAsia="仿宋_GB2312" w:cs="仿宋_GB2312"/>
          <w:color w:val="333333"/>
          <w:sz w:val="32"/>
          <w:szCs w:val="32"/>
          <w:shd w:val="clear" w:color="auto" w:fill="FFFFFF"/>
        </w:rPr>
        <w:t>、</w:t>
      </w:r>
      <w:r>
        <w:rPr>
          <w:rFonts w:hint="eastAsia" w:ascii="仿宋_GB2312" w:hAnsi="宋体" w:eastAsia="仿宋_GB2312" w:cs="仿宋_GB2312"/>
          <w:color w:val="333333"/>
          <w:sz w:val="32"/>
          <w:szCs w:val="32"/>
          <w:shd w:val="clear" w:color="auto" w:fill="FFFFFF"/>
          <w:lang w:eastAsia="zh-CN"/>
        </w:rPr>
        <w:t>综合行政执法大队</w:t>
      </w:r>
      <w:r>
        <w:rPr>
          <w:rFonts w:hint="eastAsia" w:ascii="仿宋_GB2312" w:hAnsi="宋体" w:eastAsia="仿宋_GB2312" w:cs="仿宋_GB2312"/>
          <w:color w:val="333333"/>
          <w:sz w:val="32"/>
          <w:szCs w:val="32"/>
          <w:shd w:val="clear" w:color="auto" w:fill="FFFFFF"/>
        </w:rPr>
        <w:t>、</w:t>
      </w:r>
      <w:r>
        <w:rPr>
          <w:rFonts w:hint="eastAsia" w:ascii="仿宋_GB2312" w:hAnsi="宋体" w:eastAsia="仿宋_GB2312" w:cs="仿宋_GB2312"/>
          <w:color w:val="333333"/>
          <w:sz w:val="32"/>
          <w:szCs w:val="32"/>
          <w:shd w:val="clear" w:color="auto" w:fill="FFFFFF"/>
          <w:lang w:eastAsia="zh-CN"/>
        </w:rPr>
        <w:t>农业综合服务中心</w:t>
      </w:r>
      <w:r>
        <w:rPr>
          <w:rFonts w:hint="eastAsia" w:ascii="仿宋_GB2312" w:hAnsi="宋体" w:eastAsia="仿宋_GB2312" w:cs="仿宋_GB2312"/>
          <w:color w:val="333333"/>
          <w:sz w:val="32"/>
          <w:szCs w:val="32"/>
          <w:shd w:val="clear" w:color="auto" w:fill="FFFFFF"/>
        </w:rPr>
        <w:t>、</w:t>
      </w:r>
      <w:r>
        <w:rPr>
          <w:rFonts w:hint="eastAsia" w:ascii="仿宋_GB2312" w:hAnsi="宋体" w:eastAsia="仿宋_GB2312" w:cs="仿宋_GB2312"/>
          <w:color w:val="333333"/>
          <w:sz w:val="32"/>
          <w:szCs w:val="32"/>
          <w:shd w:val="clear" w:color="auto" w:fill="FFFFFF"/>
          <w:lang w:eastAsia="zh-CN"/>
        </w:rPr>
        <w:t>政务（便民）服务中心</w:t>
      </w:r>
      <w:r>
        <w:rPr>
          <w:rFonts w:hint="eastAsia" w:ascii="仿宋_GB2312" w:hAnsi="宋体" w:eastAsia="仿宋_GB2312" w:cs="仿宋_GB2312"/>
          <w:color w:val="333333"/>
          <w:sz w:val="32"/>
          <w:szCs w:val="32"/>
          <w:shd w:val="clear" w:color="auto" w:fill="FFFFFF"/>
        </w:rPr>
        <w:t>、</w:t>
      </w:r>
      <w:r>
        <w:rPr>
          <w:rFonts w:hint="eastAsia" w:ascii="仿宋_GB2312" w:hAnsi="宋体" w:eastAsia="仿宋_GB2312" w:cs="仿宋_GB2312"/>
          <w:color w:val="333333"/>
          <w:sz w:val="32"/>
          <w:szCs w:val="32"/>
          <w:shd w:val="clear" w:color="auto" w:fill="FFFFFF"/>
          <w:lang w:eastAsia="zh-CN"/>
        </w:rPr>
        <w:t>退役军人服务站</w:t>
      </w:r>
      <w:r>
        <w:rPr>
          <w:rFonts w:ascii="仿宋_GB2312" w:hAnsi="宋体" w:eastAsia="仿宋_GB2312" w:cs="仿宋_GB2312"/>
          <w:color w:val="333333"/>
          <w:sz w:val="32"/>
          <w:szCs w:val="32"/>
          <w:shd w:val="clear" w:color="auto" w:fill="FFFFFF"/>
        </w:rPr>
        <w:t>5</w:t>
      </w:r>
      <w:r>
        <w:rPr>
          <w:rFonts w:hint="eastAsia" w:ascii="仿宋_GB2312" w:hAnsi="宋体" w:eastAsia="仿宋_GB2312" w:cs="仿宋_GB2312"/>
          <w:color w:val="333333"/>
          <w:sz w:val="32"/>
          <w:szCs w:val="32"/>
          <w:shd w:val="clear" w:color="auto" w:fill="FFFFFF"/>
        </w:rPr>
        <w:t>个二级机构。全部为财政全额拨款单位，执行政府会计制度。</w:t>
      </w:r>
    </w:p>
    <w:p w14:paraId="2B48E7E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ascii="仿宋_GB2312" w:hAnsi="宋体" w:eastAsia="仿宋_GB2312"/>
          <w:color w:val="000000" w:themeColor="text1"/>
          <w:sz w:val="32"/>
          <w:szCs w:val="32"/>
          <w:highlight w:val="none"/>
          <w:shd w:val="clear" w:color="auto" w:fill="FFFFFF"/>
          <w14:textFill>
            <w14:solidFill>
              <w14:schemeClr w14:val="tx1"/>
            </w14:solidFill>
          </w14:textFill>
        </w:rPr>
      </w:pPr>
      <w:r>
        <w:rPr>
          <w:rFonts w:ascii="仿宋_GB2312" w:hAnsi="宋体" w:eastAsia="仿宋_GB2312" w:cs="仿宋_GB2312"/>
          <w:color w:val="000000" w:themeColor="text1"/>
          <w:sz w:val="32"/>
          <w:szCs w:val="32"/>
          <w:highlight w:val="none"/>
          <w:shd w:val="clear" w:color="auto" w:fill="FFFFFF"/>
          <w14:textFill>
            <w14:solidFill>
              <w14:schemeClr w14:val="tx1"/>
            </w14:solidFill>
          </w14:textFill>
        </w:rPr>
        <w:t>202</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5</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年新开镇政府整体支出共计</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9284.74</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万元，</w:t>
      </w:r>
      <w:r>
        <w:rPr>
          <w:rFonts w:hint="eastAsia" w:ascii="仿宋_GB2312" w:hAnsi="宋体" w:eastAsia="仿宋_GB2312" w:cs="仿宋_GB2312"/>
          <w:color w:val="000000" w:themeColor="text1"/>
          <w:sz w:val="32"/>
          <w:szCs w:val="32"/>
          <w:highlight w:val="none"/>
          <w:shd w:val="clear" w:color="auto" w:fill="FFFFFF"/>
          <w:lang w:eastAsia="zh-CN"/>
          <w14:textFill>
            <w14:solidFill>
              <w14:schemeClr w14:val="tx1"/>
            </w14:solidFill>
          </w14:textFill>
        </w:rPr>
        <w:t>其中：一般公共预算支出</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4914.85</w:t>
      </w:r>
      <w:r>
        <w:rPr>
          <w:rFonts w:hint="eastAsia" w:ascii="仿宋_GB2312" w:hAnsi="宋体" w:eastAsia="仿宋_GB2312" w:cs="仿宋_GB2312"/>
          <w:color w:val="000000" w:themeColor="text1"/>
          <w:sz w:val="32"/>
          <w:szCs w:val="32"/>
          <w:highlight w:val="none"/>
          <w:shd w:val="clear" w:color="auto" w:fill="FFFFFF"/>
          <w:lang w:eastAsia="zh-CN"/>
          <w14:textFill>
            <w14:solidFill>
              <w14:schemeClr w14:val="tx1"/>
            </w14:solidFill>
          </w14:textFill>
        </w:rPr>
        <w:t>万元、政府性基金预算支出</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156.3</w:t>
      </w:r>
      <w:r>
        <w:rPr>
          <w:rFonts w:hint="eastAsia" w:ascii="仿宋_GB2312" w:hAnsi="宋体" w:eastAsia="仿宋_GB2312" w:cs="仿宋_GB2312"/>
          <w:color w:val="000000" w:themeColor="text1"/>
          <w:sz w:val="32"/>
          <w:szCs w:val="32"/>
          <w:highlight w:val="none"/>
          <w:shd w:val="clear" w:color="auto" w:fill="FFFFFF"/>
          <w:lang w:eastAsia="zh-CN"/>
          <w14:textFill>
            <w14:solidFill>
              <w14:schemeClr w14:val="tx1"/>
            </w14:solidFill>
          </w14:textFill>
        </w:rPr>
        <w:t>万元、</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国有资本经营预算支出3万元、</w:t>
      </w:r>
      <w:r>
        <w:rPr>
          <w:rFonts w:hint="eastAsia" w:ascii="仿宋_GB2312" w:hAnsi="宋体" w:eastAsia="仿宋_GB2312" w:cs="仿宋_GB2312"/>
          <w:color w:val="000000" w:themeColor="text1"/>
          <w:sz w:val="32"/>
          <w:szCs w:val="32"/>
          <w:highlight w:val="none"/>
          <w:shd w:val="clear" w:color="auto" w:fill="FFFFFF"/>
          <w:lang w:eastAsia="zh-CN"/>
          <w14:textFill>
            <w14:solidFill>
              <w14:schemeClr w14:val="tx1"/>
            </w14:solidFill>
          </w14:textFill>
        </w:rPr>
        <w:t>其他资金</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4210.59</w:t>
      </w:r>
      <w:r>
        <w:rPr>
          <w:rFonts w:hint="eastAsia" w:ascii="仿宋_GB2312" w:hAnsi="宋体" w:eastAsia="仿宋_GB2312" w:cs="仿宋_GB2312"/>
          <w:color w:val="000000" w:themeColor="text1"/>
          <w:sz w:val="32"/>
          <w:szCs w:val="32"/>
          <w:highlight w:val="none"/>
          <w:shd w:val="clear" w:color="auto" w:fill="FFFFFF"/>
          <w:lang w:eastAsia="zh-CN"/>
          <w14:textFill>
            <w14:solidFill>
              <w14:schemeClr w14:val="tx1"/>
            </w14:solidFill>
          </w14:textFill>
        </w:rPr>
        <w:t>万元。按支出性质分为</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基本支出</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2234.52</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万元，其中人员经费</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1883.11</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万元，日常公用经费</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351.41</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万元；项目支出</w:t>
      </w:r>
      <w:r>
        <w:rPr>
          <w:rFonts w:hint="eastAsia" w:ascii="仿宋_GB2312" w:hAnsi="宋体" w:eastAsia="仿宋_GB2312" w:cs="仿宋_GB2312"/>
          <w:color w:val="000000" w:themeColor="text1"/>
          <w:sz w:val="32"/>
          <w:szCs w:val="32"/>
          <w:highlight w:val="none"/>
          <w:shd w:val="clear" w:color="auto" w:fill="FFFFFF"/>
          <w:lang w:val="en-US" w:eastAsia="zh-CN"/>
          <w14:textFill>
            <w14:solidFill>
              <w14:schemeClr w14:val="tx1"/>
            </w14:solidFill>
          </w14:textFill>
        </w:rPr>
        <w:t>7050.22</w:t>
      </w:r>
      <w:r>
        <w:rPr>
          <w:rFonts w:hint="eastAsia" w:ascii="仿宋_GB2312" w:hAnsi="宋体" w:eastAsia="仿宋_GB2312" w:cs="仿宋_GB2312"/>
          <w:color w:val="000000" w:themeColor="text1"/>
          <w:sz w:val="32"/>
          <w:szCs w:val="32"/>
          <w:highlight w:val="none"/>
          <w:shd w:val="clear" w:color="auto" w:fill="FFFFFF"/>
          <w14:textFill>
            <w14:solidFill>
              <w14:schemeClr w14:val="tx1"/>
            </w14:solidFill>
          </w14:textFill>
        </w:rPr>
        <w:t>万元。</w:t>
      </w:r>
    </w:p>
    <w:p w14:paraId="391D82DB">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214" w:line="500" w:lineRule="exact"/>
        <w:ind w:firstLine="636" w:firstLineChars="200"/>
        <w:rPr>
          <w:rFonts w:ascii="SimHei" w:hAnsi="SimHei" w:eastAsia="SimHei" w:cs="SimHei"/>
          <w:spacing w:val="4"/>
          <w:sz w:val="31"/>
          <w:szCs w:val="31"/>
        </w:rPr>
      </w:pPr>
      <w:r>
        <w:rPr>
          <w:rFonts w:ascii="SimHei" w:hAnsi="SimHei" w:eastAsia="SimHei" w:cs="SimHei"/>
          <w:spacing w:val="4"/>
          <w:sz w:val="31"/>
          <w:szCs w:val="31"/>
        </w:rPr>
        <w:t>一般公共预算支出情况</w:t>
      </w:r>
    </w:p>
    <w:p w14:paraId="18E774B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ascii="SimHei" w:hAnsi="SimHei" w:eastAsia="SimHei" w:cs="SimHei"/>
          <w:spacing w:val="4"/>
          <w:sz w:val="31"/>
          <w:szCs w:val="31"/>
        </w:rPr>
      </w:pPr>
      <w:r>
        <w:rPr>
          <w:rFonts w:hint="eastAsia" w:ascii="仿宋_GB2312" w:hAnsi="宋体" w:eastAsia="仿宋_GB2312" w:cs="仿宋_GB2312"/>
          <w:color w:val="333333"/>
          <w:sz w:val="32"/>
          <w:szCs w:val="32"/>
          <w:shd w:val="clear" w:color="auto" w:fill="FFFFFF"/>
          <w:lang w:eastAsia="zh-CN"/>
        </w:rPr>
        <w:t>一般公共预算支出共计</w:t>
      </w:r>
      <w:r>
        <w:rPr>
          <w:rFonts w:hint="eastAsia" w:ascii="仿宋_GB2312" w:hAnsi="宋体" w:eastAsia="仿宋_GB2312" w:cs="仿宋_GB2312"/>
          <w:color w:val="333333"/>
          <w:sz w:val="32"/>
          <w:szCs w:val="32"/>
          <w:shd w:val="clear" w:color="auto" w:fill="FFFFFF"/>
          <w:lang w:val="en-US" w:eastAsia="zh-CN"/>
        </w:rPr>
        <w:t>4914.85</w:t>
      </w:r>
      <w:r>
        <w:rPr>
          <w:rFonts w:hint="eastAsia" w:ascii="仿宋_GB2312" w:hAnsi="宋体" w:eastAsia="仿宋_GB2312" w:cs="仿宋_GB2312"/>
          <w:color w:val="333333"/>
          <w:sz w:val="32"/>
          <w:szCs w:val="32"/>
          <w:shd w:val="clear" w:color="auto" w:fill="FFFFFF"/>
          <w:lang w:eastAsia="zh-CN"/>
        </w:rPr>
        <w:t>万元。</w:t>
      </w:r>
    </w:p>
    <w:p w14:paraId="10FE4351">
      <w:pPr>
        <w:pStyle w:val="2"/>
        <w:keepNext w:val="0"/>
        <w:keepLines w:val="0"/>
        <w:pageBreakBefore w:val="0"/>
        <w:widowControl/>
        <w:kinsoku w:val="0"/>
        <w:wordWrap/>
        <w:overflowPunct/>
        <w:topLinePunct w:val="0"/>
        <w:autoSpaceDE w:val="0"/>
        <w:autoSpaceDN w:val="0"/>
        <w:bidi w:val="0"/>
        <w:adjustRightInd w:val="0"/>
        <w:snapToGrid w:val="0"/>
        <w:spacing w:before="228" w:line="500" w:lineRule="exact"/>
        <w:ind w:left="814"/>
        <w:rPr>
          <w:spacing w:val="-2"/>
          <w:sz w:val="31"/>
          <w:szCs w:val="31"/>
        </w:rPr>
      </w:pPr>
      <w:r>
        <w:rPr>
          <w:rFonts w:ascii="楷体" w:hAnsi="楷体" w:eastAsia="楷体" w:cs="楷体"/>
          <w:b/>
          <w:bCs/>
          <w:spacing w:val="-2"/>
          <w:sz w:val="31"/>
          <w:szCs w:val="31"/>
        </w:rPr>
        <w:t>(一)</w:t>
      </w:r>
      <w:r>
        <w:rPr>
          <w:spacing w:val="-2"/>
          <w:sz w:val="31"/>
          <w:szCs w:val="31"/>
        </w:rPr>
        <w:t>基本支出情况</w:t>
      </w:r>
    </w:p>
    <w:p w14:paraId="7F266E5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hint="eastAsia" w:ascii="仿宋_GB2312" w:hAnsi="宋体" w:eastAsia="仿宋_GB2312" w:cs="仿宋_GB2312"/>
          <w:color w:val="333333"/>
          <w:sz w:val="32"/>
          <w:szCs w:val="32"/>
          <w:shd w:val="clear" w:color="auto" w:fill="FFFFFF"/>
          <w:lang w:eastAsia="zh-CN"/>
        </w:rPr>
      </w:pPr>
      <w:r>
        <w:rPr>
          <w:rFonts w:hint="eastAsia" w:ascii="仿宋_GB2312" w:hAnsi="宋体" w:eastAsia="仿宋_GB2312" w:cs="仿宋_GB2312"/>
          <w:color w:val="333333"/>
          <w:sz w:val="32"/>
          <w:szCs w:val="32"/>
          <w:shd w:val="clear" w:color="auto" w:fill="FFFFFF"/>
        </w:rPr>
        <w:t>202</w:t>
      </w:r>
      <w:r>
        <w:rPr>
          <w:rFonts w:hint="eastAsia" w:ascii="仿宋_GB2312" w:hAnsi="宋体" w:eastAsia="仿宋_GB2312" w:cs="仿宋_GB2312"/>
          <w:color w:val="333333"/>
          <w:sz w:val="32"/>
          <w:szCs w:val="32"/>
          <w:shd w:val="clear" w:color="auto" w:fill="FFFFFF"/>
          <w:lang w:val="en-US" w:eastAsia="zh-CN"/>
        </w:rPr>
        <w:t>5</w:t>
      </w:r>
      <w:r>
        <w:rPr>
          <w:rFonts w:hint="eastAsia" w:ascii="仿宋_GB2312" w:hAnsi="宋体" w:eastAsia="仿宋_GB2312" w:cs="仿宋_GB2312"/>
          <w:color w:val="333333"/>
          <w:sz w:val="32"/>
          <w:szCs w:val="32"/>
          <w:shd w:val="clear" w:color="auto" w:fill="FFFFFF"/>
        </w:rPr>
        <w:t>年新开镇政府基本支出共计</w:t>
      </w:r>
      <w:r>
        <w:rPr>
          <w:rFonts w:hint="eastAsia" w:ascii="仿宋_GB2312" w:hAnsi="宋体" w:eastAsia="仿宋_GB2312" w:cs="仿宋_GB2312"/>
          <w:color w:val="333333"/>
          <w:sz w:val="32"/>
          <w:szCs w:val="32"/>
          <w:shd w:val="clear" w:color="auto" w:fill="FFFFFF"/>
          <w:lang w:val="en-US" w:eastAsia="zh-CN"/>
        </w:rPr>
        <w:t>2234.52</w:t>
      </w:r>
      <w:r>
        <w:rPr>
          <w:rFonts w:hint="eastAsia" w:ascii="仿宋_GB2312" w:hAnsi="宋体" w:eastAsia="仿宋_GB2312" w:cs="仿宋_GB2312"/>
          <w:color w:val="333333"/>
          <w:sz w:val="32"/>
          <w:szCs w:val="32"/>
          <w:shd w:val="clear" w:color="auto" w:fill="FFFFFF"/>
        </w:rPr>
        <w:t>万元</w:t>
      </w:r>
      <w:r>
        <w:rPr>
          <w:rFonts w:hint="eastAsia" w:ascii="仿宋_GB2312" w:hAnsi="宋体" w:eastAsia="仿宋_GB2312" w:cs="仿宋_GB2312"/>
          <w:color w:val="333333"/>
          <w:sz w:val="32"/>
          <w:szCs w:val="32"/>
          <w:shd w:val="clear" w:color="auto" w:fill="FFFFFF"/>
          <w:lang w:eastAsia="zh-CN"/>
        </w:rPr>
        <w:t>。其中：</w:t>
      </w:r>
    </w:p>
    <w:p w14:paraId="0A66CF1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hint="eastAsia" w:ascii="仿宋_GB2312" w:hAnsi="宋体" w:eastAsia="仿宋_GB2312" w:cs="仿宋_GB2312"/>
          <w:color w:val="333333"/>
          <w:sz w:val="32"/>
          <w:szCs w:val="32"/>
          <w:shd w:val="clear" w:color="auto" w:fill="FFFFFF"/>
        </w:rPr>
      </w:pPr>
      <w:r>
        <w:rPr>
          <w:rFonts w:hint="eastAsia" w:ascii="仿宋_GB2312" w:hAnsi="宋体" w:eastAsia="仿宋_GB2312" w:cs="仿宋_GB2312"/>
          <w:color w:val="333333"/>
          <w:sz w:val="32"/>
          <w:szCs w:val="32"/>
          <w:shd w:val="clear" w:color="auto" w:fill="FFFFFF"/>
        </w:rPr>
        <w:t>人员经费</w:t>
      </w:r>
      <w:r>
        <w:rPr>
          <w:rFonts w:hint="eastAsia" w:ascii="仿宋_GB2312" w:hAnsi="宋体" w:eastAsia="仿宋_GB2312" w:cs="仿宋_GB2312"/>
          <w:color w:val="333333"/>
          <w:sz w:val="32"/>
          <w:szCs w:val="32"/>
          <w:shd w:val="clear" w:color="auto" w:fill="FFFFFF"/>
          <w:lang w:val="en-US" w:eastAsia="zh-CN"/>
        </w:rPr>
        <w:t>1883.11</w:t>
      </w:r>
      <w:r>
        <w:rPr>
          <w:rFonts w:hint="eastAsia" w:ascii="仿宋_GB2312" w:hAnsi="宋体" w:eastAsia="仿宋_GB2312" w:cs="仿宋_GB2312"/>
          <w:color w:val="333333"/>
          <w:sz w:val="32"/>
          <w:szCs w:val="32"/>
          <w:shd w:val="clear" w:color="auto" w:fill="FFFFFF"/>
        </w:rPr>
        <w:t>万元，主要包括：按国家规定支出的基本工资、津贴补贴、</w:t>
      </w:r>
      <w:r>
        <w:rPr>
          <w:rFonts w:hint="eastAsia" w:ascii="仿宋_GB2312" w:hAnsi="宋体" w:eastAsia="仿宋_GB2312" w:cs="仿宋_GB2312"/>
          <w:color w:val="333333"/>
          <w:sz w:val="32"/>
          <w:szCs w:val="32"/>
          <w:shd w:val="clear" w:color="auto" w:fill="FFFFFF"/>
          <w:lang w:eastAsia="zh-CN"/>
        </w:rPr>
        <w:t>其他社会保险缴</w:t>
      </w:r>
      <w:r>
        <w:rPr>
          <w:rFonts w:hint="eastAsia" w:ascii="仿宋_GB2312" w:hAnsi="宋体" w:eastAsia="仿宋_GB2312" w:cs="仿宋_GB2312"/>
          <w:color w:val="333333"/>
          <w:sz w:val="32"/>
          <w:szCs w:val="32"/>
          <w:shd w:val="clear" w:color="auto" w:fill="FFFFFF"/>
        </w:rPr>
        <w:t>费、伙食补助费、机关事业单位基本养老保险缴费、其他工资福利支出、</w:t>
      </w:r>
      <w:r>
        <w:rPr>
          <w:rFonts w:hint="eastAsia" w:ascii="仿宋_GB2312" w:hAnsi="宋体" w:eastAsia="仿宋_GB2312" w:cs="仿宋_GB2312"/>
          <w:color w:val="333333"/>
          <w:sz w:val="32"/>
          <w:szCs w:val="32"/>
          <w:shd w:val="clear" w:color="auto" w:fill="FFFFFF"/>
          <w:lang w:eastAsia="zh-CN"/>
        </w:rPr>
        <w:t>离</w:t>
      </w:r>
      <w:r>
        <w:rPr>
          <w:rFonts w:hint="eastAsia" w:ascii="仿宋_GB2312" w:hAnsi="宋体" w:eastAsia="仿宋_GB2312" w:cs="仿宋_GB2312"/>
          <w:color w:val="333333"/>
          <w:sz w:val="32"/>
          <w:szCs w:val="32"/>
          <w:shd w:val="clear" w:color="auto" w:fill="FFFFFF"/>
        </w:rPr>
        <w:t>休费、退休费、生活补助、医疗费，住房公积金、其他对个人和家庭的补助支出；</w:t>
      </w:r>
    </w:p>
    <w:p w14:paraId="687DC69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rFonts w:hint="eastAsia" w:ascii="仿宋_GB2312" w:hAnsi="宋体" w:eastAsia="仿宋_GB2312" w:cs="仿宋_GB2312"/>
          <w:color w:val="333333"/>
          <w:sz w:val="32"/>
          <w:szCs w:val="32"/>
          <w:shd w:val="clear" w:color="auto" w:fill="FFFFFF"/>
          <w:lang w:eastAsia="zh-CN"/>
        </w:rPr>
      </w:pPr>
      <w:r>
        <w:rPr>
          <w:rFonts w:hint="eastAsia" w:ascii="仿宋_GB2312" w:hAnsi="宋体" w:eastAsia="仿宋_GB2312" w:cs="仿宋_GB2312"/>
          <w:color w:val="333333"/>
          <w:sz w:val="32"/>
          <w:szCs w:val="32"/>
          <w:shd w:val="clear" w:color="auto" w:fill="FFFFFF"/>
        </w:rPr>
        <w:t>日常公用经费</w:t>
      </w:r>
      <w:r>
        <w:rPr>
          <w:rFonts w:hint="eastAsia" w:ascii="仿宋_GB2312" w:hAnsi="宋体" w:eastAsia="仿宋_GB2312" w:cs="仿宋_GB2312"/>
          <w:color w:val="333333"/>
          <w:sz w:val="32"/>
          <w:szCs w:val="32"/>
          <w:shd w:val="clear" w:color="auto" w:fill="FFFFFF"/>
          <w:lang w:val="en-US" w:eastAsia="zh-CN"/>
        </w:rPr>
        <w:t>351.41</w:t>
      </w:r>
      <w:r>
        <w:rPr>
          <w:rFonts w:hint="eastAsia" w:ascii="仿宋_GB2312" w:hAnsi="宋体" w:eastAsia="仿宋_GB2312" w:cs="仿宋_GB2312"/>
          <w:color w:val="333333"/>
          <w:sz w:val="32"/>
          <w:szCs w:val="32"/>
          <w:shd w:val="clear" w:color="auto" w:fill="FFFFFF"/>
        </w:rPr>
        <w:t>万元</w:t>
      </w:r>
      <w:r>
        <w:rPr>
          <w:rFonts w:hint="eastAsia" w:ascii="仿宋_GB2312" w:hAnsi="宋体" w:eastAsia="仿宋_GB2312" w:cs="仿宋_GB2312"/>
          <w:color w:val="333333"/>
          <w:sz w:val="32"/>
          <w:szCs w:val="32"/>
          <w:shd w:val="clear" w:color="auto" w:fill="FFFFFF"/>
          <w:lang w:eastAsia="zh-CN"/>
        </w:rPr>
        <w:t>，主要包括：办公费、印刷费、咨询费、水费、电费、邮电费、物业管理费、差旅费、维修（护）费、会议费培训费、公务接待费、专用材料费、劳务费、工会经</w:t>
      </w:r>
    </w:p>
    <w:p w14:paraId="1C4AC239">
      <w:pPr>
        <w:keepNext w:val="0"/>
        <w:keepLines w:val="0"/>
        <w:pageBreakBefore w:val="0"/>
        <w:widowControl/>
        <w:kinsoku w:val="0"/>
        <w:wordWrap/>
        <w:overflowPunct/>
        <w:topLinePunct w:val="0"/>
        <w:autoSpaceDE w:val="0"/>
        <w:autoSpaceDN w:val="0"/>
        <w:bidi w:val="0"/>
        <w:adjustRightInd w:val="0"/>
        <w:snapToGrid w:val="0"/>
        <w:spacing w:line="500" w:lineRule="exact"/>
        <w:rPr>
          <w:spacing w:val="-2"/>
          <w:sz w:val="31"/>
          <w:szCs w:val="31"/>
        </w:rPr>
      </w:pPr>
      <w:r>
        <w:rPr>
          <w:rFonts w:hint="eastAsia" w:ascii="仿宋_GB2312" w:hAnsi="宋体" w:eastAsia="仿宋_GB2312" w:cs="仿宋_GB2312"/>
          <w:color w:val="333333"/>
          <w:sz w:val="32"/>
          <w:szCs w:val="32"/>
          <w:shd w:val="clear" w:color="auto" w:fill="FFFFFF"/>
          <w:lang w:eastAsia="zh-CN"/>
        </w:rPr>
        <w:t>费、福利费、其他交通费用、其他商品和服务支出、办公设备购置、专用设备购置、其他资本性支出。</w:t>
      </w:r>
      <w:r>
        <w:rPr>
          <w:rFonts w:hint="eastAsia" w:ascii="仿宋_GB2312" w:hAnsi="宋体" w:eastAsia="仿宋_GB2312" w:cs="仿宋_GB2312"/>
          <w:color w:val="333333"/>
          <w:sz w:val="32"/>
          <w:szCs w:val="32"/>
          <w:shd w:val="clear" w:color="auto" w:fill="FFFFFF"/>
          <w:lang w:val="en-US" w:eastAsia="zh-CN"/>
        </w:rPr>
        <w:t>2025年</w:t>
      </w:r>
      <w:r>
        <w:rPr>
          <w:rFonts w:hint="eastAsia" w:ascii="仿宋_GB2312" w:hAnsi="宋体" w:eastAsia="仿宋_GB2312" w:cs="仿宋_GB2312"/>
          <w:color w:val="333333"/>
          <w:sz w:val="32"/>
          <w:szCs w:val="32"/>
          <w:shd w:val="clear" w:color="auto" w:fill="FFFFFF"/>
        </w:rPr>
        <w:t>“三公”经费合计</w:t>
      </w:r>
      <w:r>
        <w:rPr>
          <w:rFonts w:hint="eastAsia" w:ascii="仿宋_GB2312" w:hAnsi="宋体" w:eastAsia="仿宋_GB2312" w:cs="仿宋_GB2312"/>
          <w:color w:val="333333"/>
          <w:sz w:val="32"/>
          <w:szCs w:val="32"/>
          <w:shd w:val="clear" w:color="auto" w:fill="FFFFFF"/>
          <w:lang w:val="en-US" w:eastAsia="zh-CN"/>
        </w:rPr>
        <w:t>1.12</w:t>
      </w:r>
      <w:r>
        <w:rPr>
          <w:rFonts w:hint="eastAsia" w:ascii="仿宋_GB2312" w:hAnsi="宋体" w:eastAsia="仿宋_GB2312" w:cs="仿宋_GB2312"/>
          <w:color w:val="333333"/>
          <w:sz w:val="32"/>
          <w:szCs w:val="32"/>
          <w:shd w:val="clear" w:color="auto" w:fill="FFFFFF"/>
        </w:rPr>
        <w:t>万元，包括公务接待费</w:t>
      </w:r>
      <w:r>
        <w:rPr>
          <w:rFonts w:hint="eastAsia" w:ascii="仿宋_GB2312" w:hAnsi="宋体" w:eastAsia="仿宋_GB2312" w:cs="仿宋_GB2312"/>
          <w:color w:val="333333"/>
          <w:sz w:val="32"/>
          <w:szCs w:val="32"/>
          <w:shd w:val="clear" w:color="auto" w:fill="FFFFFF"/>
          <w:lang w:val="en-US" w:eastAsia="zh-CN"/>
        </w:rPr>
        <w:t>1.12</w:t>
      </w:r>
      <w:r>
        <w:rPr>
          <w:rFonts w:hint="eastAsia" w:ascii="仿宋_GB2312" w:hAnsi="宋体" w:eastAsia="仿宋_GB2312" w:cs="仿宋_GB2312"/>
          <w:color w:val="333333"/>
          <w:sz w:val="32"/>
          <w:szCs w:val="32"/>
          <w:shd w:val="clear" w:color="auto" w:fill="FFFFFF"/>
        </w:rPr>
        <w:t>万元、公务用车及维护费0万元、因公出国（境）费用0万元。</w:t>
      </w:r>
      <w:r>
        <w:rPr>
          <w:rFonts w:hint="eastAsia" w:ascii="仿宋_GB2312" w:hAnsi="宋体" w:eastAsia="仿宋_GB2312" w:cs="仿宋_GB2312"/>
          <w:color w:val="333333"/>
          <w:sz w:val="32"/>
          <w:szCs w:val="32"/>
          <w:shd w:val="clear" w:color="auto" w:fill="FFFFFF"/>
          <w:lang w:val="en-US" w:eastAsia="zh-CN"/>
        </w:rPr>
        <w:t>2025年“三公”经费相较2024年减少2.48万元，主要是本年度按照上级要求过“紧日子”要求，厉行勤俭节约，下年度我镇将继续贯彻落实中央“八项规定”精神和厉行节约要求，从严控制“三公”经费开支。</w:t>
      </w:r>
    </w:p>
    <w:p w14:paraId="3A4E9884">
      <w:pPr>
        <w:pStyle w:val="2"/>
        <w:keepNext w:val="0"/>
        <w:keepLines w:val="0"/>
        <w:pageBreakBefore w:val="0"/>
        <w:widowControl/>
        <w:kinsoku w:val="0"/>
        <w:wordWrap/>
        <w:overflowPunct/>
        <w:topLinePunct w:val="0"/>
        <w:autoSpaceDE w:val="0"/>
        <w:autoSpaceDN w:val="0"/>
        <w:bidi w:val="0"/>
        <w:adjustRightInd w:val="0"/>
        <w:snapToGrid w:val="0"/>
        <w:spacing w:before="220" w:line="500" w:lineRule="exact"/>
        <w:ind w:left="830"/>
        <w:rPr>
          <w:spacing w:val="-3"/>
          <w:sz w:val="31"/>
          <w:szCs w:val="31"/>
        </w:rPr>
      </w:pPr>
      <w:r>
        <w:rPr>
          <w:rFonts w:ascii="楷体" w:hAnsi="楷体" w:eastAsia="楷体" w:cs="楷体"/>
          <w:spacing w:val="-3"/>
          <w:sz w:val="31"/>
          <w:szCs w:val="31"/>
        </w:rPr>
        <w:t>(二)</w:t>
      </w:r>
      <w:r>
        <w:rPr>
          <w:spacing w:val="-3"/>
          <w:sz w:val="31"/>
          <w:szCs w:val="31"/>
        </w:rPr>
        <w:t>项目支出情况</w:t>
      </w:r>
    </w:p>
    <w:p w14:paraId="5346149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rPr>
          <w:spacing w:val="-3"/>
          <w:sz w:val="31"/>
          <w:szCs w:val="31"/>
        </w:rPr>
      </w:pPr>
      <w:r>
        <w:rPr>
          <w:rFonts w:hint="eastAsia" w:ascii="仿宋_GB2312" w:hAnsi="宋体" w:eastAsia="仿宋_GB2312" w:cs="仿宋_GB2312"/>
          <w:color w:val="333333"/>
          <w:sz w:val="32"/>
          <w:szCs w:val="32"/>
          <w:shd w:val="clear" w:color="auto" w:fill="FFFFFF"/>
        </w:rPr>
        <w:t>项目支出</w:t>
      </w:r>
      <w:r>
        <w:rPr>
          <w:rFonts w:hint="eastAsia" w:ascii="仿宋_GB2312" w:hAnsi="宋体" w:eastAsia="仿宋_GB2312" w:cs="仿宋_GB2312"/>
          <w:color w:val="333333"/>
          <w:sz w:val="32"/>
          <w:szCs w:val="32"/>
          <w:shd w:val="clear" w:color="auto" w:fill="FFFFFF"/>
          <w:lang w:val="en-US" w:eastAsia="zh-CN"/>
        </w:rPr>
        <w:t>2680.33</w:t>
      </w:r>
      <w:r>
        <w:rPr>
          <w:rFonts w:hint="eastAsia" w:ascii="仿宋_GB2312" w:hAnsi="宋体" w:eastAsia="仿宋_GB2312" w:cs="仿宋_GB2312"/>
          <w:color w:val="333333"/>
          <w:sz w:val="32"/>
          <w:szCs w:val="32"/>
          <w:shd w:val="clear" w:color="auto" w:fill="FFFFFF"/>
        </w:rPr>
        <w:t>万元，主要用于</w:t>
      </w:r>
      <w:r>
        <w:rPr>
          <w:rFonts w:hint="eastAsia" w:ascii="仿宋_GB2312" w:hAnsi="宋体" w:eastAsia="仿宋_GB2312" w:cs="仿宋_GB2312"/>
          <w:color w:val="333333"/>
          <w:sz w:val="32"/>
          <w:szCs w:val="32"/>
          <w:shd w:val="clear" w:color="auto" w:fill="FFFFFF"/>
          <w:lang w:eastAsia="zh-CN"/>
        </w:rPr>
        <w:t>新开镇历史遗留矿渣污染治理、</w:t>
      </w:r>
      <w:r>
        <w:rPr>
          <w:rFonts w:hint="eastAsia" w:ascii="仿宋_GB2312" w:hAnsi="宋体" w:eastAsia="仿宋_GB2312" w:cs="仿宋_GB2312"/>
          <w:color w:val="333333"/>
          <w:sz w:val="32"/>
          <w:szCs w:val="32"/>
          <w:shd w:val="clear" w:color="auto" w:fill="FFFFFF"/>
        </w:rPr>
        <w:t>集镇建设等重点项目开支，项目资金涉及到基础设施建设、村级街道绿化等多个项目，通过有效的项目资金管理方式，在项目资金使用上，没有出现挤占、贪污、套取等违法违规现象，资金使用和运行效果良好。</w:t>
      </w:r>
    </w:p>
    <w:p w14:paraId="2B94CA7E">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97" w:line="500" w:lineRule="exact"/>
        <w:ind w:left="0" w:leftChars="0" w:firstLine="622" w:firstLineChars="200"/>
        <w:rPr>
          <w:rFonts w:ascii="SimHei" w:hAnsi="SimHei" w:eastAsia="SimHei" w:cs="SimHei"/>
          <w:b/>
          <w:bCs/>
          <w:sz w:val="31"/>
          <w:szCs w:val="31"/>
        </w:rPr>
      </w:pPr>
      <w:r>
        <w:rPr>
          <w:rFonts w:ascii="SimHei" w:hAnsi="SimHei" w:eastAsia="SimHei" w:cs="SimHei"/>
          <w:b/>
          <w:bCs/>
          <w:sz w:val="31"/>
          <w:szCs w:val="31"/>
        </w:rPr>
        <w:t>政府性基金预算支出情况</w:t>
      </w:r>
    </w:p>
    <w:p w14:paraId="6337017D">
      <w:pPr>
        <w:pStyle w:val="8"/>
        <w:keepNext w:val="0"/>
        <w:keepLines w:val="0"/>
        <w:pageBreakBefore w:val="0"/>
        <w:widowControl/>
        <w:kinsoku w:val="0"/>
        <w:wordWrap/>
        <w:overflowPunct/>
        <w:topLinePunct w:val="0"/>
        <w:autoSpaceDE w:val="0"/>
        <w:autoSpaceDN w:val="0"/>
        <w:bidi w:val="0"/>
        <w:adjustRightInd w:val="0"/>
        <w:snapToGrid w:val="0"/>
        <w:spacing w:line="500" w:lineRule="exact"/>
        <w:ind w:firstLine="31680"/>
        <w:jc w:val="both"/>
        <w:rPr>
          <w:rFonts w:ascii="SimHei" w:hAnsi="SimHei" w:eastAsia="SimHei" w:cs="SimHei"/>
          <w:b/>
          <w:bCs/>
          <w:sz w:val="31"/>
          <w:szCs w:val="31"/>
        </w:rPr>
      </w:pPr>
      <w:r>
        <w:rPr>
          <w:rFonts w:hint="eastAsia" w:ascii="仿宋_GB2312" w:hAnsi="宋体" w:eastAsia="仿宋_GB2312" w:cs="仿宋_GB2312"/>
          <w:color w:val="333333"/>
          <w:sz w:val="32"/>
          <w:szCs w:val="32"/>
          <w:shd w:val="clear" w:color="auto" w:fill="FFFFFF"/>
        </w:rPr>
        <w:t>政府性基金预算支出共计</w:t>
      </w:r>
      <w:r>
        <w:rPr>
          <w:rFonts w:hint="eastAsia" w:ascii="仿宋_GB2312" w:hAnsi="宋体" w:eastAsia="仿宋_GB2312" w:cs="仿宋_GB2312"/>
          <w:color w:val="333333"/>
          <w:sz w:val="32"/>
          <w:szCs w:val="32"/>
          <w:shd w:val="clear" w:color="auto" w:fill="FFFFFF"/>
          <w:lang w:val="en-US" w:eastAsia="zh-CN"/>
        </w:rPr>
        <w:t>156.3</w:t>
      </w:r>
      <w:r>
        <w:rPr>
          <w:rFonts w:hint="eastAsia" w:ascii="仿宋_GB2312" w:hAnsi="宋体" w:eastAsia="仿宋_GB2312" w:cs="仿宋_GB2312"/>
          <w:color w:val="333333"/>
          <w:sz w:val="32"/>
          <w:szCs w:val="32"/>
          <w:shd w:val="clear" w:color="auto" w:fill="FFFFFF"/>
        </w:rPr>
        <w:t>万元。均为项目支出，主要用于集镇建设等重点项目开支，项目资金涉及到基础设施建设、村级街道绿化等多个项目，通过有效的项目资金管理方式，在项目资金使用上，没有出现挤占、贪污、套取等违法违规现象，资金使用和运行效果良好。</w:t>
      </w:r>
    </w:p>
    <w:p w14:paraId="18171CFE">
      <w:pPr>
        <w:pStyle w:val="8"/>
        <w:keepNext w:val="0"/>
        <w:keepLines w:val="0"/>
        <w:pageBreakBefore w:val="0"/>
        <w:widowControl/>
        <w:kinsoku w:val="0"/>
        <w:wordWrap/>
        <w:overflowPunct/>
        <w:topLinePunct w:val="0"/>
        <w:autoSpaceDE w:val="0"/>
        <w:autoSpaceDN w:val="0"/>
        <w:bidi w:val="0"/>
        <w:adjustRightInd w:val="0"/>
        <w:snapToGrid w:val="0"/>
        <w:spacing w:line="500" w:lineRule="exact"/>
        <w:ind w:firstLine="31680"/>
        <w:jc w:val="both"/>
        <w:rPr>
          <w:rFonts w:ascii="SimHei" w:hAnsi="SimHei" w:eastAsia="SimHei" w:cs="SimHei"/>
          <w:b/>
          <w:bCs/>
          <w:sz w:val="31"/>
          <w:szCs w:val="31"/>
        </w:rPr>
      </w:pPr>
      <w:r>
        <w:rPr>
          <w:rFonts w:ascii="SimHei" w:hAnsi="SimHei" w:eastAsia="SimHei" w:cs="SimHei"/>
          <w:b/>
          <w:bCs/>
          <w:sz w:val="31"/>
          <w:szCs w:val="31"/>
        </w:rPr>
        <w:t>四、国有资本经营预算支出情况</w:t>
      </w:r>
      <w:r>
        <w:rPr>
          <w:rFonts w:hint="eastAsia" w:ascii="SimHei" w:hAnsi="SimHei" w:eastAsia="SimHei" w:cs="SimHei"/>
          <w:b/>
          <w:bCs/>
          <w:sz w:val="31"/>
          <w:szCs w:val="31"/>
          <w:lang w:eastAsia="zh-CN"/>
        </w:rPr>
        <w:t>：</w:t>
      </w:r>
      <w:r>
        <w:rPr>
          <w:rFonts w:hint="eastAsia" w:ascii="仿宋_GB2312" w:hAnsi="宋体" w:eastAsia="仿宋_GB2312" w:cs="仿宋_GB2312"/>
          <w:color w:val="333333"/>
          <w:sz w:val="32"/>
          <w:szCs w:val="32"/>
          <w:shd w:val="clear" w:color="auto" w:fill="FFFFFF"/>
          <w:lang w:eastAsia="zh-CN"/>
        </w:rPr>
        <w:t>国有资本经营</w:t>
      </w:r>
      <w:r>
        <w:rPr>
          <w:rFonts w:hint="eastAsia" w:ascii="仿宋_GB2312" w:hAnsi="宋体" w:eastAsia="仿宋_GB2312" w:cs="仿宋_GB2312"/>
          <w:color w:val="333333"/>
          <w:sz w:val="32"/>
          <w:szCs w:val="32"/>
          <w:shd w:val="clear" w:color="auto" w:fill="FFFFFF"/>
        </w:rPr>
        <w:t>预算支出共计</w:t>
      </w:r>
      <w:r>
        <w:rPr>
          <w:rFonts w:hint="eastAsia" w:ascii="仿宋_GB2312" w:hAnsi="宋体" w:eastAsia="仿宋_GB2312" w:cs="仿宋_GB2312"/>
          <w:color w:val="333333"/>
          <w:sz w:val="32"/>
          <w:szCs w:val="32"/>
          <w:shd w:val="clear" w:color="auto" w:fill="FFFFFF"/>
          <w:lang w:val="en-US" w:eastAsia="zh-CN"/>
        </w:rPr>
        <w:t>3</w:t>
      </w:r>
      <w:r>
        <w:rPr>
          <w:rFonts w:hint="eastAsia" w:ascii="仿宋_GB2312" w:hAnsi="宋体" w:eastAsia="仿宋_GB2312" w:cs="仿宋_GB2312"/>
          <w:color w:val="333333"/>
          <w:sz w:val="32"/>
          <w:szCs w:val="32"/>
          <w:shd w:val="clear" w:color="auto" w:fill="FFFFFF"/>
        </w:rPr>
        <w:t>万元。为项目支出，在项目资金使用上，没有出现挤占、贪污、套取等违法违规现象，资金使用和运行效果良好。</w:t>
      </w:r>
    </w:p>
    <w:p w14:paraId="095CEBEA">
      <w:pPr>
        <w:keepNext w:val="0"/>
        <w:keepLines w:val="0"/>
        <w:pageBreakBefore w:val="0"/>
        <w:widowControl/>
        <w:kinsoku w:val="0"/>
        <w:wordWrap/>
        <w:overflowPunct/>
        <w:topLinePunct w:val="0"/>
        <w:autoSpaceDE w:val="0"/>
        <w:autoSpaceDN w:val="0"/>
        <w:bidi w:val="0"/>
        <w:adjustRightInd w:val="0"/>
        <w:snapToGrid w:val="0"/>
        <w:spacing w:before="227" w:line="500" w:lineRule="exact"/>
        <w:ind w:left="684"/>
        <w:rPr>
          <w:rFonts w:hint="eastAsia" w:ascii="SimHei" w:hAnsi="SimHei" w:eastAsia="SimHei" w:cs="SimHei"/>
          <w:sz w:val="31"/>
          <w:szCs w:val="31"/>
          <w:lang w:eastAsia="zh-CN"/>
        </w:rPr>
      </w:pPr>
      <w:r>
        <w:rPr>
          <w:rFonts w:ascii="SimHei" w:hAnsi="SimHei" w:eastAsia="SimHei" w:cs="SimHei"/>
          <w:b/>
          <w:bCs/>
          <w:spacing w:val="1"/>
          <w:sz w:val="31"/>
          <w:szCs w:val="31"/>
        </w:rPr>
        <w:t>五、社会保险基金预算支出情况</w:t>
      </w:r>
      <w:r>
        <w:rPr>
          <w:rFonts w:hint="eastAsia" w:ascii="SimHei" w:hAnsi="SimHei" w:eastAsia="SimHei" w:cs="SimHei"/>
          <w:b/>
          <w:bCs/>
          <w:spacing w:val="1"/>
          <w:sz w:val="31"/>
          <w:szCs w:val="31"/>
          <w:lang w:eastAsia="zh-CN"/>
        </w:rPr>
        <w:t>：无</w:t>
      </w:r>
    </w:p>
    <w:p w14:paraId="18A3D2F7">
      <w:pPr>
        <w:keepNext w:val="0"/>
        <w:keepLines w:val="0"/>
        <w:pageBreakBefore w:val="0"/>
        <w:widowControl/>
        <w:kinsoku w:val="0"/>
        <w:wordWrap/>
        <w:overflowPunct/>
        <w:topLinePunct w:val="0"/>
        <w:autoSpaceDE w:val="0"/>
        <w:autoSpaceDN w:val="0"/>
        <w:bidi w:val="0"/>
        <w:adjustRightInd w:val="0"/>
        <w:snapToGrid w:val="0"/>
        <w:spacing w:before="227" w:line="500" w:lineRule="exact"/>
        <w:ind w:left="684"/>
        <w:rPr>
          <w:rFonts w:ascii="SimHei" w:hAnsi="SimHei" w:eastAsia="SimHei" w:cs="SimHei"/>
          <w:sz w:val="31"/>
          <w:szCs w:val="31"/>
        </w:rPr>
      </w:pPr>
      <w:r>
        <w:rPr>
          <w:rFonts w:ascii="SimHei" w:hAnsi="SimHei" w:eastAsia="SimHei" w:cs="SimHei"/>
          <w:b/>
          <w:bCs/>
          <w:sz w:val="31"/>
          <w:szCs w:val="31"/>
        </w:rPr>
        <w:t>六、部门整体支出绩效情况</w:t>
      </w:r>
    </w:p>
    <w:p w14:paraId="00AD4BD5">
      <w:pPr>
        <w:pStyle w:val="2"/>
        <w:keepNext w:val="0"/>
        <w:keepLines w:val="0"/>
        <w:pageBreakBefore w:val="0"/>
        <w:widowControl/>
        <w:kinsoku w:val="0"/>
        <w:wordWrap/>
        <w:overflowPunct/>
        <w:topLinePunct w:val="0"/>
        <w:autoSpaceDE w:val="0"/>
        <w:autoSpaceDN w:val="0"/>
        <w:bidi w:val="0"/>
        <w:adjustRightInd w:val="0"/>
        <w:snapToGrid w:val="0"/>
        <w:spacing w:before="219" w:line="500" w:lineRule="exact"/>
        <w:ind w:left="29" w:firstLine="649"/>
        <w:jc w:val="both"/>
        <w:rPr>
          <w:spacing w:val="2"/>
          <w:sz w:val="31"/>
          <w:szCs w:val="31"/>
        </w:rPr>
      </w:pPr>
    </w:p>
    <w:p w14:paraId="75E580CC">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560"/>
        <w:textAlignment w:val="center"/>
        <w:rPr>
          <w:rFonts w:hint="eastAsia" w:ascii="仿宋_GB2312" w:hAnsi="宋体" w:eastAsia="仿宋_GB2312" w:cs="仿宋_GB2312"/>
          <w:color w:val="333333"/>
          <w:kern w:val="0"/>
          <w:sz w:val="32"/>
          <w:szCs w:val="32"/>
          <w:highlight w:val="none"/>
          <w:shd w:val="clear" w:color="auto" w:fill="FFFFFF"/>
          <w:lang w:val="en-US" w:eastAsia="en-US" w:bidi="ar-SA"/>
        </w:rPr>
      </w:pPr>
      <w:r>
        <w:rPr>
          <w:rFonts w:hint="eastAsia" w:ascii="仿宋_GB2312" w:hAnsi="宋体" w:eastAsia="仿宋_GB2312" w:cs="仿宋_GB2312"/>
          <w:color w:val="333333"/>
          <w:kern w:val="0"/>
          <w:sz w:val="32"/>
          <w:szCs w:val="32"/>
          <w:highlight w:val="none"/>
          <w:shd w:val="clear" w:color="auto" w:fill="FFFFFF"/>
          <w:lang w:val="en-US" w:eastAsia="en-US" w:bidi="ar-SA"/>
        </w:rPr>
        <w:t>202</w:t>
      </w:r>
      <w:r>
        <w:rPr>
          <w:rFonts w:hint="eastAsia" w:ascii="仿宋_GB2312" w:hAnsi="宋体" w:eastAsia="仿宋_GB2312" w:cs="仿宋_GB2312"/>
          <w:color w:val="333333"/>
          <w:kern w:val="0"/>
          <w:sz w:val="32"/>
          <w:szCs w:val="32"/>
          <w:highlight w:val="none"/>
          <w:shd w:val="clear" w:color="auto" w:fill="FFFFFF"/>
          <w:lang w:val="en-US" w:eastAsia="zh-CN" w:bidi="ar-SA"/>
        </w:rPr>
        <w:t>5</w:t>
      </w:r>
      <w:r>
        <w:rPr>
          <w:rFonts w:hint="eastAsia" w:ascii="仿宋_GB2312" w:hAnsi="宋体" w:eastAsia="仿宋_GB2312" w:cs="仿宋_GB2312"/>
          <w:color w:val="333333"/>
          <w:kern w:val="0"/>
          <w:sz w:val="32"/>
          <w:szCs w:val="32"/>
          <w:highlight w:val="none"/>
          <w:shd w:val="clear" w:color="auto" w:fill="FFFFFF"/>
          <w:lang w:val="en-US" w:eastAsia="en-US" w:bidi="ar-SA"/>
        </w:rPr>
        <w:t>年，岳阳县新开镇政府在县委和县政府的正确领导下，紧紧围绕中心，服务大局，积极履职，主动作为，圆满完成了全年工作任务，绩效自评得分为9</w:t>
      </w:r>
      <w:r>
        <w:rPr>
          <w:rFonts w:hint="eastAsia" w:ascii="仿宋_GB2312" w:hAnsi="宋体" w:eastAsia="仿宋_GB2312" w:cs="仿宋_GB2312"/>
          <w:color w:val="333333"/>
          <w:kern w:val="0"/>
          <w:sz w:val="32"/>
          <w:szCs w:val="32"/>
          <w:highlight w:val="none"/>
          <w:shd w:val="clear" w:color="auto" w:fill="FFFFFF"/>
          <w:lang w:val="en-US" w:eastAsia="zh-CN" w:bidi="ar-SA"/>
        </w:rPr>
        <w:t>9</w:t>
      </w:r>
      <w:r>
        <w:rPr>
          <w:rFonts w:hint="eastAsia" w:ascii="仿宋_GB2312" w:hAnsi="宋体" w:eastAsia="仿宋_GB2312" w:cs="仿宋_GB2312"/>
          <w:color w:val="333333"/>
          <w:kern w:val="0"/>
          <w:sz w:val="32"/>
          <w:szCs w:val="32"/>
          <w:highlight w:val="none"/>
          <w:shd w:val="clear" w:color="auto" w:fill="FFFFFF"/>
          <w:lang w:val="en-US" w:eastAsia="en-US" w:bidi="ar-SA"/>
        </w:rPr>
        <w:t>分。</w:t>
      </w:r>
    </w:p>
    <w:p w14:paraId="13088C8D">
      <w:pPr>
        <w:keepNext w:val="0"/>
        <w:keepLines w:val="0"/>
        <w:pageBreakBefore w:val="0"/>
        <w:widowControl/>
        <w:kinsoku w:val="0"/>
        <w:wordWrap/>
        <w:overflowPunct/>
        <w:topLinePunct w:val="0"/>
        <w:autoSpaceDE w:val="0"/>
        <w:autoSpaceDN w:val="0"/>
        <w:bidi w:val="0"/>
        <w:adjustRightInd w:val="0"/>
        <w:snapToGrid w:val="0"/>
        <w:spacing w:line="500" w:lineRule="exact"/>
        <w:ind w:left="420" w:leftChars="200"/>
        <w:rPr>
          <w:rFonts w:ascii="黑体" w:hAnsi="黑体" w:eastAsia="黑体"/>
          <w:sz w:val="28"/>
          <w:szCs w:val="28"/>
          <w:highlight w:val="none"/>
        </w:rPr>
      </w:pPr>
      <w:r>
        <w:rPr>
          <w:rFonts w:hint="eastAsia" w:ascii="黑体" w:hAnsi="黑体" w:eastAsia="黑体" w:cs="黑体"/>
          <w:sz w:val="28"/>
          <w:szCs w:val="28"/>
          <w:highlight w:val="none"/>
        </w:rPr>
        <w:t>（一）经济效益</w:t>
      </w:r>
    </w:p>
    <w:p w14:paraId="0D533BB7">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560"/>
        <w:textAlignment w:val="center"/>
        <w:rPr>
          <w:rFonts w:hint="eastAsia" w:ascii="仿宋_GB2312" w:hAnsi="宋体" w:eastAsia="仿宋_GB2312" w:cs="仿宋_GB2312"/>
          <w:color w:val="333333"/>
          <w:kern w:val="0"/>
          <w:sz w:val="32"/>
          <w:szCs w:val="32"/>
          <w:highlight w:val="yellow"/>
          <w:shd w:val="clear" w:color="auto" w:fill="FFFFFF"/>
          <w:lang w:val="en-US" w:eastAsia="en-US" w:bidi="ar-SA"/>
        </w:rPr>
      </w:pPr>
      <w:r>
        <w:rPr>
          <w:rFonts w:hint="eastAsia" w:ascii="方正仿宋_GB18030" w:hAnsi="方正仿宋_GB18030" w:eastAsia="方正仿宋_GB18030" w:cs="方正仿宋_GB18030"/>
          <w:b w:val="0"/>
          <w:bCs/>
          <w:i w:val="0"/>
          <w:strike w:val="0"/>
          <w:color w:val="auto"/>
          <w:kern w:val="44"/>
          <w:sz w:val="32"/>
          <w:szCs w:val="32"/>
          <w:u w:val="none"/>
          <w:lang w:val="en-US" w:eastAsia="zh-CN" w:bidi="ar"/>
        </w:rPr>
        <w:t>2025年全镇成功签约招商项目6个，其中亿元以上项目1个，实际到位资金8000万元，</w:t>
      </w:r>
      <w:r>
        <w:rPr>
          <w:rFonts w:hint="eastAsia" w:ascii="仿宋_GB2312" w:hAnsi="宋体" w:eastAsia="仿宋_GB2312" w:cs="仿宋_GB2312"/>
          <w:color w:val="333333"/>
          <w:kern w:val="0"/>
          <w:sz w:val="32"/>
          <w:szCs w:val="32"/>
          <w:highlight w:val="none"/>
          <w:shd w:val="clear" w:color="auto" w:fill="FFFFFF"/>
          <w:lang w:val="en-US" w:eastAsia="zh-CN" w:bidi="ar-SA"/>
        </w:rPr>
        <w:t>全年完成全口径税收6681万元。</w:t>
      </w:r>
      <w:r>
        <w:rPr>
          <w:rFonts w:hint="eastAsia" w:ascii="仿宋_GB2312" w:hAnsi="宋体" w:eastAsia="仿宋_GB2312" w:cs="仿宋_GB2312"/>
          <w:color w:val="333333"/>
          <w:kern w:val="0"/>
          <w:sz w:val="32"/>
          <w:szCs w:val="32"/>
          <w:highlight w:val="none"/>
          <w:shd w:val="clear" w:color="auto" w:fill="FFFFFF"/>
          <w:lang w:val="en-US" w:eastAsia="en-US" w:bidi="ar-SA"/>
        </w:rPr>
        <w:t>全镇农村居民人均可支配收入达</w:t>
      </w:r>
      <w:r>
        <w:rPr>
          <w:rFonts w:hint="eastAsia" w:ascii="仿宋_GB2312" w:hAnsi="宋体" w:eastAsia="仿宋_GB2312" w:cs="仿宋_GB2312"/>
          <w:color w:val="333333"/>
          <w:kern w:val="0"/>
          <w:sz w:val="32"/>
          <w:szCs w:val="32"/>
          <w:highlight w:val="none"/>
          <w:shd w:val="clear" w:color="auto" w:fill="FFFFFF"/>
          <w:lang w:val="en-US" w:eastAsia="zh-CN" w:bidi="ar-SA"/>
        </w:rPr>
        <w:t>2.74万</w:t>
      </w:r>
      <w:r>
        <w:rPr>
          <w:rFonts w:hint="eastAsia" w:ascii="仿宋_GB2312" w:hAnsi="宋体" w:eastAsia="仿宋_GB2312" w:cs="仿宋_GB2312"/>
          <w:color w:val="333333"/>
          <w:kern w:val="0"/>
          <w:sz w:val="32"/>
          <w:szCs w:val="32"/>
          <w:highlight w:val="none"/>
          <w:shd w:val="clear" w:color="auto" w:fill="FFFFFF"/>
          <w:lang w:val="en-US" w:eastAsia="en-US" w:bidi="ar-SA"/>
        </w:rPr>
        <w:t>元</w:t>
      </w:r>
      <w:r>
        <w:rPr>
          <w:rFonts w:hint="eastAsia" w:ascii="仿宋_GB2312" w:hAnsi="宋体" w:eastAsia="仿宋_GB2312" w:cs="仿宋_GB2312"/>
          <w:color w:val="333333"/>
          <w:kern w:val="0"/>
          <w:sz w:val="32"/>
          <w:szCs w:val="32"/>
          <w:highlight w:val="none"/>
          <w:shd w:val="clear" w:color="auto" w:fill="FFFFFF"/>
          <w:lang w:val="en-US" w:eastAsia="zh-CN" w:bidi="ar-SA"/>
        </w:rPr>
        <w:t>，同时我镇千方百计发展集体经济，村集体经营收入达370.68万元，村均37.68万元；有效的带动新开镇的经济发展，为创亿元税收小</w:t>
      </w:r>
      <w:r>
        <w:rPr>
          <w:rFonts w:hint="eastAsia" w:ascii="仿宋_GB2312" w:hAnsi="宋体" w:eastAsia="仿宋_GB2312" w:cs="仿宋_GB2312"/>
          <w:color w:val="333333"/>
          <w:kern w:val="0"/>
          <w:sz w:val="32"/>
          <w:szCs w:val="32"/>
          <w:highlight w:val="none"/>
          <w:shd w:val="clear" w:color="auto" w:fill="FFFFFF"/>
          <w:lang w:val="en-US" w:eastAsia="en-US" w:bidi="ar-SA"/>
        </w:rPr>
        <w:t>镇打下良好的基础。</w:t>
      </w:r>
    </w:p>
    <w:p w14:paraId="648005AF">
      <w:pPr>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line="500" w:lineRule="exact"/>
        <w:ind w:firstLine="560" w:firstLineChars="0"/>
        <w:textAlignment w:val="center"/>
        <w:rPr>
          <w:rFonts w:ascii="黑体" w:hAnsi="黑体" w:eastAsia="黑体"/>
          <w:color w:val="333333"/>
          <w:sz w:val="28"/>
          <w:szCs w:val="28"/>
          <w:highlight w:val="none"/>
          <w:shd w:val="clear" w:color="auto" w:fill="FFFFFF"/>
        </w:rPr>
      </w:pPr>
      <w:r>
        <w:rPr>
          <w:rFonts w:hint="eastAsia" w:ascii="黑体" w:hAnsi="黑体" w:eastAsia="黑体" w:cs="Arial"/>
          <w:color w:val="333333"/>
          <w:kern w:val="0"/>
          <w:sz w:val="28"/>
          <w:szCs w:val="28"/>
          <w:highlight w:val="none"/>
          <w:shd w:val="clear" w:fill="FFFFFF"/>
          <w:lang w:val="en-US" w:eastAsia="en-US" w:bidi="ar-SA"/>
        </w:rPr>
        <w:t>（二）</w:t>
      </w:r>
      <w:r>
        <w:rPr>
          <w:rFonts w:hint="eastAsia" w:ascii="黑体" w:hAnsi="黑体" w:eastAsia="黑体" w:cs="黑体"/>
          <w:color w:val="333333"/>
          <w:sz w:val="28"/>
          <w:szCs w:val="28"/>
          <w:highlight w:val="none"/>
          <w:shd w:val="clear" w:color="auto" w:fill="FFFFFF"/>
        </w:rPr>
        <w:t>社会效益</w:t>
      </w:r>
    </w:p>
    <w:p w14:paraId="3400824B">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en-US"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2</w:t>
      </w:r>
      <w:r>
        <w:rPr>
          <w:rFonts w:hint="eastAsia" w:ascii="仿宋_GB2312" w:hAnsi="宋体" w:eastAsia="仿宋_GB2312" w:cs="仿宋_GB2312"/>
          <w:color w:val="333333"/>
          <w:kern w:val="0"/>
          <w:sz w:val="32"/>
          <w:szCs w:val="32"/>
          <w:highlight w:val="none"/>
          <w:shd w:val="clear" w:color="auto" w:fill="FFFFFF"/>
          <w:lang w:val="en-US" w:eastAsia="en-US" w:bidi="ar-SA"/>
        </w:rPr>
        <w:t>02</w:t>
      </w:r>
      <w:r>
        <w:rPr>
          <w:rFonts w:hint="eastAsia" w:ascii="仿宋_GB2312" w:hAnsi="宋体" w:eastAsia="仿宋_GB2312" w:cs="仿宋_GB2312"/>
          <w:color w:val="333333"/>
          <w:kern w:val="0"/>
          <w:sz w:val="32"/>
          <w:szCs w:val="32"/>
          <w:highlight w:val="none"/>
          <w:shd w:val="clear" w:color="auto" w:fill="FFFFFF"/>
          <w:lang w:val="en-US" w:eastAsia="zh-CN" w:bidi="ar-SA"/>
        </w:rPr>
        <w:t>5</w:t>
      </w:r>
      <w:r>
        <w:rPr>
          <w:rFonts w:hint="eastAsia" w:ascii="仿宋_GB2312" w:hAnsi="宋体" w:eastAsia="仿宋_GB2312" w:cs="仿宋_GB2312"/>
          <w:color w:val="333333"/>
          <w:kern w:val="0"/>
          <w:sz w:val="32"/>
          <w:szCs w:val="32"/>
          <w:highlight w:val="none"/>
          <w:shd w:val="clear" w:color="auto" w:fill="FFFFFF"/>
          <w:lang w:val="en-US" w:eastAsia="en-US" w:bidi="ar-SA"/>
        </w:rPr>
        <w:t>年新开镇积极履行三大职能，为带动新开镇经济发展起到了推动作用。研究出台的《</w:t>
      </w:r>
      <w:r>
        <w:rPr>
          <w:rFonts w:hint="eastAsia" w:ascii="仿宋_GB2312" w:hAnsi="宋体" w:eastAsia="仿宋_GB2312" w:cs="仿宋_GB2312"/>
          <w:color w:val="333333"/>
          <w:kern w:val="0"/>
          <w:sz w:val="32"/>
          <w:szCs w:val="32"/>
          <w:highlight w:val="none"/>
          <w:shd w:val="clear" w:color="auto" w:fill="FFFFFF"/>
          <w:lang w:val="en-US" w:eastAsia="zh-CN" w:bidi="ar-SA"/>
        </w:rPr>
        <w:t>新开镇2025年规划计划</w:t>
      </w:r>
      <w:r>
        <w:rPr>
          <w:rFonts w:hint="eastAsia" w:ascii="仿宋_GB2312" w:hAnsi="宋体" w:eastAsia="仿宋_GB2312" w:cs="仿宋_GB2312"/>
          <w:color w:val="333333"/>
          <w:kern w:val="0"/>
          <w:sz w:val="32"/>
          <w:szCs w:val="32"/>
          <w:highlight w:val="none"/>
          <w:shd w:val="clear" w:color="auto" w:fill="FFFFFF"/>
          <w:lang w:val="en-US" w:eastAsia="en-US" w:bidi="ar-SA"/>
        </w:rPr>
        <w:t>》，全面助推经济社会高质量发展，本单位在民政、计划生育、文化教育、卫生和体育等社会公益事业都有长足发展，积极响应民众反应的问题并且有效的进行调节和处理民事纠纷和扫黑除恶工作稳步推进，社会稳定。</w:t>
      </w:r>
    </w:p>
    <w:p w14:paraId="1AAED94B">
      <w:pPr>
        <w:keepNext w:val="0"/>
        <w:keepLines w:val="0"/>
        <w:pageBreakBefore w:val="0"/>
        <w:widowControl/>
        <w:numPr>
          <w:ilvl w:val="0"/>
          <w:numId w:val="0"/>
        </w:numPr>
        <w:shd w:val="clear" w:color="auto" w:fill="FFFFFF"/>
        <w:kinsoku w:val="0"/>
        <w:wordWrap/>
        <w:overflowPunct/>
        <w:topLinePunct w:val="0"/>
        <w:autoSpaceDE w:val="0"/>
        <w:autoSpaceDN w:val="0"/>
        <w:bidi w:val="0"/>
        <w:adjustRightInd w:val="0"/>
        <w:snapToGrid w:val="0"/>
        <w:spacing w:line="500" w:lineRule="exact"/>
        <w:ind w:firstLine="560" w:firstLineChars="0"/>
        <w:textAlignment w:val="center"/>
        <w:rPr>
          <w:rFonts w:ascii="黑体" w:hAnsi="黑体" w:eastAsia="黑体"/>
          <w:color w:val="333333"/>
          <w:sz w:val="28"/>
          <w:szCs w:val="28"/>
          <w:highlight w:val="none"/>
          <w:shd w:val="clear" w:color="auto" w:fill="FFFFFF"/>
        </w:rPr>
      </w:pPr>
      <w:r>
        <w:rPr>
          <w:rFonts w:hint="eastAsia" w:ascii="黑体" w:hAnsi="黑体" w:eastAsia="黑体" w:cs="Arial"/>
          <w:color w:val="333333"/>
          <w:kern w:val="0"/>
          <w:sz w:val="28"/>
          <w:szCs w:val="28"/>
          <w:highlight w:val="none"/>
          <w:shd w:val="clear" w:fill="FFFFFF"/>
          <w:lang w:val="en-US" w:eastAsia="en-US" w:bidi="ar-SA"/>
        </w:rPr>
        <w:t>（三）</w:t>
      </w:r>
      <w:r>
        <w:rPr>
          <w:rFonts w:hint="eastAsia" w:ascii="黑体" w:hAnsi="黑体" w:eastAsia="黑体" w:cs="黑体"/>
          <w:color w:val="333333"/>
          <w:sz w:val="28"/>
          <w:szCs w:val="28"/>
          <w:highlight w:val="none"/>
          <w:shd w:val="clear" w:color="auto" w:fill="FFFFFF"/>
        </w:rPr>
        <w:t>环境效益</w:t>
      </w:r>
    </w:p>
    <w:p w14:paraId="04062D1F">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default"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2025年新开镇为全面提升10个村(社区）农村环境水平，已对10个村（社区）进行垃圾分类改造，生活垃圾定点存放清运率达95%,加快改善了我镇村容村貌，提升了我镇可持续性发展水平。</w:t>
      </w:r>
    </w:p>
    <w:p w14:paraId="7A3BC496">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5" w:line="500" w:lineRule="exact"/>
        <w:ind w:left="684"/>
        <w:outlineLvl w:val="2"/>
        <w:rPr>
          <w:rFonts w:ascii="SimHei" w:hAnsi="SimHei" w:eastAsia="SimHei" w:cs="SimHei"/>
          <w:b/>
          <w:bCs/>
          <w:spacing w:val="2"/>
          <w:sz w:val="31"/>
          <w:szCs w:val="31"/>
        </w:rPr>
      </w:pPr>
      <w:r>
        <w:rPr>
          <w:rFonts w:ascii="SimHei" w:hAnsi="SimHei" w:eastAsia="SimHei" w:cs="SimHei"/>
          <w:b/>
          <w:bCs/>
          <w:spacing w:val="2"/>
          <w:sz w:val="31"/>
          <w:szCs w:val="31"/>
        </w:rPr>
        <w:t>存在的问题及原因分析</w:t>
      </w:r>
    </w:p>
    <w:p w14:paraId="1C5B7F06">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228" w:line="500" w:lineRule="exact"/>
        <w:ind w:left="814" w:leftChars="0"/>
        <w:rPr>
          <w:rFonts w:ascii="楷体" w:hAnsi="楷体" w:eastAsia="楷体" w:cs="楷体"/>
          <w:b/>
          <w:bCs/>
          <w:spacing w:val="-2"/>
          <w:sz w:val="31"/>
          <w:szCs w:val="31"/>
        </w:rPr>
      </w:pPr>
      <w:bookmarkStart w:id="0" w:name="heading_1"/>
      <w:r>
        <w:rPr>
          <w:rFonts w:hint="eastAsia" w:ascii="楷体" w:hAnsi="楷体" w:eastAsia="楷体" w:cs="楷体"/>
          <w:b/>
          <w:bCs/>
          <w:snapToGrid w:val="0"/>
          <w:color w:val="000000"/>
          <w:spacing w:val="-2"/>
          <w:kern w:val="0"/>
          <w:sz w:val="31"/>
          <w:szCs w:val="31"/>
          <w:lang w:val="en-US" w:eastAsia="en-US" w:bidi="ar-SA"/>
        </w:rPr>
        <w:t>（一）</w:t>
      </w:r>
      <w:r>
        <w:rPr>
          <w:rFonts w:ascii="楷体" w:hAnsi="楷体" w:eastAsia="楷体" w:cs="楷体"/>
          <w:b/>
          <w:bCs/>
          <w:spacing w:val="-2"/>
          <w:sz w:val="31"/>
          <w:szCs w:val="31"/>
        </w:rPr>
        <w:t>预算及预算绩效管理方面</w:t>
      </w:r>
      <w:bookmarkEnd w:id="0"/>
    </w:p>
    <w:p w14:paraId="36E6E86C">
      <w:pPr>
        <w:pStyle w:val="2"/>
        <w:keepNext w:val="0"/>
        <w:keepLines w:val="0"/>
        <w:pageBreakBefore w:val="0"/>
        <w:widowControl/>
        <w:numPr>
          <w:numId w:val="0"/>
        </w:numPr>
        <w:kinsoku w:val="0"/>
        <w:wordWrap/>
        <w:overflowPunct/>
        <w:topLinePunct w:val="0"/>
        <w:autoSpaceDE w:val="0"/>
        <w:autoSpaceDN w:val="0"/>
        <w:bidi w:val="0"/>
        <w:adjustRightInd w:val="0"/>
        <w:snapToGrid w:val="0"/>
        <w:spacing w:before="228" w:line="500" w:lineRule="exact"/>
        <w:ind w:firstLine="640" w:firstLineChars="200"/>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1.绩效理念不足，融合不深：财政所对绩效管理重视不够、人员配备不足，仅能应付日常工作，未建立一体化运行机制。主要原因是乡政府对其重要性认识不深，缺乏资源和推进力度。</w:t>
      </w:r>
    </w:p>
    <w:p w14:paraId="77294544">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2.绩效指标不科学，与资金导向不符：绩效评价体系不健全、衡量方式单一，指标质量不高、覆盖不全。核心原因是指标设定缺乏科学论证，未结合资金用途和项目实际，影响资金效能。</w:t>
      </w:r>
    </w:p>
    <w:p w14:paraId="60F26F6F">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3.评价结果运用不足，流于形式：多数部门自评分数偏高但质量较差，未能真实反映绩效情况。主要原因是评价结果未与预算、资金分配等衔接，失去约束导向作用。</w:t>
      </w:r>
    </w:p>
    <w:p w14:paraId="2C6AD71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228" w:line="500" w:lineRule="exact"/>
        <w:ind w:left="814" w:leftChars="0"/>
        <w:rPr>
          <w:rFonts w:hint="eastAsia" w:ascii="楷体" w:hAnsi="楷体" w:eastAsia="楷体" w:cs="楷体"/>
          <w:b/>
          <w:bCs/>
          <w:spacing w:val="-2"/>
          <w:sz w:val="31"/>
          <w:szCs w:val="31"/>
          <w:lang w:val="en-US" w:eastAsia="zh-CN"/>
        </w:rPr>
      </w:pPr>
      <w:bookmarkStart w:id="1" w:name="heading_2"/>
      <w:r>
        <w:rPr>
          <w:rFonts w:hint="eastAsia" w:ascii="楷体" w:hAnsi="楷体" w:eastAsia="楷体" w:cs="楷体"/>
          <w:b/>
          <w:bCs/>
          <w:spacing w:val="-2"/>
          <w:sz w:val="31"/>
          <w:szCs w:val="31"/>
          <w:lang w:val="en-US" w:eastAsia="zh-CN"/>
        </w:rPr>
        <w:t>（二）资金分配、使用和管理方面</w:t>
      </w:r>
      <w:bookmarkEnd w:id="1"/>
    </w:p>
    <w:p w14:paraId="30A8E61D">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部分项目预算执行率偏低，主要因：一是资金下达滞后，影响统筹使用；二是部分项目实施周期长，仍处于建设阶段，支出进度缓慢且集中。</w:t>
      </w:r>
    </w:p>
    <w:p w14:paraId="0FD9453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228" w:line="500" w:lineRule="exact"/>
        <w:ind w:left="814" w:leftChars="0"/>
        <w:rPr>
          <w:rFonts w:hint="eastAsia" w:ascii="楷体" w:hAnsi="楷体" w:eastAsia="楷体" w:cs="楷体"/>
          <w:b/>
          <w:bCs/>
          <w:spacing w:val="-2"/>
          <w:sz w:val="31"/>
          <w:szCs w:val="31"/>
          <w:lang w:val="en-US" w:eastAsia="zh-CN"/>
        </w:rPr>
      </w:pPr>
      <w:bookmarkStart w:id="2" w:name="heading_3"/>
      <w:r>
        <w:rPr>
          <w:rFonts w:hint="eastAsia" w:ascii="楷体" w:hAnsi="楷体" w:eastAsia="楷体" w:cs="楷体"/>
          <w:b/>
          <w:bCs/>
          <w:spacing w:val="-2"/>
          <w:sz w:val="31"/>
          <w:szCs w:val="31"/>
          <w:lang w:val="en-US" w:eastAsia="zh-CN"/>
        </w:rPr>
        <w:t>（三）资产和财务管理方面</w:t>
      </w:r>
      <w:bookmarkEnd w:id="2"/>
    </w:p>
    <w:p w14:paraId="57B52818">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资产管理“重采购、轻管护”，制度流于形式。未设专门管理部门和人员，导致固定资产核算与管理脱节；处置流程繁琐、未定期清查，出现账实不符。</w:t>
      </w:r>
    </w:p>
    <w:p w14:paraId="4B99039B">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228" w:line="500" w:lineRule="exact"/>
        <w:ind w:left="814" w:leftChars="0"/>
        <w:rPr>
          <w:rFonts w:hint="eastAsia" w:ascii="楷体" w:hAnsi="楷体" w:eastAsia="楷体" w:cs="楷体"/>
          <w:b/>
          <w:bCs/>
          <w:spacing w:val="-2"/>
          <w:sz w:val="31"/>
          <w:szCs w:val="31"/>
          <w:lang w:val="en-US" w:eastAsia="zh-CN"/>
        </w:rPr>
      </w:pPr>
      <w:bookmarkStart w:id="3" w:name="heading_4"/>
      <w:r>
        <w:rPr>
          <w:rFonts w:hint="eastAsia" w:ascii="楷体" w:hAnsi="楷体" w:eastAsia="楷体" w:cs="楷体"/>
          <w:b/>
          <w:bCs/>
          <w:spacing w:val="-2"/>
          <w:sz w:val="31"/>
          <w:szCs w:val="31"/>
          <w:lang w:val="en-US" w:eastAsia="zh-CN"/>
        </w:rPr>
        <w:t>（四）政府采购方面</w:t>
      </w:r>
      <w:bookmarkEnd w:id="3"/>
    </w:p>
    <w:p w14:paraId="3389AD54">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ascii="SimHei" w:hAnsi="SimHei" w:eastAsia="SimHei" w:cs="SimHei"/>
          <w:b/>
          <w:bCs/>
          <w:spacing w:val="2"/>
          <w:sz w:val="31"/>
          <w:szCs w:val="31"/>
        </w:rPr>
      </w:pPr>
      <w:r>
        <w:rPr>
          <w:rFonts w:hint="eastAsia" w:ascii="仿宋_GB2312" w:hAnsi="宋体" w:eastAsia="仿宋_GB2312" w:cs="仿宋_GB2312"/>
          <w:color w:val="333333"/>
          <w:kern w:val="0"/>
          <w:sz w:val="32"/>
          <w:szCs w:val="32"/>
          <w:highlight w:val="none"/>
          <w:shd w:val="clear" w:color="auto" w:fill="FFFFFF"/>
          <w:lang w:val="en-US" w:eastAsia="zh-CN" w:bidi="ar-SA"/>
        </w:rPr>
        <w:t>年初采购预算编制不全面，存在无预算、分散采购现象，部分项目未按规定集中竞价，采购随意性大，未严格遵守相关规定。</w:t>
      </w:r>
    </w:p>
    <w:p w14:paraId="65154445">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1" w:line="500" w:lineRule="exact"/>
        <w:ind w:left="684" w:leftChars="0" w:firstLine="0" w:firstLineChars="0"/>
        <w:rPr>
          <w:rFonts w:ascii="SimHei" w:hAnsi="SimHei" w:eastAsia="SimHei" w:cs="SimHei"/>
          <w:b/>
          <w:bCs/>
          <w:spacing w:val="1"/>
          <w:sz w:val="31"/>
          <w:szCs w:val="31"/>
        </w:rPr>
      </w:pPr>
      <w:r>
        <w:rPr>
          <w:rFonts w:ascii="SimHei" w:hAnsi="SimHei" w:eastAsia="SimHei" w:cs="SimHei"/>
          <w:b/>
          <w:bCs/>
          <w:spacing w:val="1"/>
          <w:sz w:val="31"/>
          <w:szCs w:val="31"/>
        </w:rPr>
        <w:t>下一步改进措施</w:t>
      </w:r>
    </w:p>
    <w:p w14:paraId="42A6783E">
      <w:pPr>
        <w:keepNext w:val="0"/>
        <w:keepLines w:val="0"/>
        <w:pageBreakBefore w:val="0"/>
        <w:widowControl/>
        <w:numPr>
          <w:ilvl w:val="0"/>
          <w:numId w:val="3"/>
        </w:numPr>
        <w:shd w:val="clear" w:color="auto" w:fill="FFFFFF"/>
        <w:kinsoku w:val="0"/>
        <w:wordWrap/>
        <w:overflowPunct/>
        <w:topLinePunct w:val="0"/>
        <w:autoSpaceDE w:val="0"/>
        <w:autoSpaceDN w:val="0"/>
        <w:bidi w:val="0"/>
        <w:adjustRightInd w:val="0"/>
        <w:snapToGrid w:val="0"/>
        <w:spacing w:line="500" w:lineRule="exact"/>
        <w:ind w:firstLine="614" w:firstLineChars="200"/>
        <w:textAlignment w:val="center"/>
        <w:rPr>
          <w:rFonts w:hint="eastAsia" w:ascii="楷体" w:hAnsi="楷体" w:eastAsia="楷体" w:cs="楷体"/>
          <w:b/>
          <w:bCs/>
          <w:snapToGrid w:val="0"/>
          <w:color w:val="000000"/>
          <w:spacing w:val="-2"/>
          <w:kern w:val="0"/>
          <w:sz w:val="31"/>
          <w:szCs w:val="31"/>
          <w:lang w:val="en-US" w:eastAsia="zh-CN" w:bidi="ar-SA"/>
        </w:rPr>
      </w:pPr>
      <w:bookmarkStart w:id="4" w:name="heading_6"/>
      <w:r>
        <w:rPr>
          <w:rFonts w:hint="eastAsia" w:ascii="楷体" w:hAnsi="楷体" w:eastAsia="楷体" w:cs="楷体"/>
          <w:b/>
          <w:bCs/>
          <w:snapToGrid w:val="0"/>
          <w:color w:val="000000"/>
          <w:spacing w:val="-2"/>
          <w:kern w:val="0"/>
          <w:sz w:val="31"/>
          <w:szCs w:val="31"/>
          <w:lang w:val="en-US" w:eastAsia="zh-CN" w:bidi="ar-SA"/>
        </w:rPr>
        <w:t>预算及预算绩效管理方面</w:t>
      </w:r>
      <w:bookmarkEnd w:id="4"/>
    </w:p>
    <w:p w14:paraId="41C5CF60">
      <w:pPr>
        <w:keepNext w:val="0"/>
        <w:keepLines w:val="0"/>
        <w:pageBreakBefore w:val="0"/>
        <w:widowControl/>
        <w:numPr>
          <w:numId w:val="0"/>
        </w:numPr>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bookmarkStart w:id="8" w:name="_GoBack"/>
      <w:bookmarkEnd w:id="8"/>
      <w:r>
        <w:rPr>
          <w:rFonts w:hint="eastAsia" w:ascii="仿宋_GB2312" w:hAnsi="宋体" w:eastAsia="仿宋_GB2312" w:cs="仿宋_GB2312"/>
          <w:color w:val="333333"/>
          <w:kern w:val="0"/>
          <w:sz w:val="32"/>
          <w:szCs w:val="32"/>
          <w:highlight w:val="none"/>
          <w:shd w:val="clear" w:color="auto" w:fill="FFFFFF"/>
          <w:lang w:val="en-US" w:eastAsia="zh-CN" w:bidi="ar-SA"/>
        </w:rPr>
        <w:t>1.深化绩效管理，推进配套改革：提升绩效管理水平，健全权责、组织、运行、制度体系，明确职责，推动预算与绩效深度融合。</w:t>
      </w:r>
    </w:p>
    <w:p w14:paraId="19933D36">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2.补齐薄弱环节，完善管控体系：健全重大政策全流程评估机制，理顺各环节职责，构建闭环式绩效管理体系。</w:t>
      </w:r>
    </w:p>
    <w:p w14:paraId="06AC8B41">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3.优化指标设计，提升科学性：财政部门加强指导，结合乡镇实际制定共性和个性指标，提升指标针对性与可操作性。</w:t>
      </w:r>
    </w:p>
    <w:p w14:paraId="6E706D0C">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14" w:firstLineChars="200"/>
        <w:textAlignment w:val="center"/>
        <w:rPr>
          <w:rFonts w:hint="eastAsia" w:ascii="楷体" w:hAnsi="楷体" w:eastAsia="楷体" w:cs="楷体"/>
          <w:b/>
          <w:bCs/>
          <w:snapToGrid w:val="0"/>
          <w:color w:val="000000"/>
          <w:spacing w:val="-2"/>
          <w:kern w:val="0"/>
          <w:sz w:val="31"/>
          <w:szCs w:val="31"/>
          <w:lang w:val="en-US" w:eastAsia="zh-CN" w:bidi="ar-SA"/>
        </w:rPr>
      </w:pPr>
      <w:bookmarkStart w:id="5" w:name="heading_7"/>
      <w:r>
        <w:rPr>
          <w:rFonts w:hint="eastAsia" w:ascii="楷体" w:hAnsi="楷体" w:eastAsia="楷体" w:cs="楷体"/>
          <w:b/>
          <w:bCs/>
          <w:snapToGrid w:val="0"/>
          <w:color w:val="000000"/>
          <w:spacing w:val="-2"/>
          <w:kern w:val="0"/>
          <w:sz w:val="31"/>
          <w:szCs w:val="31"/>
          <w:lang w:val="en-US" w:eastAsia="zh-CN" w:bidi="ar-SA"/>
        </w:rPr>
        <w:t>（二）资金分配、使用和管理方面</w:t>
      </w:r>
      <w:bookmarkEnd w:id="5"/>
    </w:p>
    <w:p w14:paraId="5F4CD7CC">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一是统筹资金，加快支出进度，保障单位正常运转，按项目进度合规支付资金；二是优化资金分配，落实过“紧日子”要求，精准保障重点支出，严控一般性支出。</w:t>
      </w:r>
    </w:p>
    <w:p w14:paraId="1846E1D3">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14" w:firstLineChars="200"/>
        <w:textAlignment w:val="center"/>
        <w:rPr>
          <w:rFonts w:hint="eastAsia" w:ascii="楷体" w:hAnsi="楷体" w:eastAsia="楷体" w:cs="楷体"/>
          <w:b/>
          <w:bCs/>
          <w:snapToGrid w:val="0"/>
          <w:color w:val="000000"/>
          <w:spacing w:val="-2"/>
          <w:kern w:val="0"/>
          <w:sz w:val="31"/>
          <w:szCs w:val="31"/>
          <w:lang w:val="en-US" w:eastAsia="zh-CN" w:bidi="ar-SA"/>
        </w:rPr>
      </w:pPr>
      <w:bookmarkStart w:id="6" w:name="heading_8"/>
      <w:r>
        <w:rPr>
          <w:rFonts w:hint="eastAsia" w:ascii="楷体" w:hAnsi="楷体" w:eastAsia="楷体" w:cs="楷体"/>
          <w:b/>
          <w:bCs/>
          <w:snapToGrid w:val="0"/>
          <w:color w:val="000000"/>
          <w:spacing w:val="-2"/>
          <w:kern w:val="0"/>
          <w:sz w:val="31"/>
          <w:szCs w:val="31"/>
          <w:lang w:val="en-US" w:eastAsia="zh-CN" w:bidi="ar-SA"/>
        </w:rPr>
        <w:t>（三）资产和财务管理方面</w:t>
      </w:r>
      <w:bookmarkEnd w:id="6"/>
    </w:p>
    <w:p w14:paraId="43D7C1B9">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强化资产管理责任，将其纳入乡镇考核，成立专门部门并明确专人负责；简化处置流程，定期清查，对长期未清查单位委托第三方清理，确保账实相符。</w:t>
      </w:r>
    </w:p>
    <w:p w14:paraId="1E505470">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14" w:firstLineChars="200"/>
        <w:textAlignment w:val="center"/>
        <w:rPr>
          <w:rFonts w:hint="eastAsia" w:ascii="楷体" w:hAnsi="楷体" w:eastAsia="楷体" w:cs="楷体"/>
          <w:b/>
          <w:bCs/>
          <w:snapToGrid w:val="0"/>
          <w:color w:val="000000"/>
          <w:spacing w:val="-2"/>
          <w:kern w:val="0"/>
          <w:sz w:val="31"/>
          <w:szCs w:val="31"/>
          <w:lang w:val="en-US" w:eastAsia="zh-CN" w:bidi="ar-SA"/>
        </w:rPr>
      </w:pPr>
      <w:bookmarkStart w:id="7" w:name="heading_9"/>
      <w:r>
        <w:rPr>
          <w:rFonts w:hint="eastAsia" w:ascii="楷体" w:hAnsi="楷体" w:eastAsia="楷体" w:cs="楷体"/>
          <w:b/>
          <w:bCs/>
          <w:snapToGrid w:val="0"/>
          <w:color w:val="000000"/>
          <w:spacing w:val="-2"/>
          <w:kern w:val="0"/>
          <w:sz w:val="31"/>
          <w:szCs w:val="31"/>
          <w:lang w:val="en-US" w:eastAsia="zh-CN" w:bidi="ar-SA"/>
        </w:rPr>
        <w:t>（四）政府采购方面</w:t>
      </w:r>
      <w:bookmarkEnd w:id="7"/>
    </w:p>
    <w:p w14:paraId="0141D9C1">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640" w:firstLineChars="200"/>
        <w:textAlignment w:val="center"/>
        <w:rPr>
          <w:rFonts w:hint="eastAsia" w:ascii="仿宋_GB2312" w:hAnsi="宋体" w:eastAsia="仿宋_GB2312" w:cs="仿宋_GB2312"/>
          <w:color w:val="333333"/>
          <w:kern w:val="0"/>
          <w:sz w:val="32"/>
          <w:szCs w:val="32"/>
          <w:highlight w:val="none"/>
          <w:shd w:val="clear" w:color="auto" w:fill="FFFFFF"/>
          <w:lang w:val="en-US" w:eastAsia="zh-CN" w:bidi="ar-SA"/>
        </w:rPr>
      </w:pPr>
      <w:r>
        <w:rPr>
          <w:rFonts w:hint="eastAsia" w:ascii="仿宋_GB2312" w:hAnsi="宋体" w:eastAsia="仿宋_GB2312" w:cs="仿宋_GB2312"/>
          <w:color w:val="333333"/>
          <w:kern w:val="0"/>
          <w:sz w:val="32"/>
          <w:szCs w:val="32"/>
          <w:highlight w:val="none"/>
          <w:shd w:val="clear" w:color="auto" w:fill="FFFFFF"/>
          <w:lang w:val="en-US" w:eastAsia="zh-CN" w:bidi="ar-SA"/>
        </w:rPr>
        <w:t>严格执行年度采购预算，年初科学编制采购计划；达到竞价标准的项目必须集中竞价，严禁拆分项目规避竞价，规范采购行为。</w:t>
      </w:r>
    </w:p>
    <w:p w14:paraId="4486AE64">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226" w:line="500" w:lineRule="exact"/>
        <w:ind w:left="684" w:leftChars="0" w:firstLine="0" w:firstLineChars="0"/>
        <w:rPr>
          <w:rFonts w:ascii="SimHei" w:hAnsi="SimHei" w:eastAsia="SimHei" w:cs="SimHei"/>
          <w:b/>
          <w:bCs/>
          <w:spacing w:val="2"/>
          <w:sz w:val="31"/>
          <w:szCs w:val="31"/>
        </w:rPr>
      </w:pPr>
      <w:r>
        <w:rPr>
          <w:rFonts w:ascii="SimHei" w:hAnsi="SimHei" w:eastAsia="SimHei" w:cs="SimHei"/>
          <w:b/>
          <w:bCs/>
          <w:spacing w:val="2"/>
          <w:sz w:val="31"/>
          <w:szCs w:val="31"/>
        </w:rPr>
        <w:t>部门整体支出绩效自评结果拟应用和公开情况</w:t>
      </w:r>
    </w:p>
    <w:p w14:paraId="4C418AF8">
      <w:pPr>
        <w:keepNext w:val="0"/>
        <w:keepLines w:val="0"/>
        <w:pageBreakBefore w:val="0"/>
        <w:widowControl/>
        <w:shd w:val="clear" w:color="auto" w:fill="FFFFFF"/>
        <w:kinsoku w:val="0"/>
        <w:wordWrap/>
        <w:overflowPunct/>
        <w:topLinePunct w:val="0"/>
        <w:autoSpaceDE w:val="0"/>
        <w:autoSpaceDN w:val="0"/>
        <w:bidi w:val="0"/>
        <w:adjustRightInd w:val="0"/>
        <w:snapToGrid w:val="0"/>
        <w:spacing w:line="500" w:lineRule="exact"/>
        <w:ind w:firstLine="560"/>
        <w:textAlignment w:val="center"/>
        <w:rPr>
          <w:rFonts w:ascii="SimHei" w:hAnsi="SimHei" w:eastAsia="SimHei" w:cs="SimHei"/>
          <w:b/>
          <w:bCs/>
          <w:spacing w:val="2"/>
          <w:sz w:val="31"/>
          <w:szCs w:val="31"/>
        </w:rPr>
      </w:pPr>
      <w:r>
        <w:rPr>
          <w:rFonts w:hint="eastAsia" w:ascii="仿宋_GB2312" w:hAnsi="宋体" w:eastAsia="仿宋_GB2312" w:cs="仿宋_GB2312"/>
          <w:color w:val="333333"/>
          <w:sz w:val="32"/>
          <w:szCs w:val="32"/>
          <w:shd w:val="clear" w:color="auto" w:fill="FFFFFF"/>
          <w:lang w:eastAsia="zh-CN"/>
        </w:rPr>
        <w:t>此次绩效自评结果主要以《</w:t>
      </w:r>
      <w:r>
        <w:rPr>
          <w:rFonts w:hint="eastAsia" w:ascii="仿宋_GB2312" w:hAnsi="宋体" w:eastAsia="仿宋_GB2312" w:cs="仿宋_GB2312"/>
          <w:color w:val="333333"/>
          <w:sz w:val="32"/>
          <w:szCs w:val="32"/>
          <w:shd w:val="clear" w:color="auto" w:fill="FFFFFF"/>
          <w:lang w:val="en-US" w:eastAsia="zh-CN"/>
        </w:rPr>
        <w:t>2025年度部门整体支出绩效评价基础数据表</w:t>
      </w:r>
      <w:r>
        <w:rPr>
          <w:rFonts w:hint="eastAsia" w:ascii="仿宋_GB2312" w:hAnsi="宋体" w:eastAsia="仿宋_GB2312" w:cs="仿宋_GB2312"/>
          <w:color w:val="333333"/>
          <w:sz w:val="32"/>
          <w:szCs w:val="32"/>
          <w:shd w:val="clear" w:color="auto" w:fill="FFFFFF"/>
          <w:lang w:eastAsia="zh-CN"/>
        </w:rPr>
        <w:t>》、《</w:t>
      </w:r>
      <w:r>
        <w:rPr>
          <w:rFonts w:hint="eastAsia" w:ascii="仿宋_GB2312" w:hAnsi="宋体" w:eastAsia="仿宋_GB2312" w:cs="仿宋_GB2312"/>
          <w:color w:val="333333"/>
          <w:sz w:val="32"/>
          <w:szCs w:val="32"/>
          <w:shd w:val="clear" w:color="auto" w:fill="FFFFFF"/>
          <w:lang w:val="en-US" w:eastAsia="zh-CN"/>
        </w:rPr>
        <w:t>2025年度部门整体支出绩效自评表</w:t>
      </w:r>
      <w:r>
        <w:rPr>
          <w:rFonts w:hint="eastAsia" w:ascii="仿宋_GB2312" w:hAnsi="宋体" w:eastAsia="仿宋_GB2312" w:cs="仿宋_GB2312"/>
          <w:color w:val="333333"/>
          <w:sz w:val="32"/>
          <w:szCs w:val="32"/>
          <w:shd w:val="clear" w:color="auto" w:fill="FFFFFF"/>
          <w:lang w:eastAsia="zh-CN"/>
        </w:rPr>
        <w:t>》、《</w:t>
      </w:r>
      <w:r>
        <w:rPr>
          <w:rFonts w:hint="eastAsia" w:ascii="仿宋_GB2312" w:hAnsi="宋体" w:eastAsia="仿宋_GB2312" w:cs="仿宋_GB2312"/>
          <w:color w:val="333333"/>
          <w:sz w:val="32"/>
          <w:szCs w:val="32"/>
          <w:shd w:val="clear" w:color="auto" w:fill="FFFFFF"/>
          <w:lang w:val="en-US" w:eastAsia="zh-CN"/>
        </w:rPr>
        <w:t>2025年度部门整体支出绩效自评报告</w:t>
      </w:r>
      <w:r>
        <w:rPr>
          <w:rFonts w:hint="eastAsia" w:ascii="仿宋_GB2312" w:hAnsi="宋体" w:eastAsia="仿宋_GB2312" w:cs="仿宋_GB2312"/>
          <w:color w:val="333333"/>
          <w:sz w:val="32"/>
          <w:szCs w:val="32"/>
          <w:shd w:val="clear" w:color="auto" w:fill="FFFFFF"/>
          <w:lang w:eastAsia="zh-CN"/>
        </w:rPr>
        <w:t>》的形式体现，自评表及自评报告内容完整、权重合理，数据真实、结果客观，我镇将绩效自评结果作为完善和改进管理的重要依据，同时加强评价结果的应用，对有效支出安排预算、低效支出压减预算、无效支出进行问责，切实提高部门预算绩效管理水平。自评结果将在县政府门户网站预决算公开专栏公示，主动接受社会监督。</w:t>
      </w:r>
    </w:p>
    <w:p w14:paraId="4FB54085">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229" w:line="500" w:lineRule="exact"/>
        <w:ind w:left="684" w:leftChars="0" w:firstLine="0" w:firstLineChars="0"/>
        <w:rPr>
          <w:rFonts w:hint="eastAsia" w:ascii="SimHei" w:hAnsi="SimHei" w:eastAsia="SimHei" w:cs="SimHei"/>
          <w:b/>
          <w:bCs/>
          <w:sz w:val="31"/>
          <w:szCs w:val="31"/>
          <w:lang w:eastAsia="zh-CN"/>
        </w:rPr>
      </w:pPr>
      <w:r>
        <w:rPr>
          <w:rFonts w:ascii="SimHei" w:hAnsi="SimHei" w:eastAsia="SimHei" w:cs="SimHei"/>
          <w:b/>
          <w:bCs/>
          <w:sz w:val="31"/>
          <w:szCs w:val="31"/>
        </w:rPr>
        <w:t>其他需要说明的情况</w:t>
      </w:r>
      <w:r>
        <w:rPr>
          <w:rFonts w:hint="eastAsia" w:ascii="SimHei" w:hAnsi="SimHei" w:eastAsia="SimHei" w:cs="SimHei"/>
          <w:b/>
          <w:bCs/>
          <w:sz w:val="31"/>
          <w:szCs w:val="31"/>
          <w:lang w:eastAsia="zh-CN"/>
        </w:rPr>
        <w:t>：无。</w:t>
      </w:r>
    </w:p>
    <w:p w14:paraId="2B49E186">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rPr>
          <w:rFonts w:eastAsia="仿宋_GB2312"/>
          <w:sz w:val="32"/>
          <w:szCs w:val="32"/>
          <w:lang w:eastAsia="zh-CN"/>
        </w:rPr>
      </w:pPr>
      <w:r>
        <w:rPr>
          <w:rFonts w:hint="eastAsia" w:eastAsia="仿宋_GB2312" w:cs="仿宋_GB2312"/>
          <w:sz w:val="32"/>
          <w:szCs w:val="32"/>
          <w:lang w:eastAsia="zh-CN"/>
        </w:rPr>
        <w:t>报告需要以下附件：</w:t>
      </w:r>
    </w:p>
    <w:p w14:paraId="1FE5EB4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rPr>
          <w:rFonts w:eastAsia="仿宋_GB2312"/>
          <w:sz w:val="32"/>
          <w:szCs w:val="32"/>
          <w:lang w:eastAsia="zh-CN"/>
        </w:rPr>
      </w:pPr>
      <w:r>
        <w:rPr>
          <w:rFonts w:eastAsia="仿宋_GB2312"/>
          <w:sz w:val="32"/>
          <w:szCs w:val="32"/>
          <w:lang w:eastAsia="zh-CN"/>
        </w:rPr>
        <w:t>1</w:t>
      </w:r>
      <w:r>
        <w:rPr>
          <w:rFonts w:hint="eastAsia" w:eastAsia="仿宋_GB2312" w:cs="仿宋_GB2312"/>
          <w:sz w:val="32"/>
          <w:szCs w:val="32"/>
          <w:lang w:eastAsia="zh-CN"/>
        </w:rPr>
        <w:t>、部门整体支出绩效评价基础数据表</w:t>
      </w:r>
    </w:p>
    <w:p w14:paraId="352EFB07">
      <w:pPr>
        <w:keepNext w:val="0"/>
        <w:keepLines w:val="0"/>
        <w:pageBreakBefore w:val="0"/>
        <w:widowControl/>
        <w:tabs>
          <w:tab w:val="left" w:pos="7724"/>
        </w:tabs>
        <w:kinsoku w:val="0"/>
        <w:wordWrap/>
        <w:overflowPunct/>
        <w:topLinePunct w:val="0"/>
        <w:autoSpaceDE w:val="0"/>
        <w:autoSpaceDN w:val="0"/>
        <w:bidi w:val="0"/>
        <w:adjustRightInd w:val="0"/>
        <w:snapToGrid w:val="0"/>
        <w:spacing w:line="500" w:lineRule="exact"/>
        <w:ind w:firstLine="640" w:firstLineChars="200"/>
        <w:jc w:val="both"/>
        <w:rPr>
          <w:rFonts w:hint="eastAsia" w:ascii="SimHei" w:hAnsi="SimHei" w:eastAsia="SimHei" w:cs="SimHei"/>
          <w:b/>
          <w:bCs/>
          <w:sz w:val="31"/>
          <w:szCs w:val="31"/>
          <w:lang w:eastAsia="zh-CN"/>
        </w:rPr>
        <w:sectPr>
          <w:headerReference r:id="rId7" w:type="default"/>
          <w:footerReference r:id="rId8" w:type="default"/>
          <w:pgSz w:w="11900" w:h="16830"/>
          <w:pgMar w:top="1417" w:right="1344" w:bottom="1417" w:left="1489" w:header="0" w:footer="1644" w:gutter="0"/>
          <w:cols w:equalWidth="0" w:num="1">
            <w:col w:w="9067"/>
          </w:cols>
          <w:rtlGutter w:val="0"/>
          <w:docGrid w:linePitch="0" w:charSpace="0"/>
        </w:sectPr>
      </w:pPr>
      <w:r>
        <w:rPr>
          <w:rFonts w:eastAsia="仿宋_GB2312"/>
          <w:sz w:val="32"/>
          <w:szCs w:val="32"/>
          <w:lang w:eastAsia="zh-CN"/>
        </w:rPr>
        <w:t>2</w:t>
      </w:r>
      <w:r>
        <w:rPr>
          <w:rFonts w:hint="eastAsia" w:eastAsia="仿宋_GB2312" w:cs="仿宋_GB2312"/>
          <w:sz w:val="32"/>
          <w:szCs w:val="32"/>
          <w:lang w:eastAsia="zh-CN"/>
        </w:rPr>
        <w:t>、部门整体支出绩效自评</w:t>
      </w:r>
    </w:p>
    <w:p w14:paraId="4B1F2BAC">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rPr>
          <w:rFonts w:hint="eastAsia" w:ascii="Arial" w:eastAsia="宋体"/>
          <w:sz w:val="21"/>
          <w:lang w:val="en-US" w:eastAsia="zh-CN"/>
        </w:rPr>
      </w:pPr>
    </w:p>
    <w:p w14:paraId="55FA54C1">
      <w:pPr>
        <w:bidi w:val="0"/>
        <w:rPr>
          <w:rFonts w:hint="eastAsia"/>
          <w:lang w:val="en-US" w:eastAsia="zh-CN"/>
        </w:rPr>
      </w:pPr>
    </w:p>
    <w:p w14:paraId="1BA6F471">
      <w:pPr>
        <w:bidi w:val="0"/>
        <w:rPr>
          <w:rFonts w:hint="eastAsia"/>
          <w:lang w:val="en-US" w:eastAsia="zh-CN"/>
        </w:rPr>
      </w:pPr>
    </w:p>
    <w:p w14:paraId="6AA576B1">
      <w:pPr>
        <w:tabs>
          <w:tab w:val="left" w:pos="2373"/>
        </w:tabs>
        <w:bidi w:val="0"/>
        <w:jc w:val="left"/>
        <w:rPr>
          <w:rFonts w:hint="eastAsia"/>
          <w:lang w:val="en-US" w:eastAsia="zh-CN"/>
        </w:rPr>
      </w:pPr>
      <w:r>
        <w:rPr>
          <w:rFonts w:hint="eastAsia"/>
          <w:lang w:val="en-US" w:eastAsia="zh-CN"/>
        </w:rPr>
        <w:tab/>
      </w:r>
    </w:p>
    <w:sectPr>
      <w:footerReference r:id="rId9" w:type="default"/>
      <w:pgSz w:w="11900" w:h="16830"/>
      <w:pgMar w:top="0" w:right="0" w:bottom="0" w:left="0" w:header="0" w:footer="0" w:gutter="0"/>
      <w:cols w:equalWidth="0" w:num="1">
        <w:col w:w="119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imHei">
    <w:altName w:val="宋体"/>
    <w:panose1 w:val="02010609060001010101"/>
    <w:charset w:val="86"/>
    <w:family w:val="auto"/>
    <w:pitch w:val="default"/>
    <w:sig w:usb0="00000000" w:usb1="00000000"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方正仿宋_GB18030">
    <w:altName w:val="仿宋"/>
    <w:panose1 w:val="02000000000000000000"/>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32E1E">
    <w:pPr>
      <w:spacing w:before="1" w:line="232" w:lineRule="auto"/>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B8831">
    <w:pPr>
      <w:spacing w:line="233" w:lineRule="auto"/>
      <w:rPr>
        <w:rFonts w:ascii="宋体" w:hAnsi="宋体" w:eastAsia="宋体" w:cs="宋体"/>
        <w:sz w:val="31"/>
        <w:szCs w:val="3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4CA78">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2B94">
    <w:pPr>
      <w:spacing w:before="74" w:line="219" w:lineRule="auto"/>
      <w:ind w:left="599"/>
      <w:rPr>
        <w:rFonts w:ascii="宋体" w:hAnsi="宋体" w:eastAsia="宋体" w:cs="宋体"/>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699E">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39CD6"/>
    <w:multiLevelType w:val="singleLevel"/>
    <w:tmpl w:val="88839CD6"/>
    <w:lvl w:ilvl="0" w:tentative="0">
      <w:start w:val="7"/>
      <w:numFmt w:val="chineseCounting"/>
      <w:suff w:val="nothing"/>
      <w:lvlText w:val="%1、"/>
      <w:lvlJc w:val="left"/>
      <w:rPr>
        <w:rFonts w:hint="eastAsia"/>
      </w:rPr>
    </w:lvl>
  </w:abstractNum>
  <w:abstractNum w:abstractNumId="1">
    <w:nsid w:val="D7E4B0A8"/>
    <w:multiLevelType w:val="singleLevel"/>
    <w:tmpl w:val="D7E4B0A8"/>
    <w:lvl w:ilvl="0" w:tentative="0">
      <w:start w:val="1"/>
      <w:numFmt w:val="chineseCounting"/>
      <w:suff w:val="nothing"/>
      <w:lvlText w:val="（%1）"/>
      <w:lvlJc w:val="left"/>
      <w:rPr>
        <w:rFonts w:hint="eastAsia"/>
      </w:rPr>
    </w:lvl>
  </w:abstractNum>
  <w:abstractNum w:abstractNumId="2">
    <w:nsid w:val="31C52C28"/>
    <w:multiLevelType w:val="singleLevel"/>
    <w:tmpl w:val="31C52C28"/>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rsids>
    <w:rsidRoot w:val="00000000"/>
    <w:rsid w:val="003532FE"/>
    <w:rsid w:val="00563274"/>
    <w:rsid w:val="007F0A80"/>
    <w:rsid w:val="019329D2"/>
    <w:rsid w:val="063A2847"/>
    <w:rsid w:val="08E5292E"/>
    <w:rsid w:val="0B523408"/>
    <w:rsid w:val="0BFE3260"/>
    <w:rsid w:val="0CFE3F28"/>
    <w:rsid w:val="0F4832C8"/>
    <w:rsid w:val="149C34F4"/>
    <w:rsid w:val="156D6573"/>
    <w:rsid w:val="17D51CB8"/>
    <w:rsid w:val="1956587C"/>
    <w:rsid w:val="19F4276E"/>
    <w:rsid w:val="1AD75F02"/>
    <w:rsid w:val="1C315499"/>
    <w:rsid w:val="1F1A43C0"/>
    <w:rsid w:val="20011A50"/>
    <w:rsid w:val="204A0E0E"/>
    <w:rsid w:val="207A7E7F"/>
    <w:rsid w:val="20E71C8B"/>
    <w:rsid w:val="21A9027D"/>
    <w:rsid w:val="22DA0FC5"/>
    <w:rsid w:val="2602765C"/>
    <w:rsid w:val="2A2B114A"/>
    <w:rsid w:val="2BEE5789"/>
    <w:rsid w:val="2CED5ABA"/>
    <w:rsid w:val="2F5B6A0C"/>
    <w:rsid w:val="305543D8"/>
    <w:rsid w:val="3079467B"/>
    <w:rsid w:val="311F4B98"/>
    <w:rsid w:val="33721B98"/>
    <w:rsid w:val="33BE5EE1"/>
    <w:rsid w:val="349E2A7B"/>
    <w:rsid w:val="39D74D80"/>
    <w:rsid w:val="3AB40CE8"/>
    <w:rsid w:val="3AC4771A"/>
    <w:rsid w:val="3AC54CA3"/>
    <w:rsid w:val="3B961B2D"/>
    <w:rsid w:val="3EB231C8"/>
    <w:rsid w:val="401E5BEB"/>
    <w:rsid w:val="40A84E4B"/>
    <w:rsid w:val="40FE2CBD"/>
    <w:rsid w:val="420A0A07"/>
    <w:rsid w:val="468817FB"/>
    <w:rsid w:val="471F4E35"/>
    <w:rsid w:val="48515DC8"/>
    <w:rsid w:val="4B5A059D"/>
    <w:rsid w:val="4B6351C0"/>
    <w:rsid w:val="4C153D16"/>
    <w:rsid w:val="4CA9510D"/>
    <w:rsid w:val="4F035942"/>
    <w:rsid w:val="504253E7"/>
    <w:rsid w:val="514872F9"/>
    <w:rsid w:val="51D22A8F"/>
    <w:rsid w:val="52065E75"/>
    <w:rsid w:val="52FB52AE"/>
    <w:rsid w:val="58425C8C"/>
    <w:rsid w:val="58951D01"/>
    <w:rsid w:val="5AAC3332"/>
    <w:rsid w:val="5CF64383"/>
    <w:rsid w:val="5DD24E5D"/>
    <w:rsid w:val="6A9A5139"/>
    <w:rsid w:val="6AE7478D"/>
    <w:rsid w:val="6D2B26D1"/>
    <w:rsid w:val="6E593FE4"/>
    <w:rsid w:val="6EE13336"/>
    <w:rsid w:val="6F4033D7"/>
    <w:rsid w:val="6F4B36A1"/>
    <w:rsid w:val="6F50558E"/>
    <w:rsid w:val="7248345F"/>
    <w:rsid w:val="725A04E6"/>
    <w:rsid w:val="73FC791E"/>
    <w:rsid w:val="76544B51"/>
    <w:rsid w:val="794855BC"/>
    <w:rsid w:val="7C0E7550"/>
    <w:rsid w:val="7E1505C0"/>
    <w:rsid w:val="7E1C3A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2"/>
      <w:szCs w:val="32"/>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qFormat/>
    <w:uiPriority w:val="0"/>
    <w:tblPr>
      <w:tblCellMar>
        <w:top w:w="0" w:type="dxa"/>
        <w:left w:w="0" w:type="dxa"/>
        <w:bottom w:w="0" w:type="dxa"/>
        <w:right w:w="0" w:type="dxa"/>
      </w:tblCellMar>
    </w:tblPr>
  </w:style>
  <w:style w:type="paragraph" w:customStyle="1" w:styleId="7">
    <w:name w:val="Table Text"/>
    <w:basedOn w:val="1"/>
    <w:qFormat/>
    <w:uiPriority w:val="0"/>
    <w:rPr>
      <w:rFonts w:ascii="Arial" w:hAnsi="Arial" w:eastAsia="Arial" w:cs="Arial"/>
      <w:sz w:val="21"/>
      <w:szCs w:val="21"/>
      <w:lang w:val="en-US" w:eastAsia="en-US" w:bidi="ar-SA"/>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3135</Words>
  <Characters>3301</Characters>
  <Paragraphs>782</Paragraphs>
  <TotalTime>2</TotalTime>
  <ScaleCrop>false</ScaleCrop>
  <LinksUpToDate>false</LinksUpToDate>
  <CharactersWithSpaces>3314</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2025-04-08T09:22:00Z</dcterms:created>
  <dc:creator>WPS Office</dc:creator>
  <cp:lastModifiedBy>Pineapple jelly</cp:lastModifiedBy>
  <cp:lastPrinted>2025-05-21T02:21:00Z</cp:lastPrinted>
  <dcterms:modified xsi:type="dcterms:W3CDTF">2026-04-27T02:54:00Z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67f47a3a00429e00206023dcwl</vt:lpwstr>
  </property>
  <property fmtid="{D5CDD505-2E9C-101B-9397-08002B2CF9AE}" pid="4" name="ICV">
    <vt:lpwstr>54A38064DAD84CF7953400F5D85CCA6A_13</vt:lpwstr>
  </property>
  <property fmtid="{D5CDD505-2E9C-101B-9397-08002B2CF9AE}" pid="5" name="KSOProductBuildVer">
    <vt:lpwstr>2052-12.1.0.25865</vt:lpwstr>
  </property>
  <property fmtid="{D5CDD505-2E9C-101B-9397-08002B2CF9AE}" pid="6" name="KSOTemplateDocerSaveRecord">
    <vt:lpwstr>eyJoZGlkIjoiYThhM2RkM2M2YjQ0ZDI0NTlmMjU0YjJkODZiZDc2NzMiLCJ1c2VySWQiOiIyMzAyMDEwMjcifQ==</vt:lpwstr>
  </property>
</Properties>
</file>